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C4E72F" w14:textId="77777777" w:rsidR="00911BCB" w:rsidRPr="00911BCB" w:rsidRDefault="00911BCB">
      <w:pPr>
        <w:pStyle w:val="Heading3"/>
        <w:contextualSpacing w:val="0"/>
        <w:rPr>
          <w:sz w:val="36"/>
          <w:szCs w:val="36"/>
        </w:rPr>
      </w:pPr>
      <w:r w:rsidRPr="00911BCB">
        <w:rPr>
          <w:b/>
          <w:sz w:val="36"/>
          <w:szCs w:val="36"/>
        </w:rPr>
        <w:t>Team 22 Report</w:t>
      </w:r>
      <w:bookmarkStart w:id="0" w:name="_GoBack"/>
      <w:bookmarkEnd w:id="0"/>
    </w:p>
    <w:p w14:paraId="0AE5D23B" w14:textId="77777777" w:rsidR="00755474" w:rsidRDefault="00911BCB">
      <w:pPr>
        <w:pStyle w:val="Heading3"/>
        <w:contextualSpacing w:val="0"/>
      </w:pPr>
      <w:r>
        <w:rPr>
          <w:b/>
        </w:rPr>
        <w:t>Introduction</w:t>
      </w:r>
    </w:p>
    <w:p w14:paraId="2DBED5A9" w14:textId="77777777" w:rsidR="00755474" w:rsidRDefault="00911BCB">
      <w:pPr>
        <w:contextualSpacing w:val="0"/>
      </w:pPr>
      <w:r>
        <w:t xml:space="preserve">Credit bureau companies offer </w:t>
      </w:r>
      <w:r>
        <w:rPr>
          <w:i/>
        </w:rPr>
        <w:t>free</w:t>
      </w:r>
      <w:r>
        <w:t xml:space="preserve"> financial reporting for anyone who signs up for their service - so how do they make money? Credit Sesame, a service that offers free credit score and credit report analyses, employs a business model that is sustained by revenue generated from targeted adv</w:t>
      </w:r>
      <w:r>
        <w:t>ertisements to consumers. These advertisements focus on products ranging from credit cards to loans to mortgages, and are heavily suggested to users who would like to better their financial situations. Credit Sesame profits when users choose to consult the</w:t>
      </w:r>
      <w:r>
        <w:t xml:space="preserve">se external offers by clicking ‘apply’ on a Credit Sesame recommendation page. </w:t>
      </w:r>
    </w:p>
    <w:p w14:paraId="0D177F07" w14:textId="77777777" w:rsidR="00755474" w:rsidRDefault="00755474">
      <w:pPr>
        <w:contextualSpacing w:val="0"/>
      </w:pPr>
    </w:p>
    <w:p w14:paraId="5970DFB8" w14:textId="77777777" w:rsidR="00755474" w:rsidRDefault="00911BCB">
      <w:pPr>
        <w:contextualSpacing w:val="0"/>
        <w:rPr>
          <w:b/>
        </w:rPr>
      </w:pPr>
      <w:r>
        <w:t xml:space="preserve">Our team sought to analyze the most important factors that drive consumers to click ‘apply’ and therefore become what we henceforth label a ‘valuable customer’ in the eyes of </w:t>
      </w:r>
      <w:r>
        <w:t>Credit Sesame. In doing so, we uncovered some interesting relationships between the overall action of a valuable customer (whether they did or did not apply) and his/her demographics, financial situation, and use of the service in the past 30 days. We pres</w:t>
      </w:r>
      <w:r>
        <w:t>ent a few visualizations of these relationships as well as evidence for why a few of these factors are most important in analyzing whether or not a given user will become a valuable customer for Credit Sesame.</w:t>
      </w:r>
    </w:p>
    <w:p w14:paraId="5A438E2D" w14:textId="77777777" w:rsidR="00755474" w:rsidRDefault="00911BCB">
      <w:pPr>
        <w:pStyle w:val="Heading3"/>
        <w:contextualSpacing w:val="0"/>
      </w:pPr>
      <w:bookmarkStart w:id="1" w:name="_q7jfvs6e7bu6" w:colFirst="0" w:colLast="0"/>
      <w:bookmarkEnd w:id="1"/>
      <w:r>
        <w:rPr>
          <w:b/>
        </w:rPr>
        <w:t>Data Engineering Process</w:t>
      </w:r>
    </w:p>
    <w:p w14:paraId="6CB2499C" w14:textId="77777777" w:rsidR="00755474" w:rsidRDefault="00911BCB">
      <w:pPr>
        <w:contextualSpacing w:val="0"/>
      </w:pPr>
      <w:r>
        <w:t>We manipulated our da</w:t>
      </w:r>
      <w:r>
        <w:t xml:space="preserve">taset to extract both the demographics and engagement behavior of each user. This was done by aggregating web behavior on a user basis in the 30-day </w:t>
      </w:r>
      <w:proofErr w:type="spellStart"/>
      <w:r>
        <w:rPr>
          <w:rFonts w:ascii="Consolas" w:eastAsia="Consolas" w:hAnsi="Consolas" w:cs="Consolas"/>
        </w:rPr>
        <w:t>user_engagement</w:t>
      </w:r>
      <w:proofErr w:type="spellEnd"/>
      <w:r>
        <w:t xml:space="preserve"> dataset, then appending these results to the </w:t>
      </w:r>
      <w:proofErr w:type="spellStart"/>
      <w:r>
        <w:rPr>
          <w:rFonts w:ascii="Consolas" w:eastAsia="Consolas" w:hAnsi="Consolas" w:cs="Consolas"/>
        </w:rPr>
        <w:t>user_profile</w:t>
      </w:r>
      <w:proofErr w:type="spellEnd"/>
      <w:r>
        <w:t xml:space="preserve"> dataset. This way, the new </w:t>
      </w:r>
      <w:proofErr w:type="spellStart"/>
      <w:r>
        <w:rPr>
          <w:rFonts w:ascii="Consolas" w:eastAsia="Consolas" w:hAnsi="Consolas" w:cs="Consolas"/>
        </w:rPr>
        <w:t>user_p</w:t>
      </w:r>
      <w:r>
        <w:rPr>
          <w:rFonts w:ascii="Consolas" w:eastAsia="Consolas" w:hAnsi="Consolas" w:cs="Consolas"/>
        </w:rPr>
        <w:t>rofile</w:t>
      </w:r>
      <w:proofErr w:type="spellEnd"/>
      <w:r>
        <w:t xml:space="preserve"> dataset has one row for every user in the database, with columns representing information about their demographic background, as well as columns representing their aggregated first-30-day engagement behavior on the Credit Sesame website. Non-numeric</w:t>
      </w:r>
      <w:r>
        <w:t xml:space="preserve"> attributes were not considered for simplicity sake, but would have been included had we more time. The aggregation process is visualized below:</w:t>
      </w:r>
    </w:p>
    <w:p w14:paraId="0EBEC9C8" w14:textId="77777777" w:rsidR="00755474" w:rsidRDefault="00755474">
      <w:pPr>
        <w:contextualSpacing w:val="0"/>
      </w:pPr>
    </w:p>
    <w:p w14:paraId="484FA48B" w14:textId="77777777" w:rsidR="00755474" w:rsidRDefault="00911BCB">
      <w:pPr>
        <w:contextualSpacing w:val="0"/>
        <w:jc w:val="center"/>
      </w:pPr>
      <w:r>
        <w:rPr>
          <w:noProof/>
          <w:lang w:val="en-US"/>
        </w:rPr>
        <w:drawing>
          <wp:inline distT="114300" distB="114300" distL="114300" distR="114300" wp14:anchorId="0EFC3132" wp14:editId="7BF7F1F9">
            <wp:extent cx="3186113" cy="2257425"/>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
                    <a:srcRect l="2317" t="16588" r="16346" b="2059"/>
                    <a:stretch>
                      <a:fillRect/>
                    </a:stretch>
                  </pic:blipFill>
                  <pic:spPr>
                    <a:xfrm>
                      <a:off x="0" y="0"/>
                      <a:ext cx="3186113" cy="2257425"/>
                    </a:xfrm>
                    <a:prstGeom prst="rect">
                      <a:avLst/>
                    </a:prstGeom>
                    <a:ln/>
                  </pic:spPr>
                </pic:pic>
              </a:graphicData>
            </a:graphic>
          </wp:inline>
        </w:drawing>
      </w:r>
    </w:p>
    <w:p w14:paraId="32684CC0" w14:textId="77777777" w:rsidR="00755474" w:rsidRDefault="00911BCB">
      <w:pPr>
        <w:contextualSpacing w:val="0"/>
        <w:jc w:val="center"/>
        <w:rPr>
          <w:i/>
          <w:sz w:val="20"/>
          <w:szCs w:val="20"/>
        </w:rPr>
      </w:pPr>
      <w:r>
        <w:rPr>
          <w:i/>
          <w:sz w:val="20"/>
          <w:szCs w:val="20"/>
        </w:rPr>
        <w:lastRenderedPageBreak/>
        <w:t>Figure 1: Data Engineering process to obtain demographics and engagement behavior data of users.</w:t>
      </w:r>
    </w:p>
    <w:p w14:paraId="66553CF0" w14:textId="77777777" w:rsidR="00755474" w:rsidRDefault="00911BCB">
      <w:pPr>
        <w:pStyle w:val="Heading3"/>
        <w:contextualSpacing w:val="0"/>
        <w:rPr>
          <w:b/>
        </w:rPr>
      </w:pPr>
      <w:bookmarkStart w:id="2" w:name="_eyqh6abj4vd4" w:colFirst="0" w:colLast="0"/>
      <w:bookmarkEnd w:id="2"/>
      <w:r>
        <w:rPr>
          <w:b/>
        </w:rPr>
        <w:t>Analysis</w:t>
      </w:r>
    </w:p>
    <w:p w14:paraId="6F0F9F32" w14:textId="77777777" w:rsidR="00755474" w:rsidRDefault="00911BCB">
      <w:pPr>
        <w:contextualSpacing w:val="0"/>
      </w:pPr>
      <w:r>
        <w:t>Ou</w:t>
      </w:r>
      <w:r>
        <w:t>r methodology focused on first building a model which could predict whether or not a given user would eventually click ‘apply’ within their 30 days of usage, and then afterwards determining the most important factors in making that decision. Because of the</w:t>
      </w:r>
      <w:r>
        <w:t xml:space="preserve"> two-fold nature of our mission, we decided to implement a Random Forest Classifier, because it would present accurate predictions while controlling for overfitting, as well as return a measure of the relative </w:t>
      </w:r>
      <w:proofErr w:type="spellStart"/>
      <w:r>
        <w:t>importances</w:t>
      </w:r>
      <w:proofErr w:type="spellEnd"/>
      <w:r>
        <w:t xml:space="preserve"> of the features that we gave as in</w:t>
      </w:r>
      <w:r>
        <w:t>puts. The most important of these features became the ones that we focused further analysis on. Another advantage of the Random Forest is its relatively easy interpretability, which lends itself to extracting and analyzing feature importance.</w:t>
      </w:r>
    </w:p>
    <w:p w14:paraId="455B4377" w14:textId="77777777" w:rsidR="00755474" w:rsidRDefault="00755474">
      <w:pPr>
        <w:contextualSpacing w:val="0"/>
      </w:pPr>
    </w:p>
    <w:p w14:paraId="59380146" w14:textId="77777777" w:rsidR="00755474" w:rsidRDefault="00911BCB">
      <w:pPr>
        <w:contextualSpacing w:val="0"/>
      </w:pPr>
      <w:r>
        <w:t xml:space="preserve">We used the </w:t>
      </w:r>
      <w:proofErr w:type="spellStart"/>
      <w:r>
        <w:rPr>
          <w:i/>
        </w:rPr>
        <w:t>sklearn</w:t>
      </w:r>
      <w:proofErr w:type="spellEnd"/>
      <w:r>
        <w:rPr>
          <w:i/>
        </w:rPr>
        <w:t xml:space="preserve"> </w:t>
      </w:r>
      <w:r>
        <w:t xml:space="preserve">library of Python to build a Random Forest classifier. We first split the data to hold out 20% for testing. With the remaining 80% of non-testing data, we trained our model using 3-fold cross-validation with a 150-tree </w:t>
      </w:r>
      <w:proofErr w:type="spellStart"/>
      <w:r>
        <w:t>hyperparameter</w:t>
      </w:r>
      <w:proofErr w:type="spellEnd"/>
      <w:r>
        <w:t>, then used the</w:t>
      </w:r>
      <w:r>
        <w:t xml:space="preserve"> model to predict data on our testing set, and compare the predicted test values to the true test values.</w:t>
      </w:r>
    </w:p>
    <w:p w14:paraId="5495BA7D" w14:textId="77777777" w:rsidR="00755474" w:rsidRDefault="00755474">
      <w:pPr>
        <w:contextualSpacing w:val="0"/>
      </w:pPr>
    </w:p>
    <w:p w14:paraId="0F202202" w14:textId="77777777" w:rsidR="00755474" w:rsidRDefault="00911BCB">
      <w:pPr>
        <w:contextualSpacing w:val="0"/>
      </w:pPr>
      <w:r>
        <w:t>In addition, we visualized our high coefficient features in Tableau to better understand the relationship between clicking “apply” and user profile i</w:t>
      </w:r>
      <w:r>
        <w:t>nformation. These visualizations reinforced our findings and provide a high-level overview for more general audiences on our findings. We also visualized location data with an interactive map which, even though it wasn’t a high coefficient feature, is part</w:t>
      </w:r>
      <w:r>
        <w:t>icularly conducive to visual analysis. This allowed us to visualize the distribution of Credit Sesame customers across the US.</w:t>
      </w:r>
    </w:p>
    <w:p w14:paraId="5EC55CF9" w14:textId="77777777" w:rsidR="00755474" w:rsidRDefault="00911BCB">
      <w:pPr>
        <w:pStyle w:val="Heading3"/>
        <w:contextualSpacing w:val="0"/>
      </w:pPr>
      <w:bookmarkStart w:id="3" w:name="_qq6am8f6m9u5" w:colFirst="0" w:colLast="0"/>
      <w:bookmarkEnd w:id="3"/>
      <w:r>
        <w:rPr>
          <w:b/>
        </w:rPr>
        <w:t>Findings</w:t>
      </w:r>
    </w:p>
    <w:p w14:paraId="548CA9C7" w14:textId="77777777" w:rsidR="00755474" w:rsidRDefault="00911BCB">
      <w:pPr>
        <w:contextualSpacing w:val="0"/>
      </w:pPr>
      <w:r>
        <w:t xml:space="preserve">In regards to our classification model, our classifier returned a training accuracy of 71.17%, and a test accuracy of </w:t>
      </w:r>
      <w:r>
        <w:rPr>
          <w:b/>
          <w:sz w:val="21"/>
          <w:szCs w:val="21"/>
          <w:highlight w:val="white"/>
        </w:rPr>
        <w:t>71</w:t>
      </w:r>
      <w:r>
        <w:rPr>
          <w:b/>
          <w:sz w:val="21"/>
          <w:szCs w:val="21"/>
          <w:highlight w:val="white"/>
        </w:rPr>
        <w:t>.24%</w:t>
      </w:r>
      <w:r>
        <w:rPr>
          <w:sz w:val="21"/>
          <w:szCs w:val="21"/>
          <w:highlight w:val="white"/>
        </w:rPr>
        <w:t xml:space="preserve">. </w:t>
      </w:r>
      <w:r>
        <w:t xml:space="preserve">We also determined an ordering for attribute importance which dictates further interpretation. The five most important features for determining classification are </w:t>
      </w:r>
      <w:r>
        <w:rPr>
          <w:i/>
        </w:rPr>
        <w:t xml:space="preserve">Total Session Length, Average Session Length, Total </w:t>
      </w:r>
      <w:proofErr w:type="spellStart"/>
      <w:r>
        <w:rPr>
          <w:i/>
        </w:rPr>
        <w:t>Tradelines</w:t>
      </w:r>
      <w:proofErr w:type="spellEnd"/>
      <w:r>
        <w:rPr>
          <w:i/>
        </w:rPr>
        <w:t xml:space="preserve"> Open Balance, Total Page</w:t>
      </w:r>
      <w:r>
        <w:rPr>
          <w:i/>
        </w:rPr>
        <w:t xml:space="preserve"> Views, and Total Click Counts</w:t>
      </w:r>
      <w:r>
        <w:t>. The rest are enumerated below:</w:t>
      </w:r>
    </w:p>
    <w:p w14:paraId="335A11A8" w14:textId="77777777" w:rsidR="00755474" w:rsidRDefault="00755474">
      <w:pPr>
        <w:contextualSpacing w:val="0"/>
      </w:pPr>
    </w:p>
    <w:p w14:paraId="2164361F" w14:textId="77777777" w:rsidR="00755474" w:rsidRDefault="00911BCB">
      <w:pPr>
        <w:contextualSpacing w:val="0"/>
        <w:jc w:val="center"/>
      </w:pPr>
      <w:r>
        <w:rPr>
          <w:noProof/>
          <w:lang w:val="en-US"/>
        </w:rPr>
        <w:lastRenderedPageBreak/>
        <w:drawing>
          <wp:inline distT="114300" distB="114300" distL="114300" distR="114300" wp14:anchorId="720AE11A" wp14:editId="266AA832">
            <wp:extent cx="2346163" cy="34147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346163" cy="3414713"/>
                    </a:xfrm>
                    <a:prstGeom prst="rect">
                      <a:avLst/>
                    </a:prstGeom>
                    <a:ln/>
                  </pic:spPr>
                </pic:pic>
              </a:graphicData>
            </a:graphic>
          </wp:inline>
        </w:drawing>
      </w:r>
      <w:r>
        <w:rPr>
          <w:noProof/>
          <w:lang w:val="en-US"/>
        </w:rPr>
        <w:drawing>
          <wp:inline distT="114300" distB="114300" distL="114300" distR="114300" wp14:anchorId="64C3427B" wp14:editId="31DA4AFE">
            <wp:extent cx="2557950" cy="32623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557950" cy="3262313"/>
                    </a:xfrm>
                    <a:prstGeom prst="rect">
                      <a:avLst/>
                    </a:prstGeom>
                    <a:ln/>
                  </pic:spPr>
                </pic:pic>
              </a:graphicData>
            </a:graphic>
          </wp:inline>
        </w:drawing>
      </w:r>
    </w:p>
    <w:p w14:paraId="1C7CFFCE" w14:textId="77777777" w:rsidR="00755474" w:rsidRDefault="00911BCB">
      <w:pPr>
        <w:contextualSpacing w:val="0"/>
        <w:jc w:val="center"/>
        <w:rPr>
          <w:i/>
          <w:sz w:val="20"/>
          <w:szCs w:val="20"/>
        </w:rPr>
      </w:pPr>
      <w:r>
        <w:rPr>
          <w:i/>
          <w:sz w:val="20"/>
          <w:szCs w:val="20"/>
        </w:rPr>
        <w:t>Figure 2.a: Table of feature importance (top 20 only), sorted in descending order of importance.</w:t>
      </w:r>
    </w:p>
    <w:p w14:paraId="026E52B0" w14:textId="77777777" w:rsidR="00755474" w:rsidRDefault="00911BCB">
      <w:pPr>
        <w:contextualSpacing w:val="0"/>
        <w:jc w:val="center"/>
        <w:rPr>
          <w:i/>
          <w:sz w:val="20"/>
          <w:szCs w:val="20"/>
        </w:rPr>
      </w:pPr>
      <w:r>
        <w:rPr>
          <w:i/>
          <w:sz w:val="20"/>
          <w:szCs w:val="20"/>
        </w:rPr>
        <w:t>Figure 2.b: Bar Chart of feature importance, sorted in descending order of importance.</w:t>
      </w:r>
    </w:p>
    <w:p w14:paraId="5D66DD0A" w14:textId="77777777" w:rsidR="00755474" w:rsidRDefault="00755474">
      <w:pPr>
        <w:contextualSpacing w:val="0"/>
      </w:pPr>
    </w:p>
    <w:p w14:paraId="4E3A9DD4" w14:textId="77777777" w:rsidR="00755474" w:rsidRDefault="00911BCB">
      <w:pPr>
        <w:contextualSpacing w:val="0"/>
      </w:pPr>
      <w:r>
        <w:t>As s</w:t>
      </w:r>
      <w:r>
        <w:t xml:space="preserve">een above, our feature </w:t>
      </w:r>
      <w:proofErr w:type="spellStart"/>
      <w:r>
        <w:t>importances</w:t>
      </w:r>
      <w:proofErr w:type="spellEnd"/>
      <w:r>
        <w:t xml:space="preserve"> match intuition; it makes logical sense that behaviors of customers while using Credit Sesame, like session length and page views, are important factors in determining whether one will convert. However, interestingly enou</w:t>
      </w:r>
      <w:r>
        <w:t xml:space="preserve">gh, we see that user profile factors, which users contribute to at the beginning of account creation, are also important; these include </w:t>
      </w:r>
      <w:proofErr w:type="spellStart"/>
      <w:r>
        <w:t>tradelines</w:t>
      </w:r>
      <w:proofErr w:type="spellEnd"/>
      <w:r>
        <w:t xml:space="preserve"> open balance (an estimate of the total debt a person has) and the number of </w:t>
      </w:r>
      <w:proofErr w:type="spellStart"/>
      <w:r>
        <w:t>tradelines</w:t>
      </w:r>
      <w:proofErr w:type="spellEnd"/>
      <w:r>
        <w:t xml:space="preserve"> in derogatory conditio</w:t>
      </w:r>
      <w:r>
        <w:t>n (</w:t>
      </w:r>
      <w:r>
        <w:rPr>
          <w:color w:val="222222"/>
          <w:highlight w:val="white"/>
        </w:rPr>
        <w:t>an entry that may be considered negative by lenders because it indicates risk and hurts a person’s ability to qualify for credit or other services)</w:t>
      </w:r>
      <w:r>
        <w:t xml:space="preserve">. These factors are ones that would have been further explored if we had more time, because they are ones </w:t>
      </w:r>
      <w:r>
        <w:t>that Credit Sesame could potentially consider as soon as someone makes an account, rather than waiting for their 30 day activity.</w:t>
      </w:r>
    </w:p>
    <w:p w14:paraId="39C5ACA7" w14:textId="77777777" w:rsidR="00755474" w:rsidRDefault="00755474">
      <w:pPr>
        <w:contextualSpacing w:val="0"/>
      </w:pPr>
    </w:p>
    <w:p w14:paraId="6F7D45F3" w14:textId="77777777" w:rsidR="00755474" w:rsidRDefault="00911BCB">
      <w:pPr>
        <w:contextualSpacing w:val="0"/>
      </w:pPr>
      <w:r>
        <w:t>Our interactive dashboard highlights the key behaviors of users that apply for services on Credit Sesame as well as behaviors</w:t>
      </w:r>
      <w:r>
        <w:t xml:space="preserve"> that don’t seem to be correlated (ex: platform use). The dashboard also offers a comprehensive view of the distribution of Credit Sesame customers across the United States. Screenshots of the dashboard are provided here:</w:t>
      </w:r>
    </w:p>
    <w:p w14:paraId="33F17FD4" w14:textId="77777777" w:rsidR="00755474" w:rsidRDefault="00755474">
      <w:pPr>
        <w:contextualSpacing w:val="0"/>
      </w:pPr>
    </w:p>
    <w:p w14:paraId="52C1A7EE" w14:textId="77777777" w:rsidR="00755474" w:rsidRDefault="00911BCB">
      <w:pPr>
        <w:contextualSpacing w:val="0"/>
      </w:pPr>
      <w:r>
        <w:rPr>
          <w:noProof/>
          <w:lang w:val="en-US"/>
        </w:rPr>
        <w:lastRenderedPageBreak/>
        <w:drawing>
          <wp:inline distT="114300" distB="114300" distL="114300" distR="114300" wp14:anchorId="1E7BB1BD" wp14:editId="0A5E73BC">
            <wp:extent cx="6281738" cy="324308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281738" cy="3243086"/>
                    </a:xfrm>
                    <a:prstGeom prst="rect">
                      <a:avLst/>
                    </a:prstGeom>
                    <a:ln/>
                  </pic:spPr>
                </pic:pic>
              </a:graphicData>
            </a:graphic>
          </wp:inline>
        </w:drawing>
      </w:r>
      <w:r>
        <w:rPr>
          <w:noProof/>
          <w:lang w:val="en-US"/>
        </w:rPr>
        <w:drawing>
          <wp:inline distT="114300" distB="114300" distL="114300" distR="114300" wp14:anchorId="648A9F21" wp14:editId="350798CB">
            <wp:extent cx="5605463" cy="448257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05463" cy="4482573"/>
                    </a:xfrm>
                    <a:prstGeom prst="rect">
                      <a:avLst/>
                    </a:prstGeom>
                    <a:ln/>
                  </pic:spPr>
                </pic:pic>
              </a:graphicData>
            </a:graphic>
          </wp:inline>
        </w:drawing>
      </w:r>
    </w:p>
    <w:p w14:paraId="6A542CFA" w14:textId="77777777" w:rsidR="00755474" w:rsidRDefault="00911BCB">
      <w:pPr>
        <w:contextualSpacing w:val="0"/>
        <w:jc w:val="center"/>
        <w:rPr>
          <w:i/>
          <w:sz w:val="20"/>
          <w:szCs w:val="20"/>
        </w:rPr>
      </w:pPr>
      <w:r>
        <w:rPr>
          <w:i/>
          <w:sz w:val="20"/>
          <w:szCs w:val="20"/>
        </w:rPr>
        <w:t xml:space="preserve">Figure 3.a: Tableau Dashboard </w:t>
      </w:r>
      <w:r>
        <w:rPr>
          <w:i/>
          <w:sz w:val="20"/>
          <w:szCs w:val="20"/>
        </w:rPr>
        <w:t>showcasing Credit Sesame user information across the United States. If opened in Tableau, this graphic is interactive and can be filtered using the categories on the right.</w:t>
      </w:r>
    </w:p>
    <w:p w14:paraId="3A4E52A7" w14:textId="77777777" w:rsidR="00755474" w:rsidRDefault="00911BCB">
      <w:pPr>
        <w:pStyle w:val="Heading3"/>
        <w:contextualSpacing w:val="0"/>
      </w:pPr>
      <w:bookmarkStart w:id="4" w:name="_362c9em51380" w:colFirst="0" w:colLast="0"/>
      <w:bookmarkEnd w:id="4"/>
      <w:r>
        <w:rPr>
          <w:b/>
        </w:rPr>
        <w:lastRenderedPageBreak/>
        <w:t>Conclusion</w:t>
      </w:r>
    </w:p>
    <w:p w14:paraId="69C5B6B8" w14:textId="77777777" w:rsidR="00755474" w:rsidRDefault="00911BCB">
      <w:pPr>
        <w:contextualSpacing w:val="0"/>
      </w:pPr>
      <w:r>
        <w:t xml:space="preserve">We present a </w:t>
      </w:r>
      <w:r>
        <w:rPr>
          <w:b/>
        </w:rPr>
        <w:t>random forest model</w:t>
      </w:r>
      <w:r>
        <w:t xml:space="preserve"> which can accurately predict user conversion into valuable customer 71% of the time, given only information about their user profile and their behavior using the service in the past 30 days. We also isolate a few factors that are most impactful in user co</w:t>
      </w:r>
      <w:r>
        <w:t>nversion, which include both factors involved at account creation as well as after the 30 day engagement period. Credit Sesame can focus on these factors specifically when interpreting the results from our model.</w:t>
      </w:r>
    </w:p>
    <w:p w14:paraId="60FF99D1" w14:textId="77777777" w:rsidR="00755474" w:rsidRDefault="00755474">
      <w:pPr>
        <w:contextualSpacing w:val="0"/>
      </w:pPr>
    </w:p>
    <w:p w14:paraId="48BCD31F" w14:textId="77777777" w:rsidR="00755474" w:rsidRDefault="00911BCB">
      <w:pPr>
        <w:contextualSpacing w:val="0"/>
      </w:pPr>
      <w:r>
        <w:t xml:space="preserve">We also present a handy </w:t>
      </w:r>
      <w:r>
        <w:rPr>
          <w:b/>
        </w:rPr>
        <w:t>Tableau visualizat</w:t>
      </w:r>
      <w:r>
        <w:rPr>
          <w:b/>
        </w:rPr>
        <w:t>ion dashboard</w:t>
      </w:r>
      <w:r>
        <w:t xml:space="preserve"> which allows Credit Sesame to view these important factors as well as the distribution of customers across the country according to several categorical buckets. This is useful in quickly determining location-based demographic info of current </w:t>
      </w:r>
      <w:r>
        <w:t>users and could be used in the future to predict patterns in new ones.</w:t>
      </w:r>
    </w:p>
    <w:sectPr w:rsidR="0075547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E10002FF" w:usb1="4000FCFF" w:usb2="00000009"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4"/>
  </w:compat>
  <w:rsids>
    <w:rsidRoot w:val="00755474"/>
    <w:rsid w:val="00755474"/>
    <w:rsid w:val="00911B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51260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1007</Words>
  <Characters>5742</Characters>
  <Application>Microsoft Macintosh Word</Application>
  <DocSecurity>0</DocSecurity>
  <Lines>47</Lines>
  <Paragraphs>13</Paragraphs>
  <ScaleCrop>false</ScaleCrop>
  <LinksUpToDate>false</LinksUpToDate>
  <CharactersWithSpaces>6736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Jie Cai</cp:lastModifiedBy>
  <cp:revision>2</cp:revision>
  <dcterms:created xsi:type="dcterms:W3CDTF">2018-11-13T14:41:00Z</dcterms:created>
  <dcterms:modified xsi:type="dcterms:W3CDTF">2018-11-13T14:42:00Z</dcterms:modified>
</cp:coreProperties>
</file>