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84137" w14:textId="77777777" w:rsidR="0037527E" w:rsidRDefault="00000000">
      <w:pPr>
        <w:spacing w:before="30" w:after="10"/>
        <w:jc w:val="center"/>
        <w:rPr>
          <w:b/>
          <w:bCs/>
          <w:color w:val="1B3A5C"/>
          <w:sz w:val="30"/>
          <w:szCs w:val="30"/>
        </w:rPr>
      </w:pPr>
      <w:r>
        <w:rPr>
          <w:b/>
          <w:bCs/>
          <w:color w:val="1B3A5C"/>
          <w:sz w:val="30"/>
          <w:szCs w:val="30"/>
        </w:rPr>
        <w:t xml:space="preserve">Pharmacovigilance </w:t>
      </w:r>
    </w:p>
    <w:p w14:paraId="179FBCA3" w14:textId="294EC13E" w:rsidR="000437CD" w:rsidRDefault="00000000">
      <w:pPr>
        <w:spacing w:before="30" w:after="10"/>
        <w:jc w:val="center"/>
        <w:rPr>
          <w:b/>
          <w:bCs/>
          <w:color w:val="1B3A5C"/>
          <w:sz w:val="30"/>
          <w:szCs w:val="30"/>
        </w:rPr>
      </w:pPr>
      <w:r>
        <w:rPr>
          <w:b/>
          <w:bCs/>
          <w:color w:val="1B3A5C"/>
          <w:sz w:val="30"/>
          <w:szCs w:val="30"/>
        </w:rPr>
        <w:t>Text Analytics</w:t>
      </w:r>
    </w:p>
    <w:p w14:paraId="5FBAC314" w14:textId="77777777" w:rsidR="0037527E" w:rsidRDefault="0037527E">
      <w:pPr>
        <w:spacing w:before="30" w:after="10"/>
        <w:jc w:val="center"/>
      </w:pPr>
    </w:p>
    <w:p w14:paraId="66146CC3" w14:textId="77777777" w:rsidR="000437CD" w:rsidRDefault="00000000">
      <w:pPr>
        <w:spacing w:after="5"/>
        <w:jc w:val="center"/>
      </w:pPr>
      <w:r>
        <w:rPr>
          <w:color w:val="2E75B6"/>
          <w:sz w:val="21"/>
          <w:szCs w:val="21"/>
        </w:rPr>
        <w:t>Automated Detection of Adverse Drug Events (ADEs)</w:t>
      </w:r>
    </w:p>
    <w:p w14:paraId="389D73D8" w14:textId="5EECF79F" w:rsidR="000437CD" w:rsidRDefault="00000000">
      <w:pPr>
        <w:spacing w:after="100"/>
        <w:jc w:val="center"/>
      </w:pPr>
      <w:r>
        <w:rPr>
          <w:i/>
          <w:iCs/>
          <w:color w:val="555555"/>
        </w:rPr>
        <w:t xml:space="preserve">Jacob Featherstone, Lucas Penney, Feroz Khan, Faye Wu, Matthieu </w:t>
      </w:r>
      <w:r w:rsidR="0037527E">
        <w:rPr>
          <w:i/>
          <w:iCs/>
          <w:color w:val="555555"/>
        </w:rPr>
        <w:t>Lafont</w:t>
      </w:r>
    </w:p>
    <w:p w14:paraId="0B71FABE" w14:textId="77777777" w:rsidR="000437CD" w:rsidRDefault="00000000">
      <w:pPr>
        <w:pBdr>
          <w:bottom w:val="single" w:sz="1" w:space="2" w:color="2E75B6"/>
        </w:pBdr>
        <w:spacing w:before="160" w:after="40"/>
      </w:pPr>
      <w:r>
        <w:rPr>
          <w:b/>
          <w:bCs/>
          <w:color w:val="1B3A5C"/>
          <w:sz w:val="21"/>
          <w:szCs w:val="21"/>
        </w:rPr>
        <w:t>1. Introduction &amp; Problem Statement</w:t>
      </w:r>
    </w:p>
    <w:p w14:paraId="63679281" w14:textId="77777777" w:rsidR="0037527E" w:rsidRDefault="0037527E">
      <w:pPr>
        <w:spacing w:before="30" w:after="30" w:line="244" w:lineRule="auto"/>
        <w:jc w:val="both"/>
        <w:rPr>
          <w:color w:val="333333"/>
        </w:rPr>
      </w:pPr>
    </w:p>
    <w:p w14:paraId="2EACF343" w14:textId="11E398BF" w:rsidR="000437CD" w:rsidRDefault="00000000">
      <w:pPr>
        <w:spacing w:before="30" w:after="30" w:line="244" w:lineRule="auto"/>
        <w:jc w:val="both"/>
      </w:pPr>
      <w:r>
        <w:rPr>
          <w:color w:val="333333"/>
        </w:rPr>
        <w:t>Pharmacovigilance</w:t>
      </w:r>
      <w:r w:rsidR="0037527E">
        <w:rPr>
          <w:color w:val="333333"/>
        </w:rPr>
        <w:t xml:space="preserve"> - </w:t>
      </w:r>
      <w:r>
        <w:rPr>
          <w:color w:val="333333"/>
        </w:rPr>
        <w:t>post-market drug safety monitoring</w:t>
      </w:r>
      <w:r w:rsidR="0037527E">
        <w:rPr>
          <w:color w:val="333333"/>
        </w:rPr>
        <w:t xml:space="preserve"> - </w:t>
      </w:r>
      <w:r>
        <w:rPr>
          <w:color w:val="333333"/>
        </w:rPr>
        <w:t xml:space="preserve">is a regulatory obligation for pharmaceutical companies and oversight bodies including the FDA and Health Canada. It requires continuous analysis of unstructured text from case reports, scientific literature, and patient-generated content to identify Adverse Drug Events (ADEs). Manual expert review is expensive, slow, and unscalable as biomedical text volume grows, and failure to detect ADEs early exposes patients to preventable harm. While transformer-based models such as </w:t>
      </w:r>
      <w:proofErr w:type="spellStart"/>
      <w:r>
        <w:rPr>
          <w:color w:val="333333"/>
        </w:rPr>
        <w:t>BioBERT</w:t>
      </w:r>
      <w:proofErr w:type="spellEnd"/>
      <w:r>
        <w:rPr>
          <w:color w:val="333333"/>
        </w:rPr>
        <w:t xml:space="preserve"> have shown promise for ADE detection, they require substantial computational resources and large labeled corpora. Our project demonstrates that domain-specific NER features combined with traditional classifiers can achieve competitive performance at significantly lower computational cost, offering a practical solution for automated sentence-level ADE flagging that serves both clinical and business needs.</w:t>
      </w:r>
    </w:p>
    <w:p w14:paraId="0E2C20CB" w14:textId="38205D25" w:rsidR="0037527E" w:rsidRPr="0037527E" w:rsidRDefault="00000000" w:rsidP="0037527E">
      <w:pPr>
        <w:pBdr>
          <w:bottom w:val="single" w:sz="1" w:space="2" w:color="2E75B6"/>
        </w:pBdr>
        <w:spacing w:before="160" w:after="40"/>
      </w:pPr>
      <w:r>
        <w:rPr>
          <w:b/>
          <w:bCs/>
          <w:color w:val="1B3A5C"/>
          <w:sz w:val="21"/>
          <w:szCs w:val="21"/>
        </w:rPr>
        <w:t>2. Data</w:t>
      </w:r>
    </w:p>
    <w:p w14:paraId="04FE9005" w14:textId="77777777" w:rsidR="0037527E" w:rsidRDefault="0037527E">
      <w:pPr>
        <w:spacing w:before="30" w:after="30" w:line="244" w:lineRule="auto"/>
        <w:jc w:val="both"/>
        <w:rPr>
          <w:color w:val="333333"/>
        </w:rPr>
      </w:pPr>
    </w:p>
    <w:p w14:paraId="77CAD3C5" w14:textId="4CA22F54" w:rsidR="000437CD" w:rsidRDefault="00000000">
      <w:pPr>
        <w:spacing w:before="30" w:after="30" w:line="244" w:lineRule="auto"/>
        <w:jc w:val="both"/>
      </w:pPr>
      <w:r>
        <w:rPr>
          <w:color w:val="333333"/>
        </w:rPr>
        <w:t xml:space="preserve">We used the ADE Corpus V2 from </w:t>
      </w:r>
      <w:proofErr w:type="spellStart"/>
      <w:r>
        <w:rPr>
          <w:color w:val="333333"/>
        </w:rPr>
        <w:t>HuggingFace</w:t>
      </w:r>
      <w:proofErr w:type="spellEnd"/>
      <w:r>
        <w:rPr>
          <w:color w:val="333333"/>
        </w:rPr>
        <w:t xml:space="preserve"> (</w:t>
      </w:r>
      <w:proofErr w:type="spellStart"/>
      <w:r>
        <w:rPr>
          <w:color w:val="333333"/>
        </w:rPr>
        <w:t>SetFit</w:t>
      </w:r>
      <w:proofErr w:type="spellEnd"/>
      <w:r>
        <w:rPr>
          <w:color w:val="333333"/>
        </w:rPr>
        <w:t>/ade_corpus_v2_classification): 17,637 labeled medical sentences from clinical case reports and biomedical literature with binary labels</w:t>
      </w:r>
      <w:r w:rsidR="0037527E">
        <w:rPr>
          <w:color w:val="333333"/>
        </w:rPr>
        <w:t xml:space="preserve">- </w:t>
      </w:r>
      <w:r>
        <w:rPr>
          <w:color w:val="333333"/>
        </w:rPr>
        <w:t>ADE (29.2%) or Not-Related (70.8%). This class imbalance informed our use of balanced class weights and evaluation metrics emphasizing minority-class performance.</w:t>
      </w:r>
    </w:p>
    <w:p w14:paraId="3B2B35B0" w14:textId="77777777" w:rsidR="000437CD" w:rsidRDefault="00000000">
      <w:pPr>
        <w:pBdr>
          <w:bottom w:val="single" w:sz="1" w:space="2" w:color="2E75B6"/>
        </w:pBdr>
        <w:spacing w:before="160" w:after="40"/>
      </w:pPr>
      <w:r>
        <w:rPr>
          <w:b/>
          <w:bCs/>
          <w:color w:val="1B3A5C"/>
          <w:sz w:val="21"/>
          <w:szCs w:val="21"/>
        </w:rPr>
        <w:t>3. Methodology</w:t>
      </w:r>
    </w:p>
    <w:p w14:paraId="77987D1B" w14:textId="77777777" w:rsidR="0037527E" w:rsidRDefault="0037527E">
      <w:pPr>
        <w:spacing w:before="30" w:after="30" w:line="244" w:lineRule="auto"/>
        <w:jc w:val="both"/>
        <w:rPr>
          <w:b/>
          <w:bCs/>
          <w:color w:val="333333"/>
        </w:rPr>
      </w:pPr>
    </w:p>
    <w:p w14:paraId="6B3547D0" w14:textId="77777777" w:rsidR="0037527E" w:rsidRDefault="00000000" w:rsidP="0037527E">
      <w:pPr>
        <w:pStyle w:val="ListParagraph"/>
        <w:numPr>
          <w:ilvl w:val="0"/>
          <w:numId w:val="2"/>
        </w:numPr>
        <w:spacing w:before="30" w:after="30" w:line="244" w:lineRule="auto"/>
        <w:jc w:val="both"/>
      </w:pPr>
      <w:r w:rsidRPr="0037527E">
        <w:rPr>
          <w:b/>
          <w:bCs/>
          <w:color w:val="333333"/>
        </w:rPr>
        <w:t xml:space="preserve">Text Preprocessing. </w:t>
      </w:r>
      <w:r w:rsidRPr="0037527E">
        <w:rPr>
          <w:color w:val="333333"/>
        </w:rPr>
        <w:t xml:space="preserve">Sentences were lowercased, tokenized via NLTK, and stripped of punctuation-only and digit-only tokens. POS-aware lemmatization mapped Penn Treebank tags to WordNet categories, ensuring contextually accurate reduction that preserves medical terminology (e.g., “injections” → “injection,” not an incorrect verb form). We retained </w:t>
      </w:r>
      <w:proofErr w:type="spellStart"/>
      <w:r w:rsidRPr="0037527E">
        <w:rPr>
          <w:color w:val="333333"/>
        </w:rPr>
        <w:t>sklearn’s</w:t>
      </w:r>
      <w:proofErr w:type="spellEnd"/>
      <w:r w:rsidRPr="0037527E">
        <w:rPr>
          <w:color w:val="333333"/>
        </w:rPr>
        <w:t xml:space="preserve"> default English stop word list; while </w:t>
      </w:r>
      <w:proofErr w:type="gramStart"/>
      <w:r w:rsidRPr="0037527E">
        <w:rPr>
          <w:color w:val="333333"/>
        </w:rPr>
        <w:t>this risks</w:t>
      </w:r>
      <w:proofErr w:type="gramEnd"/>
      <w:r w:rsidRPr="0037527E">
        <w:rPr>
          <w:color w:val="333333"/>
        </w:rPr>
        <w:t xml:space="preserve"> removing potentially informative clinical terms, it provides a strong baseline and avoids introducing manual bias into the vocabulary.</w:t>
      </w:r>
    </w:p>
    <w:p w14:paraId="2D7E5D8A" w14:textId="50050247" w:rsidR="000437CD" w:rsidRDefault="00000000" w:rsidP="0037527E">
      <w:pPr>
        <w:pStyle w:val="ListParagraph"/>
        <w:numPr>
          <w:ilvl w:val="0"/>
          <w:numId w:val="2"/>
        </w:numPr>
        <w:spacing w:before="30" w:after="30" w:line="244" w:lineRule="auto"/>
        <w:jc w:val="both"/>
      </w:pPr>
      <w:r w:rsidRPr="0037527E">
        <w:rPr>
          <w:b/>
          <w:bCs/>
          <w:color w:val="333333"/>
        </w:rPr>
        <w:t xml:space="preserve">Named Entity Recognition (NER). </w:t>
      </w:r>
      <w:r w:rsidRPr="0037527E">
        <w:rPr>
          <w:color w:val="333333"/>
        </w:rPr>
        <w:t xml:space="preserve">The </w:t>
      </w:r>
      <w:proofErr w:type="spellStart"/>
      <w:r w:rsidRPr="0037527E">
        <w:rPr>
          <w:color w:val="333333"/>
        </w:rPr>
        <w:t>scispaCy</w:t>
      </w:r>
      <w:proofErr w:type="spellEnd"/>
      <w:r w:rsidRPr="0037527E">
        <w:rPr>
          <w:color w:val="333333"/>
        </w:rPr>
        <w:t xml:space="preserve"> BC5CDR model (en_ner_bc5cdr_md), trained on the </w:t>
      </w:r>
      <w:proofErr w:type="spellStart"/>
      <w:r w:rsidRPr="0037527E">
        <w:rPr>
          <w:color w:val="333333"/>
        </w:rPr>
        <w:t>BioCreative</w:t>
      </w:r>
      <w:proofErr w:type="spellEnd"/>
      <w:r w:rsidRPr="0037527E">
        <w:rPr>
          <w:color w:val="333333"/>
        </w:rPr>
        <w:t xml:space="preserve"> V corpus, extracted CHEMICAL (drug) and DISEASE (condition) entities. Five features were engineered: </w:t>
      </w:r>
      <w:proofErr w:type="spellStart"/>
      <w:r w:rsidRPr="0037527E">
        <w:rPr>
          <w:color w:val="333333"/>
        </w:rPr>
        <w:t>has_drug</w:t>
      </w:r>
      <w:proofErr w:type="spellEnd"/>
      <w:r w:rsidRPr="0037527E">
        <w:rPr>
          <w:color w:val="333333"/>
        </w:rPr>
        <w:t xml:space="preserve">, </w:t>
      </w:r>
      <w:proofErr w:type="spellStart"/>
      <w:r w:rsidRPr="0037527E">
        <w:rPr>
          <w:color w:val="333333"/>
        </w:rPr>
        <w:t>has_disease</w:t>
      </w:r>
      <w:proofErr w:type="spellEnd"/>
      <w:r w:rsidRPr="0037527E">
        <w:rPr>
          <w:color w:val="333333"/>
        </w:rPr>
        <w:t xml:space="preserve">, </w:t>
      </w:r>
      <w:proofErr w:type="spellStart"/>
      <w:r w:rsidRPr="0037527E">
        <w:rPr>
          <w:color w:val="333333"/>
        </w:rPr>
        <w:t>drug_count</w:t>
      </w:r>
      <w:proofErr w:type="spellEnd"/>
      <w:r w:rsidRPr="0037527E">
        <w:rPr>
          <w:color w:val="333333"/>
        </w:rPr>
        <w:t xml:space="preserve">, </w:t>
      </w:r>
      <w:proofErr w:type="spellStart"/>
      <w:r w:rsidRPr="0037527E">
        <w:rPr>
          <w:color w:val="333333"/>
        </w:rPr>
        <w:t>disease_count</w:t>
      </w:r>
      <w:proofErr w:type="spellEnd"/>
      <w:r w:rsidRPr="0037527E">
        <w:rPr>
          <w:color w:val="333333"/>
        </w:rPr>
        <w:t xml:space="preserve">, and </w:t>
      </w:r>
      <w:proofErr w:type="spellStart"/>
      <w:r w:rsidRPr="0037527E">
        <w:rPr>
          <w:color w:val="333333"/>
        </w:rPr>
        <w:t>has_both</w:t>
      </w:r>
      <w:proofErr w:type="spellEnd"/>
      <w:r w:rsidRPr="0037527E">
        <w:rPr>
          <w:color w:val="333333"/>
        </w:rPr>
        <w:t xml:space="preserve"> (drug–disease co-occurrence). The core hypothesis is that ADE sentences are significantly more likely to contain co-occurring </w:t>
      </w:r>
      <w:proofErr w:type="gramStart"/>
      <w:r w:rsidRPr="0037527E">
        <w:rPr>
          <w:color w:val="333333"/>
        </w:rPr>
        <w:t>drug</w:t>
      </w:r>
      <w:proofErr w:type="gramEnd"/>
      <w:r w:rsidRPr="0037527E">
        <w:rPr>
          <w:color w:val="333333"/>
        </w:rPr>
        <w:t xml:space="preserve"> and disease mentions</w:t>
      </w:r>
      <w:r w:rsidR="0037527E" w:rsidRPr="0037527E">
        <w:rPr>
          <w:color w:val="333333"/>
        </w:rPr>
        <w:t xml:space="preserve">- </w:t>
      </w:r>
      <w:r w:rsidRPr="0037527E">
        <w:rPr>
          <w:color w:val="333333"/>
        </w:rPr>
        <w:t xml:space="preserve">a signal bag-of-words representations cannot capture. Extraction quality was validated via </w:t>
      </w:r>
      <w:proofErr w:type="spellStart"/>
      <w:r w:rsidRPr="0037527E">
        <w:rPr>
          <w:color w:val="333333"/>
        </w:rPr>
        <w:t>spaCy’s</w:t>
      </w:r>
      <w:proofErr w:type="spellEnd"/>
      <w:r w:rsidRPr="0037527E">
        <w:rPr>
          <w:color w:val="333333"/>
        </w:rPr>
        <w:t xml:space="preserve"> </w:t>
      </w:r>
      <w:proofErr w:type="spellStart"/>
      <w:r w:rsidRPr="0037527E">
        <w:rPr>
          <w:color w:val="333333"/>
        </w:rPr>
        <w:t>displaCy</w:t>
      </w:r>
      <w:proofErr w:type="spellEnd"/>
      <w:r w:rsidRPr="0037527E">
        <w:rPr>
          <w:color w:val="333333"/>
        </w:rPr>
        <w:t xml:space="preserve"> renderer on random samples, confirming accurate entity identification in clinical text.</w:t>
      </w:r>
    </w:p>
    <w:p w14:paraId="63D74B93" w14:textId="6367CC14" w:rsidR="000437CD" w:rsidRDefault="00000000" w:rsidP="0037527E">
      <w:pPr>
        <w:pStyle w:val="ListParagraph"/>
        <w:numPr>
          <w:ilvl w:val="0"/>
          <w:numId w:val="2"/>
        </w:numPr>
        <w:spacing w:before="30" w:after="30" w:line="244" w:lineRule="auto"/>
        <w:jc w:val="both"/>
      </w:pPr>
      <w:r w:rsidRPr="0037527E">
        <w:rPr>
          <w:b/>
          <w:bCs/>
          <w:color w:val="333333"/>
        </w:rPr>
        <w:t xml:space="preserve">Feature Engineering. </w:t>
      </w:r>
      <w:r w:rsidRPr="0037527E">
        <w:rPr>
          <w:color w:val="333333"/>
        </w:rPr>
        <w:t xml:space="preserve">We chose TF-IDF over raw </w:t>
      </w:r>
      <w:proofErr w:type="spellStart"/>
      <w:r w:rsidRPr="0037527E">
        <w:rPr>
          <w:color w:val="333333"/>
        </w:rPr>
        <w:t>CountVectorizer</w:t>
      </w:r>
      <w:proofErr w:type="spellEnd"/>
      <w:r w:rsidRPr="0037527E">
        <w:rPr>
          <w:color w:val="333333"/>
        </w:rPr>
        <w:t xml:space="preserve"> because TF-IDF down-weights ubiquitous terms carrying little discriminative value</w:t>
      </w:r>
      <w:r w:rsidR="0037527E" w:rsidRPr="0037527E">
        <w:rPr>
          <w:color w:val="333333"/>
        </w:rPr>
        <w:t xml:space="preserve">- </w:t>
      </w:r>
      <w:r w:rsidRPr="0037527E">
        <w:rPr>
          <w:color w:val="333333"/>
        </w:rPr>
        <w:t>critical in medical text where high-frequency clinical terms could dominate the feature space. We used 5,000 features (unigrams + bigrams, English stop words removed) and appended the five standardized NER features, yielding a 5,005-dimensional hybrid vector combining lexical patterns with structured biomedical entity information.</w:t>
      </w:r>
    </w:p>
    <w:p w14:paraId="50E9357E" w14:textId="77777777" w:rsidR="0037527E" w:rsidRPr="0037527E" w:rsidRDefault="00000000" w:rsidP="0037527E">
      <w:pPr>
        <w:pStyle w:val="ListParagraph"/>
        <w:numPr>
          <w:ilvl w:val="0"/>
          <w:numId w:val="2"/>
        </w:numPr>
        <w:spacing w:before="30" w:after="30" w:line="244" w:lineRule="auto"/>
        <w:jc w:val="both"/>
        <w:rPr>
          <w:color w:val="333333"/>
        </w:rPr>
      </w:pPr>
      <w:r w:rsidRPr="0037527E">
        <w:rPr>
          <w:b/>
          <w:bCs/>
          <w:color w:val="333333"/>
        </w:rPr>
        <w:t xml:space="preserve">Classification Modeling. </w:t>
      </w:r>
      <w:r w:rsidRPr="0037527E">
        <w:rPr>
          <w:color w:val="333333"/>
        </w:rPr>
        <w:t xml:space="preserve">Three configurations isolated each feature source’s contribution. </w:t>
      </w:r>
    </w:p>
    <w:p w14:paraId="68CB8EAA" w14:textId="77777777" w:rsidR="0037527E" w:rsidRPr="0037527E" w:rsidRDefault="00000000" w:rsidP="0037527E">
      <w:pPr>
        <w:pStyle w:val="ListParagraph"/>
        <w:numPr>
          <w:ilvl w:val="0"/>
          <w:numId w:val="2"/>
        </w:numPr>
        <w:spacing w:before="30" w:after="30" w:line="244" w:lineRule="auto"/>
        <w:jc w:val="both"/>
        <w:rPr>
          <w:color w:val="333333"/>
        </w:rPr>
      </w:pPr>
      <w:r w:rsidRPr="0037527E">
        <w:rPr>
          <w:b/>
          <w:bCs/>
          <w:color w:val="333333"/>
        </w:rPr>
        <w:t xml:space="preserve">Baseline (TF-IDF only): </w:t>
      </w:r>
      <w:r w:rsidRPr="0037527E">
        <w:rPr>
          <w:color w:val="333333"/>
        </w:rPr>
        <w:t>Gaussian Naive Bayes (selected because TF-IDF produces continuous features</w:t>
      </w:r>
      <w:r w:rsidR="0037527E" w:rsidRPr="0037527E">
        <w:rPr>
          <w:color w:val="333333"/>
        </w:rPr>
        <w:t xml:space="preserve">- </w:t>
      </w:r>
      <w:r w:rsidRPr="0037527E">
        <w:rPr>
          <w:color w:val="333333"/>
        </w:rPr>
        <w:t xml:space="preserve">Multinomial NB is appropriate only for count vectorizers), Logistic Regression, Random Forest, KNN, and linear SVM with balanced class weights. </w:t>
      </w:r>
      <w:r w:rsidRPr="0037527E">
        <w:rPr>
          <w:b/>
          <w:bCs/>
          <w:color w:val="333333"/>
        </w:rPr>
        <w:t xml:space="preserve">NER-Enhanced: </w:t>
      </w:r>
      <w:r w:rsidRPr="0037527E">
        <w:rPr>
          <w:color w:val="333333"/>
        </w:rPr>
        <w:t xml:space="preserve">Logistic Regression, Random Forest, and SVM with NER features appended; NB and KNN excluded due to weak baseline F1 (0.65 and 0.38). </w:t>
      </w:r>
    </w:p>
    <w:p w14:paraId="557B3B70" w14:textId="1DB5F6D8" w:rsidR="000437CD" w:rsidRDefault="00000000" w:rsidP="0037527E">
      <w:pPr>
        <w:pStyle w:val="ListParagraph"/>
        <w:numPr>
          <w:ilvl w:val="0"/>
          <w:numId w:val="2"/>
        </w:numPr>
        <w:spacing w:before="30" w:after="30" w:line="244" w:lineRule="auto"/>
        <w:jc w:val="both"/>
      </w:pPr>
      <w:r w:rsidRPr="0037527E">
        <w:rPr>
          <w:b/>
          <w:bCs/>
          <w:color w:val="333333"/>
        </w:rPr>
        <w:t xml:space="preserve">NER-Only: </w:t>
      </w:r>
      <w:r w:rsidRPr="0037527E">
        <w:rPr>
          <w:color w:val="333333"/>
        </w:rPr>
        <w:t>All models trained on five NER features alone to quantify standalone predictive value.</w:t>
      </w:r>
    </w:p>
    <w:p w14:paraId="73A42D3F" w14:textId="77777777" w:rsidR="000437CD" w:rsidRDefault="00000000" w:rsidP="0037527E">
      <w:pPr>
        <w:pStyle w:val="ListParagraph"/>
        <w:numPr>
          <w:ilvl w:val="0"/>
          <w:numId w:val="2"/>
        </w:numPr>
        <w:spacing w:before="30" w:after="30" w:line="244" w:lineRule="auto"/>
        <w:jc w:val="both"/>
      </w:pPr>
      <w:r w:rsidRPr="0037527E">
        <w:rPr>
          <w:b/>
          <w:bCs/>
          <w:color w:val="333333"/>
        </w:rPr>
        <w:t xml:space="preserve">Hyperparameter Tuning. </w:t>
      </w:r>
      <w:proofErr w:type="spellStart"/>
      <w:r w:rsidRPr="0037527E">
        <w:rPr>
          <w:color w:val="333333"/>
        </w:rPr>
        <w:t>GridSearchCV</w:t>
      </w:r>
      <w:proofErr w:type="spellEnd"/>
      <w:r w:rsidRPr="0037527E">
        <w:rPr>
          <w:color w:val="333333"/>
        </w:rPr>
        <w:t xml:space="preserve"> was applied to Random Forest with 3-fold stratified CV optimizing F1. The optimal configuration yielded 300 estimators, </w:t>
      </w:r>
      <w:proofErr w:type="spellStart"/>
      <w:r w:rsidRPr="0037527E">
        <w:rPr>
          <w:color w:val="333333"/>
        </w:rPr>
        <w:t>max_depth</w:t>
      </w:r>
      <w:proofErr w:type="spellEnd"/>
      <w:r w:rsidRPr="0037527E">
        <w:rPr>
          <w:color w:val="333333"/>
        </w:rPr>
        <w:t xml:space="preserve"> of 25, </w:t>
      </w:r>
      <w:proofErr w:type="spellStart"/>
      <w:r w:rsidRPr="0037527E">
        <w:rPr>
          <w:color w:val="333333"/>
        </w:rPr>
        <w:t>min_samples_leaf</w:t>
      </w:r>
      <w:proofErr w:type="spellEnd"/>
      <w:r w:rsidRPr="0037527E">
        <w:rPr>
          <w:color w:val="333333"/>
        </w:rPr>
        <w:t xml:space="preserve"> of 1, </w:t>
      </w:r>
      <w:proofErr w:type="spellStart"/>
      <w:r w:rsidRPr="0037527E">
        <w:rPr>
          <w:color w:val="333333"/>
        </w:rPr>
        <w:t>min_samples_split</w:t>
      </w:r>
      <w:proofErr w:type="spellEnd"/>
      <w:r w:rsidRPr="0037527E">
        <w:rPr>
          <w:color w:val="333333"/>
        </w:rPr>
        <w:t xml:space="preserve"> of 2, sqrt </w:t>
      </w:r>
      <w:proofErr w:type="spellStart"/>
      <w:r w:rsidRPr="0037527E">
        <w:rPr>
          <w:color w:val="333333"/>
        </w:rPr>
        <w:t>max_features</w:t>
      </w:r>
      <w:proofErr w:type="spellEnd"/>
      <w:r w:rsidRPr="0037527E">
        <w:rPr>
          <w:color w:val="333333"/>
        </w:rPr>
        <w:t>, with bootstrap enabled. A bigram-enhanced variant was also evaluated.</w:t>
      </w:r>
    </w:p>
    <w:p w14:paraId="5B15066A" w14:textId="4CF762B2" w:rsidR="000437CD" w:rsidRDefault="00000000" w:rsidP="0037527E">
      <w:pPr>
        <w:pStyle w:val="ListParagraph"/>
        <w:numPr>
          <w:ilvl w:val="0"/>
          <w:numId w:val="2"/>
        </w:numPr>
        <w:spacing w:before="30" w:after="30" w:line="244" w:lineRule="auto"/>
        <w:jc w:val="both"/>
      </w:pPr>
      <w:r w:rsidRPr="0037527E">
        <w:rPr>
          <w:b/>
          <w:bCs/>
          <w:color w:val="333333"/>
        </w:rPr>
        <w:t xml:space="preserve">Threshold Tuning. </w:t>
      </w:r>
      <w:r w:rsidRPr="0037527E">
        <w:rPr>
          <w:color w:val="333333"/>
        </w:rPr>
        <w:t>Since false negatives carry disproportionate risk in pharmacovigilance, we analyzed thresholds from 0.10 to 0.60. The optimal threshold of 0.48 maximized F1 (0.842) with 86.5% recall, while 0.10 achieved 99.5% recall at the cost of elevated false positives.</w:t>
      </w:r>
      <w:r>
        <w:br w:type="page"/>
      </w:r>
    </w:p>
    <w:p w14:paraId="50A3F656" w14:textId="77777777" w:rsidR="000437CD" w:rsidRDefault="00000000">
      <w:pPr>
        <w:pBdr>
          <w:bottom w:val="single" w:sz="1" w:space="2" w:color="2E75B6"/>
        </w:pBdr>
        <w:spacing w:before="160" w:after="40"/>
      </w:pPr>
      <w:r>
        <w:rPr>
          <w:b/>
          <w:bCs/>
          <w:color w:val="1B3A5C"/>
          <w:sz w:val="21"/>
          <w:szCs w:val="21"/>
        </w:rPr>
        <w:lastRenderedPageBreak/>
        <w:t>4. Results</w:t>
      </w:r>
    </w:p>
    <w:p w14:paraId="2B88B30E" w14:textId="77777777" w:rsidR="0037527E" w:rsidRDefault="0037527E">
      <w:pPr>
        <w:spacing w:before="30" w:after="30" w:line="244" w:lineRule="auto"/>
        <w:jc w:val="both"/>
        <w:rPr>
          <w:color w:val="333333"/>
        </w:rPr>
      </w:pPr>
    </w:p>
    <w:p w14:paraId="3D2E1550" w14:textId="642CF38F" w:rsidR="000437CD" w:rsidRDefault="00000000">
      <w:pPr>
        <w:spacing w:before="30" w:after="30" w:line="244" w:lineRule="auto"/>
        <w:jc w:val="both"/>
        <w:rPr>
          <w:color w:val="333333"/>
        </w:rPr>
      </w:pPr>
      <w:r>
        <w:rPr>
          <w:color w:val="333333"/>
        </w:rPr>
        <w:t>Table 1 summarizes results. SVM was the strongest baseline (F1 = 0.771), while KNN severely underperformed due to the curse of dimensionality in a 5,000-feature space. NER features yielded substantial recall improvements: +14.7 pp for Logistic Regression, +15.1 pp for Random Forest, and +7.2 pp for SVM.</w:t>
      </w:r>
    </w:p>
    <w:p w14:paraId="4D4DFE8E" w14:textId="77777777" w:rsidR="0037527E" w:rsidRDefault="0037527E">
      <w:pPr>
        <w:spacing w:before="30" w:after="30" w:line="244" w:lineRule="auto"/>
        <w:jc w:val="both"/>
      </w:pPr>
    </w:p>
    <w:p w14:paraId="2BF47043" w14:textId="77777777" w:rsidR="000437CD" w:rsidRDefault="00000000">
      <w:pPr>
        <w:spacing w:before="40" w:after="5"/>
        <w:jc w:val="center"/>
      </w:pPr>
      <w:r>
        <w:rPr>
          <w:i/>
          <w:iCs/>
          <w:color w:val="555555"/>
        </w:rPr>
        <w:t>Table 1. Classification Performance Across Model Configurations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0437CD" w14:paraId="6CDCDE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30" w:type="dxa"/>
              <w:left w:w="80" w:type="dxa"/>
              <w:bottom w:w="30" w:type="dxa"/>
              <w:right w:w="80" w:type="dxa"/>
            </w:tcMar>
            <w:vAlign w:val="center"/>
          </w:tcPr>
          <w:p w14:paraId="5B8377C8" w14:textId="77777777" w:rsidR="000437CD" w:rsidRDefault="00000000">
            <w:pPr>
              <w:jc w:val="center"/>
            </w:pPr>
            <w:r>
              <w:rPr>
                <w:b/>
                <w:bCs/>
                <w:color w:val="FFFFFF"/>
                <w:sz w:val="16"/>
                <w:szCs w:val="16"/>
              </w:rPr>
              <w:t>Model</w:t>
            </w:r>
          </w:p>
        </w:tc>
        <w:tc>
          <w:tcPr>
            <w:tcW w:w="1640" w:type="dxa"/>
            <w:tcBorders>
              <w:top w:val="single" w:sz="1" w:space="0" w:color="CCCCCC"/>
              <w:left w:val="single" w:sz="1" w:space="0" w:color="CCCCCC"/>
              <w:bottom w:val="single" w:sz="1" w:space="0" w:color="CCCCCC"/>
              <w:right w:val="single" w:sz="1" w:space="0" w:color="CCCCCC"/>
            </w:tcBorders>
            <w:shd w:val="clear" w:color="auto" w:fill="1B3A5C"/>
            <w:tcMar>
              <w:top w:w="30" w:type="dxa"/>
              <w:left w:w="80" w:type="dxa"/>
              <w:bottom w:w="30" w:type="dxa"/>
              <w:right w:w="80" w:type="dxa"/>
            </w:tcMar>
            <w:vAlign w:val="center"/>
          </w:tcPr>
          <w:p w14:paraId="5D970B65" w14:textId="77777777" w:rsidR="000437CD" w:rsidRDefault="00000000">
            <w:pPr>
              <w:jc w:val="center"/>
            </w:pPr>
            <w:r>
              <w:rPr>
                <w:b/>
                <w:bCs/>
                <w:color w:val="FFFFFF"/>
                <w:sz w:val="16"/>
                <w:szCs w:val="16"/>
              </w:rPr>
              <w:t>Accuracy</w:t>
            </w:r>
          </w:p>
        </w:tc>
        <w:tc>
          <w:tcPr>
            <w:tcW w:w="1640" w:type="dxa"/>
            <w:tcBorders>
              <w:top w:val="single" w:sz="1" w:space="0" w:color="CCCCCC"/>
              <w:left w:val="single" w:sz="1" w:space="0" w:color="CCCCCC"/>
              <w:bottom w:val="single" w:sz="1" w:space="0" w:color="CCCCCC"/>
              <w:right w:val="single" w:sz="1" w:space="0" w:color="CCCCCC"/>
            </w:tcBorders>
            <w:shd w:val="clear" w:color="auto" w:fill="1B3A5C"/>
            <w:tcMar>
              <w:top w:w="30" w:type="dxa"/>
              <w:left w:w="80" w:type="dxa"/>
              <w:bottom w:w="30" w:type="dxa"/>
              <w:right w:w="80" w:type="dxa"/>
            </w:tcMar>
            <w:vAlign w:val="center"/>
          </w:tcPr>
          <w:p w14:paraId="069D166F" w14:textId="77777777" w:rsidR="000437CD" w:rsidRDefault="00000000">
            <w:pPr>
              <w:jc w:val="center"/>
            </w:pPr>
            <w:r>
              <w:rPr>
                <w:b/>
                <w:bCs/>
                <w:color w:val="FFFFFF"/>
                <w:sz w:val="16"/>
                <w:szCs w:val="16"/>
              </w:rPr>
              <w:t>Precision</w:t>
            </w:r>
          </w:p>
        </w:tc>
        <w:tc>
          <w:tcPr>
            <w:tcW w:w="1640" w:type="dxa"/>
            <w:tcBorders>
              <w:top w:val="single" w:sz="1" w:space="0" w:color="CCCCCC"/>
              <w:left w:val="single" w:sz="1" w:space="0" w:color="CCCCCC"/>
              <w:bottom w:val="single" w:sz="1" w:space="0" w:color="CCCCCC"/>
              <w:right w:val="single" w:sz="1" w:space="0" w:color="CCCCCC"/>
            </w:tcBorders>
            <w:shd w:val="clear" w:color="auto" w:fill="1B3A5C"/>
            <w:tcMar>
              <w:top w:w="30" w:type="dxa"/>
              <w:left w:w="80" w:type="dxa"/>
              <w:bottom w:w="30" w:type="dxa"/>
              <w:right w:w="80" w:type="dxa"/>
            </w:tcMar>
            <w:vAlign w:val="center"/>
          </w:tcPr>
          <w:p w14:paraId="537253A6" w14:textId="77777777" w:rsidR="000437CD" w:rsidRDefault="00000000">
            <w:pPr>
              <w:jc w:val="center"/>
            </w:pPr>
            <w:r>
              <w:rPr>
                <w:b/>
                <w:bCs/>
                <w:color w:val="FFFFFF"/>
                <w:sz w:val="16"/>
                <w:szCs w:val="16"/>
              </w:rPr>
              <w:t>Recall</w:t>
            </w:r>
          </w:p>
        </w:tc>
        <w:tc>
          <w:tcPr>
            <w:tcW w:w="1640" w:type="dxa"/>
            <w:tcBorders>
              <w:top w:val="single" w:sz="1" w:space="0" w:color="CCCCCC"/>
              <w:left w:val="single" w:sz="1" w:space="0" w:color="CCCCCC"/>
              <w:bottom w:val="single" w:sz="1" w:space="0" w:color="CCCCCC"/>
              <w:right w:val="single" w:sz="1" w:space="0" w:color="CCCCCC"/>
            </w:tcBorders>
            <w:shd w:val="clear" w:color="auto" w:fill="1B3A5C"/>
            <w:tcMar>
              <w:top w:w="30" w:type="dxa"/>
              <w:left w:w="80" w:type="dxa"/>
              <w:bottom w:w="30" w:type="dxa"/>
              <w:right w:w="80" w:type="dxa"/>
            </w:tcMar>
            <w:vAlign w:val="center"/>
          </w:tcPr>
          <w:p w14:paraId="63FFF167" w14:textId="77777777" w:rsidR="000437CD" w:rsidRDefault="00000000">
            <w:pPr>
              <w:jc w:val="center"/>
            </w:pPr>
            <w:r>
              <w:rPr>
                <w:b/>
                <w:bCs/>
                <w:color w:val="FFFFFF"/>
                <w:sz w:val="16"/>
                <w:szCs w:val="16"/>
              </w:rPr>
              <w:t>F1-Score</w:t>
            </w:r>
          </w:p>
        </w:tc>
      </w:tr>
      <w:tr w:rsidR="000437CD" w14:paraId="277DF4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30" w:type="dxa"/>
              <w:left w:w="80" w:type="dxa"/>
              <w:bottom w:w="30" w:type="dxa"/>
              <w:right w:w="80" w:type="dxa"/>
            </w:tcMar>
            <w:vAlign w:val="center"/>
          </w:tcPr>
          <w:p w14:paraId="703F6632" w14:textId="77777777" w:rsidR="000437CD" w:rsidRDefault="00000000">
            <w:r>
              <w:rPr>
                <w:color w:val="333333"/>
                <w:sz w:val="16"/>
                <w:szCs w:val="16"/>
              </w:rPr>
              <w:t>SVM (Baseline)</w:t>
            </w:r>
          </w:p>
        </w:tc>
        <w:tc>
          <w:tcPr>
            <w:tcW w:w="1640" w:type="dxa"/>
            <w:tcBorders>
              <w:top w:val="single" w:sz="1" w:space="0" w:color="CCCCCC"/>
              <w:left w:val="single" w:sz="1" w:space="0" w:color="CCCCCC"/>
              <w:bottom w:val="single" w:sz="1" w:space="0" w:color="CCCCCC"/>
              <w:right w:val="single" w:sz="1" w:space="0" w:color="CCCCCC"/>
            </w:tcBorders>
            <w:tcMar>
              <w:top w:w="30" w:type="dxa"/>
              <w:left w:w="80" w:type="dxa"/>
              <w:bottom w:w="30" w:type="dxa"/>
              <w:right w:w="80" w:type="dxa"/>
            </w:tcMar>
            <w:vAlign w:val="center"/>
          </w:tcPr>
          <w:p w14:paraId="4B408553" w14:textId="77777777" w:rsidR="000437CD" w:rsidRDefault="00000000">
            <w:pPr>
              <w:jc w:val="center"/>
            </w:pPr>
            <w:r>
              <w:rPr>
                <w:color w:val="333333"/>
                <w:sz w:val="16"/>
                <w:szCs w:val="16"/>
              </w:rPr>
              <w:t>87.4%</w:t>
            </w:r>
          </w:p>
        </w:tc>
        <w:tc>
          <w:tcPr>
            <w:tcW w:w="1640" w:type="dxa"/>
            <w:tcBorders>
              <w:top w:val="single" w:sz="1" w:space="0" w:color="CCCCCC"/>
              <w:left w:val="single" w:sz="1" w:space="0" w:color="CCCCCC"/>
              <w:bottom w:val="single" w:sz="1" w:space="0" w:color="CCCCCC"/>
              <w:right w:val="single" w:sz="1" w:space="0" w:color="CCCCCC"/>
            </w:tcBorders>
            <w:tcMar>
              <w:top w:w="30" w:type="dxa"/>
              <w:left w:w="80" w:type="dxa"/>
              <w:bottom w:w="30" w:type="dxa"/>
              <w:right w:w="80" w:type="dxa"/>
            </w:tcMar>
            <w:vAlign w:val="center"/>
          </w:tcPr>
          <w:p w14:paraId="0547900E" w14:textId="77777777" w:rsidR="000437CD" w:rsidRDefault="00000000">
            <w:pPr>
              <w:jc w:val="center"/>
            </w:pPr>
            <w:r>
              <w:rPr>
                <w:color w:val="333333"/>
                <w:sz w:val="16"/>
                <w:szCs w:val="16"/>
              </w:rPr>
              <w:t>82.2%</w:t>
            </w:r>
          </w:p>
        </w:tc>
        <w:tc>
          <w:tcPr>
            <w:tcW w:w="1640" w:type="dxa"/>
            <w:tcBorders>
              <w:top w:val="single" w:sz="1" w:space="0" w:color="CCCCCC"/>
              <w:left w:val="single" w:sz="1" w:space="0" w:color="CCCCCC"/>
              <w:bottom w:val="single" w:sz="1" w:space="0" w:color="CCCCCC"/>
              <w:right w:val="single" w:sz="1" w:space="0" w:color="CCCCCC"/>
            </w:tcBorders>
            <w:tcMar>
              <w:top w:w="30" w:type="dxa"/>
              <w:left w:w="80" w:type="dxa"/>
              <w:bottom w:w="30" w:type="dxa"/>
              <w:right w:w="80" w:type="dxa"/>
            </w:tcMar>
            <w:vAlign w:val="center"/>
          </w:tcPr>
          <w:p w14:paraId="256E26D4" w14:textId="77777777" w:rsidR="000437CD" w:rsidRDefault="00000000">
            <w:pPr>
              <w:jc w:val="center"/>
            </w:pPr>
            <w:r>
              <w:rPr>
                <w:color w:val="333333"/>
                <w:sz w:val="16"/>
                <w:szCs w:val="16"/>
              </w:rPr>
              <w:t>72.8%</w:t>
            </w:r>
          </w:p>
        </w:tc>
        <w:tc>
          <w:tcPr>
            <w:tcW w:w="1640" w:type="dxa"/>
            <w:tcBorders>
              <w:top w:val="single" w:sz="1" w:space="0" w:color="CCCCCC"/>
              <w:left w:val="single" w:sz="1" w:space="0" w:color="CCCCCC"/>
              <w:bottom w:val="single" w:sz="1" w:space="0" w:color="CCCCCC"/>
              <w:right w:val="single" w:sz="1" w:space="0" w:color="CCCCCC"/>
            </w:tcBorders>
            <w:tcMar>
              <w:top w:w="30" w:type="dxa"/>
              <w:left w:w="80" w:type="dxa"/>
              <w:bottom w:w="30" w:type="dxa"/>
              <w:right w:w="80" w:type="dxa"/>
            </w:tcMar>
            <w:vAlign w:val="center"/>
          </w:tcPr>
          <w:p w14:paraId="0DD46045" w14:textId="77777777" w:rsidR="000437CD" w:rsidRDefault="00000000">
            <w:pPr>
              <w:jc w:val="center"/>
            </w:pPr>
            <w:r>
              <w:rPr>
                <w:color w:val="333333"/>
                <w:sz w:val="16"/>
                <w:szCs w:val="16"/>
              </w:rPr>
              <w:t>0.771</w:t>
            </w:r>
          </w:p>
        </w:tc>
      </w:tr>
      <w:tr w:rsidR="000437CD" w14:paraId="482B35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30" w:type="dxa"/>
              <w:left w:w="80" w:type="dxa"/>
              <w:bottom w:w="30" w:type="dxa"/>
              <w:right w:w="80" w:type="dxa"/>
            </w:tcMar>
            <w:vAlign w:val="center"/>
          </w:tcPr>
          <w:p w14:paraId="262B3632" w14:textId="77777777" w:rsidR="000437CD" w:rsidRDefault="00000000">
            <w:r>
              <w:rPr>
                <w:color w:val="333333"/>
                <w:sz w:val="16"/>
                <w:szCs w:val="16"/>
              </w:rPr>
              <w:t>Logistic Reg. + NER</w:t>
            </w:r>
          </w:p>
        </w:tc>
        <w:tc>
          <w:tcPr>
            <w:tcW w:w="1640" w:type="dxa"/>
            <w:tcBorders>
              <w:top w:val="single" w:sz="1" w:space="0" w:color="CCCCCC"/>
              <w:left w:val="single" w:sz="1" w:space="0" w:color="CCCCCC"/>
              <w:bottom w:val="single" w:sz="1" w:space="0" w:color="CCCCCC"/>
              <w:right w:val="single" w:sz="1" w:space="0" w:color="CCCCCC"/>
            </w:tcBorders>
            <w:shd w:val="clear" w:color="auto" w:fill="E8F0F8"/>
            <w:tcMar>
              <w:top w:w="30" w:type="dxa"/>
              <w:left w:w="80" w:type="dxa"/>
              <w:bottom w:w="30" w:type="dxa"/>
              <w:right w:w="80" w:type="dxa"/>
            </w:tcMar>
            <w:vAlign w:val="center"/>
          </w:tcPr>
          <w:p w14:paraId="62CAD1D0" w14:textId="77777777" w:rsidR="000437CD" w:rsidRDefault="00000000">
            <w:pPr>
              <w:jc w:val="center"/>
            </w:pPr>
            <w:r>
              <w:rPr>
                <w:color w:val="333333"/>
                <w:sz w:val="16"/>
                <w:szCs w:val="16"/>
              </w:rPr>
              <w:t>87.6%</w:t>
            </w:r>
          </w:p>
        </w:tc>
        <w:tc>
          <w:tcPr>
            <w:tcW w:w="1640" w:type="dxa"/>
            <w:tcBorders>
              <w:top w:val="single" w:sz="1" w:space="0" w:color="CCCCCC"/>
              <w:left w:val="single" w:sz="1" w:space="0" w:color="CCCCCC"/>
              <w:bottom w:val="single" w:sz="1" w:space="0" w:color="CCCCCC"/>
              <w:right w:val="single" w:sz="1" w:space="0" w:color="CCCCCC"/>
            </w:tcBorders>
            <w:shd w:val="clear" w:color="auto" w:fill="E8F0F8"/>
            <w:tcMar>
              <w:top w:w="30" w:type="dxa"/>
              <w:left w:w="80" w:type="dxa"/>
              <w:bottom w:w="30" w:type="dxa"/>
              <w:right w:w="80" w:type="dxa"/>
            </w:tcMar>
            <w:vAlign w:val="center"/>
          </w:tcPr>
          <w:p w14:paraId="19DFF481" w14:textId="77777777" w:rsidR="000437CD" w:rsidRDefault="00000000">
            <w:pPr>
              <w:jc w:val="center"/>
            </w:pPr>
            <w:r>
              <w:rPr>
                <w:color w:val="333333"/>
                <w:sz w:val="16"/>
                <w:szCs w:val="16"/>
              </w:rPr>
              <w:t>80.3%</w:t>
            </w:r>
          </w:p>
        </w:tc>
        <w:tc>
          <w:tcPr>
            <w:tcW w:w="1640" w:type="dxa"/>
            <w:tcBorders>
              <w:top w:val="single" w:sz="1" w:space="0" w:color="CCCCCC"/>
              <w:left w:val="single" w:sz="1" w:space="0" w:color="CCCCCC"/>
              <w:bottom w:val="single" w:sz="1" w:space="0" w:color="CCCCCC"/>
              <w:right w:val="single" w:sz="1" w:space="0" w:color="CCCCCC"/>
            </w:tcBorders>
            <w:shd w:val="clear" w:color="auto" w:fill="E8F0F8"/>
            <w:tcMar>
              <w:top w:w="30" w:type="dxa"/>
              <w:left w:w="80" w:type="dxa"/>
              <w:bottom w:w="30" w:type="dxa"/>
              <w:right w:w="80" w:type="dxa"/>
            </w:tcMar>
            <w:vAlign w:val="center"/>
          </w:tcPr>
          <w:p w14:paraId="3FB3A778" w14:textId="77777777" w:rsidR="000437CD" w:rsidRDefault="00000000">
            <w:pPr>
              <w:jc w:val="center"/>
            </w:pPr>
            <w:r>
              <w:rPr>
                <w:color w:val="333333"/>
                <w:sz w:val="16"/>
                <w:szCs w:val="16"/>
              </w:rPr>
              <w:t>78.3%</w:t>
            </w:r>
          </w:p>
        </w:tc>
        <w:tc>
          <w:tcPr>
            <w:tcW w:w="1640" w:type="dxa"/>
            <w:tcBorders>
              <w:top w:val="single" w:sz="1" w:space="0" w:color="CCCCCC"/>
              <w:left w:val="single" w:sz="1" w:space="0" w:color="CCCCCC"/>
              <w:bottom w:val="single" w:sz="1" w:space="0" w:color="CCCCCC"/>
              <w:right w:val="single" w:sz="1" w:space="0" w:color="CCCCCC"/>
            </w:tcBorders>
            <w:shd w:val="clear" w:color="auto" w:fill="E8F0F8"/>
            <w:tcMar>
              <w:top w:w="30" w:type="dxa"/>
              <w:left w:w="80" w:type="dxa"/>
              <w:bottom w:w="30" w:type="dxa"/>
              <w:right w:w="80" w:type="dxa"/>
            </w:tcMar>
            <w:vAlign w:val="center"/>
          </w:tcPr>
          <w:p w14:paraId="6A2C7FAE" w14:textId="77777777" w:rsidR="000437CD" w:rsidRDefault="00000000">
            <w:pPr>
              <w:jc w:val="center"/>
            </w:pPr>
            <w:r>
              <w:rPr>
                <w:color w:val="333333"/>
                <w:sz w:val="16"/>
                <w:szCs w:val="16"/>
              </w:rPr>
              <w:t>0.792</w:t>
            </w:r>
          </w:p>
        </w:tc>
      </w:tr>
      <w:tr w:rsidR="000437CD" w14:paraId="5B1C36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30" w:type="dxa"/>
              <w:left w:w="80" w:type="dxa"/>
              <w:bottom w:w="30" w:type="dxa"/>
              <w:right w:w="80" w:type="dxa"/>
            </w:tcMar>
            <w:vAlign w:val="center"/>
          </w:tcPr>
          <w:p w14:paraId="3CA8341F" w14:textId="77777777" w:rsidR="000437CD" w:rsidRDefault="00000000">
            <w:r>
              <w:rPr>
                <w:color w:val="333333"/>
                <w:sz w:val="16"/>
                <w:szCs w:val="16"/>
              </w:rPr>
              <w:t>SVM + NER</w:t>
            </w:r>
          </w:p>
        </w:tc>
        <w:tc>
          <w:tcPr>
            <w:tcW w:w="1640" w:type="dxa"/>
            <w:tcBorders>
              <w:top w:val="single" w:sz="1" w:space="0" w:color="CCCCCC"/>
              <w:left w:val="single" w:sz="1" w:space="0" w:color="CCCCCC"/>
              <w:bottom w:val="single" w:sz="1" w:space="0" w:color="CCCCCC"/>
              <w:right w:val="single" w:sz="1" w:space="0" w:color="CCCCCC"/>
            </w:tcBorders>
            <w:tcMar>
              <w:top w:w="30" w:type="dxa"/>
              <w:left w:w="80" w:type="dxa"/>
              <w:bottom w:w="30" w:type="dxa"/>
              <w:right w:w="80" w:type="dxa"/>
            </w:tcMar>
            <w:vAlign w:val="center"/>
          </w:tcPr>
          <w:p w14:paraId="1BE453BE" w14:textId="77777777" w:rsidR="000437CD" w:rsidRDefault="00000000">
            <w:pPr>
              <w:jc w:val="center"/>
            </w:pPr>
            <w:r>
              <w:rPr>
                <w:color w:val="333333"/>
                <w:sz w:val="16"/>
                <w:szCs w:val="16"/>
              </w:rPr>
              <w:t>88.5%</w:t>
            </w:r>
          </w:p>
        </w:tc>
        <w:tc>
          <w:tcPr>
            <w:tcW w:w="1640" w:type="dxa"/>
            <w:tcBorders>
              <w:top w:val="single" w:sz="1" w:space="0" w:color="CCCCCC"/>
              <w:left w:val="single" w:sz="1" w:space="0" w:color="CCCCCC"/>
              <w:bottom w:val="single" w:sz="1" w:space="0" w:color="CCCCCC"/>
              <w:right w:val="single" w:sz="1" w:space="0" w:color="CCCCCC"/>
            </w:tcBorders>
            <w:tcMar>
              <w:top w:w="30" w:type="dxa"/>
              <w:left w:w="80" w:type="dxa"/>
              <w:bottom w:w="30" w:type="dxa"/>
              <w:right w:w="80" w:type="dxa"/>
            </w:tcMar>
            <w:vAlign w:val="center"/>
          </w:tcPr>
          <w:p w14:paraId="216D68A2" w14:textId="77777777" w:rsidR="000437CD" w:rsidRDefault="00000000">
            <w:pPr>
              <w:jc w:val="center"/>
            </w:pPr>
            <w:r>
              <w:rPr>
                <w:color w:val="333333"/>
                <w:sz w:val="16"/>
                <w:szCs w:val="16"/>
              </w:rPr>
              <w:t>82.1%</w:t>
            </w:r>
          </w:p>
        </w:tc>
        <w:tc>
          <w:tcPr>
            <w:tcW w:w="1640" w:type="dxa"/>
            <w:tcBorders>
              <w:top w:val="single" w:sz="1" w:space="0" w:color="CCCCCC"/>
              <w:left w:val="single" w:sz="1" w:space="0" w:color="CCCCCC"/>
              <w:bottom w:val="single" w:sz="1" w:space="0" w:color="CCCCCC"/>
              <w:right w:val="single" w:sz="1" w:space="0" w:color="CCCCCC"/>
            </w:tcBorders>
            <w:tcMar>
              <w:top w:w="30" w:type="dxa"/>
              <w:left w:w="80" w:type="dxa"/>
              <w:bottom w:w="30" w:type="dxa"/>
              <w:right w:w="80" w:type="dxa"/>
            </w:tcMar>
            <w:vAlign w:val="center"/>
          </w:tcPr>
          <w:p w14:paraId="7D53C2B3" w14:textId="77777777" w:rsidR="000437CD" w:rsidRDefault="00000000">
            <w:pPr>
              <w:jc w:val="center"/>
            </w:pPr>
            <w:r>
              <w:rPr>
                <w:color w:val="333333"/>
                <w:sz w:val="16"/>
                <w:szCs w:val="16"/>
              </w:rPr>
              <w:t>80.0%</w:t>
            </w:r>
          </w:p>
        </w:tc>
        <w:tc>
          <w:tcPr>
            <w:tcW w:w="1640" w:type="dxa"/>
            <w:tcBorders>
              <w:top w:val="single" w:sz="1" w:space="0" w:color="CCCCCC"/>
              <w:left w:val="single" w:sz="1" w:space="0" w:color="CCCCCC"/>
              <w:bottom w:val="single" w:sz="1" w:space="0" w:color="CCCCCC"/>
              <w:right w:val="single" w:sz="1" w:space="0" w:color="CCCCCC"/>
            </w:tcBorders>
            <w:tcMar>
              <w:top w:w="30" w:type="dxa"/>
              <w:left w:w="80" w:type="dxa"/>
              <w:bottom w:w="30" w:type="dxa"/>
              <w:right w:w="80" w:type="dxa"/>
            </w:tcMar>
            <w:vAlign w:val="center"/>
          </w:tcPr>
          <w:p w14:paraId="1161418B" w14:textId="77777777" w:rsidR="000437CD" w:rsidRDefault="00000000">
            <w:pPr>
              <w:jc w:val="center"/>
            </w:pPr>
            <w:r>
              <w:rPr>
                <w:color w:val="333333"/>
                <w:sz w:val="16"/>
                <w:szCs w:val="16"/>
              </w:rPr>
              <w:t>0.809</w:t>
            </w:r>
          </w:p>
        </w:tc>
      </w:tr>
      <w:tr w:rsidR="000437CD" w14:paraId="1BC818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30" w:type="dxa"/>
              <w:left w:w="80" w:type="dxa"/>
              <w:bottom w:w="30" w:type="dxa"/>
              <w:right w:w="80" w:type="dxa"/>
            </w:tcMar>
            <w:vAlign w:val="center"/>
          </w:tcPr>
          <w:p w14:paraId="645E1820" w14:textId="77777777" w:rsidR="000437CD" w:rsidRDefault="00000000">
            <w:r>
              <w:rPr>
                <w:b/>
                <w:bCs/>
                <w:color w:val="333333"/>
                <w:sz w:val="16"/>
                <w:szCs w:val="16"/>
              </w:rPr>
              <w:t>Random Forest + NER</w:t>
            </w:r>
          </w:p>
        </w:tc>
        <w:tc>
          <w:tcPr>
            <w:tcW w:w="1640" w:type="dxa"/>
            <w:tcBorders>
              <w:top w:val="single" w:sz="1" w:space="0" w:color="CCCCCC"/>
              <w:left w:val="single" w:sz="1" w:space="0" w:color="CCCCCC"/>
              <w:bottom w:val="single" w:sz="1" w:space="0" w:color="CCCCCC"/>
              <w:right w:val="single" w:sz="1" w:space="0" w:color="CCCCCC"/>
            </w:tcBorders>
            <w:shd w:val="clear" w:color="auto" w:fill="E8F0F8"/>
            <w:tcMar>
              <w:top w:w="30" w:type="dxa"/>
              <w:left w:w="80" w:type="dxa"/>
              <w:bottom w:w="30" w:type="dxa"/>
              <w:right w:w="80" w:type="dxa"/>
            </w:tcMar>
            <w:vAlign w:val="center"/>
          </w:tcPr>
          <w:p w14:paraId="08D06004" w14:textId="77777777" w:rsidR="000437CD" w:rsidRDefault="00000000">
            <w:pPr>
              <w:jc w:val="center"/>
            </w:pPr>
            <w:r>
              <w:rPr>
                <w:b/>
                <w:bCs/>
                <w:color w:val="333333"/>
                <w:sz w:val="16"/>
                <w:szCs w:val="16"/>
              </w:rPr>
              <w:t>89.6%</w:t>
            </w:r>
          </w:p>
        </w:tc>
        <w:tc>
          <w:tcPr>
            <w:tcW w:w="1640" w:type="dxa"/>
            <w:tcBorders>
              <w:top w:val="single" w:sz="1" w:space="0" w:color="CCCCCC"/>
              <w:left w:val="single" w:sz="1" w:space="0" w:color="CCCCCC"/>
              <w:bottom w:val="single" w:sz="1" w:space="0" w:color="CCCCCC"/>
              <w:right w:val="single" w:sz="1" w:space="0" w:color="CCCCCC"/>
            </w:tcBorders>
            <w:shd w:val="clear" w:color="auto" w:fill="E8F0F8"/>
            <w:tcMar>
              <w:top w:w="30" w:type="dxa"/>
              <w:left w:w="80" w:type="dxa"/>
              <w:bottom w:w="30" w:type="dxa"/>
              <w:right w:w="80" w:type="dxa"/>
            </w:tcMar>
            <w:vAlign w:val="center"/>
          </w:tcPr>
          <w:p w14:paraId="3D002B81" w14:textId="77777777" w:rsidR="000437CD" w:rsidRDefault="00000000">
            <w:pPr>
              <w:jc w:val="center"/>
            </w:pPr>
            <w:r>
              <w:rPr>
                <w:b/>
                <w:bCs/>
                <w:color w:val="333333"/>
                <w:sz w:val="16"/>
                <w:szCs w:val="16"/>
              </w:rPr>
              <w:t>82.3%</w:t>
            </w:r>
          </w:p>
        </w:tc>
        <w:tc>
          <w:tcPr>
            <w:tcW w:w="1640" w:type="dxa"/>
            <w:tcBorders>
              <w:top w:val="single" w:sz="1" w:space="0" w:color="CCCCCC"/>
              <w:left w:val="single" w:sz="1" w:space="0" w:color="CCCCCC"/>
              <w:bottom w:val="single" w:sz="1" w:space="0" w:color="CCCCCC"/>
              <w:right w:val="single" w:sz="1" w:space="0" w:color="CCCCCC"/>
            </w:tcBorders>
            <w:shd w:val="clear" w:color="auto" w:fill="E8F0F8"/>
            <w:tcMar>
              <w:top w:w="30" w:type="dxa"/>
              <w:left w:w="80" w:type="dxa"/>
              <w:bottom w:w="30" w:type="dxa"/>
              <w:right w:w="80" w:type="dxa"/>
            </w:tcMar>
            <w:vAlign w:val="center"/>
          </w:tcPr>
          <w:p w14:paraId="4A91DA97" w14:textId="77777777" w:rsidR="000437CD" w:rsidRDefault="00000000">
            <w:pPr>
              <w:jc w:val="center"/>
            </w:pPr>
            <w:r>
              <w:rPr>
                <w:b/>
                <w:bCs/>
                <w:color w:val="333333"/>
                <w:sz w:val="16"/>
                <w:szCs w:val="16"/>
              </w:rPr>
              <w:t>81.8%</w:t>
            </w:r>
          </w:p>
        </w:tc>
        <w:tc>
          <w:tcPr>
            <w:tcW w:w="1640" w:type="dxa"/>
            <w:tcBorders>
              <w:top w:val="single" w:sz="1" w:space="0" w:color="CCCCCC"/>
              <w:left w:val="single" w:sz="1" w:space="0" w:color="CCCCCC"/>
              <w:bottom w:val="single" w:sz="1" w:space="0" w:color="CCCCCC"/>
              <w:right w:val="single" w:sz="1" w:space="0" w:color="CCCCCC"/>
            </w:tcBorders>
            <w:shd w:val="clear" w:color="auto" w:fill="E8F0F8"/>
            <w:tcMar>
              <w:top w:w="30" w:type="dxa"/>
              <w:left w:w="80" w:type="dxa"/>
              <w:bottom w:w="30" w:type="dxa"/>
              <w:right w:w="80" w:type="dxa"/>
            </w:tcMar>
            <w:vAlign w:val="center"/>
          </w:tcPr>
          <w:p w14:paraId="587BADD1" w14:textId="77777777" w:rsidR="000437CD" w:rsidRDefault="00000000">
            <w:pPr>
              <w:jc w:val="center"/>
            </w:pPr>
            <w:r>
              <w:rPr>
                <w:b/>
                <w:bCs/>
                <w:color w:val="333333"/>
                <w:sz w:val="16"/>
                <w:szCs w:val="16"/>
              </w:rPr>
              <w:t>0.821</w:t>
            </w:r>
          </w:p>
        </w:tc>
      </w:tr>
    </w:tbl>
    <w:p w14:paraId="665CC2FD" w14:textId="77777777" w:rsidR="000437CD" w:rsidRDefault="00000000">
      <w:pPr>
        <w:spacing w:before="5" w:after="25"/>
        <w:jc w:val="center"/>
        <w:rPr>
          <w:i/>
          <w:iCs/>
          <w:color w:val="555555"/>
        </w:rPr>
      </w:pPr>
      <w:r>
        <w:rPr>
          <w:i/>
          <w:iCs/>
          <w:color w:val="555555"/>
        </w:rPr>
        <w:t>Best model shown in bold. Macro Avg F1: 87.0%; Weighted Avg F1: 90.0%.</w:t>
      </w:r>
    </w:p>
    <w:p w14:paraId="529B5634" w14:textId="77777777" w:rsidR="0037527E" w:rsidRDefault="0037527E">
      <w:pPr>
        <w:spacing w:before="5" w:after="25"/>
        <w:jc w:val="center"/>
      </w:pPr>
    </w:p>
    <w:p w14:paraId="0FB15E1F" w14:textId="1C05565B" w:rsidR="000437CD" w:rsidRDefault="00000000">
      <w:pPr>
        <w:spacing w:before="30" w:after="30" w:line="244" w:lineRule="auto"/>
        <w:jc w:val="both"/>
      </w:pPr>
      <w:r>
        <w:rPr>
          <w:color w:val="333333"/>
        </w:rPr>
        <w:t xml:space="preserve">Feature importance analysis revealed NER-derived features dominated the ranking: four of the top six were NER-based, with </w:t>
      </w:r>
      <w:proofErr w:type="spellStart"/>
      <w:r>
        <w:rPr>
          <w:color w:val="333333"/>
        </w:rPr>
        <w:t>has_</w:t>
      </w:r>
      <w:proofErr w:type="gramStart"/>
      <w:r>
        <w:rPr>
          <w:color w:val="333333"/>
        </w:rPr>
        <w:t>both</w:t>
      </w:r>
      <w:proofErr w:type="spellEnd"/>
      <w:r w:rsidR="0037527E">
        <w:rPr>
          <w:color w:val="333333"/>
        </w:rPr>
        <w:t xml:space="preserve"> </w:t>
      </w:r>
      <w:r>
        <w:rPr>
          <w:color w:val="333333"/>
        </w:rPr>
        <w:t>alone</w:t>
      </w:r>
      <w:proofErr w:type="gramEnd"/>
      <w:r>
        <w:rPr>
          <w:color w:val="333333"/>
        </w:rPr>
        <w:t xml:space="preserve"> accounting for ~8% of total importance across 5,005 dimensions. Causal terms (“induced,” “associated,” “cause”) and clinical context terms (“patient,” “treatment”) were the most predictive textual features, confirming the model captures meaningful pharmacovigilance signals beyond entity presence alone.</w:t>
      </w:r>
    </w:p>
    <w:p w14:paraId="2274888E" w14:textId="77777777" w:rsidR="000437CD" w:rsidRDefault="00000000">
      <w:pPr>
        <w:pBdr>
          <w:bottom w:val="single" w:sz="1" w:space="2" w:color="2E75B6"/>
        </w:pBdr>
        <w:spacing w:before="160" w:after="40"/>
      </w:pPr>
      <w:r>
        <w:rPr>
          <w:b/>
          <w:bCs/>
          <w:color w:val="1B3A5C"/>
          <w:sz w:val="21"/>
          <w:szCs w:val="21"/>
        </w:rPr>
        <w:t>5. Risk Analysis &amp; Business Impact</w:t>
      </w:r>
    </w:p>
    <w:p w14:paraId="6A77E00F" w14:textId="77777777" w:rsidR="0037527E" w:rsidRDefault="0037527E">
      <w:pPr>
        <w:spacing w:before="30" w:after="30" w:line="244" w:lineRule="auto"/>
        <w:jc w:val="both"/>
        <w:rPr>
          <w:color w:val="333333"/>
        </w:rPr>
      </w:pPr>
    </w:p>
    <w:p w14:paraId="6BA77963" w14:textId="3B3E921B" w:rsidR="000437CD" w:rsidRDefault="00000000">
      <w:pPr>
        <w:spacing w:before="30" w:after="30" w:line="244" w:lineRule="auto"/>
        <w:jc w:val="both"/>
        <w:rPr>
          <w:color w:val="333333"/>
        </w:rPr>
      </w:pPr>
      <w:r>
        <w:rPr>
          <w:color w:val="333333"/>
        </w:rPr>
        <w:t>False negatives (~18% of true ADEs) represent the highest-risk error class, as missed signals could delay identification of dangerous drug-event patterns. False positives (~7% of non-ADE sentences) add reviewer workload but pose minimal clinical risk. We recommend deployment as a screening tool with human-in-the-loop validation rather than a standalone replacement for expert review.</w:t>
      </w:r>
    </w:p>
    <w:p w14:paraId="7661A63C" w14:textId="77777777" w:rsidR="0037527E" w:rsidRDefault="0037527E">
      <w:pPr>
        <w:spacing w:before="30" w:after="30" w:line="244" w:lineRule="auto"/>
        <w:jc w:val="both"/>
      </w:pPr>
    </w:p>
    <w:p w14:paraId="12E8C7F3" w14:textId="47EAB30B" w:rsidR="000437CD" w:rsidRDefault="00000000">
      <w:pPr>
        <w:spacing w:before="30" w:after="30" w:line="244" w:lineRule="auto"/>
        <w:jc w:val="both"/>
      </w:pPr>
      <w:r>
        <w:rPr>
          <w:color w:val="333333"/>
        </w:rPr>
        <w:t>At scale (100,000 sentences), the system auto-filters ~65,100 non-ADE sentences, correctly flags ~23,900 ADEs, generates ~5,100 false alarms for brief dismissal, and misses ~5,300 ADEs addressable through QA. This compresses signal detection from weeks to hours, enables auditable classification trails for regulatory submissions, and supports continuous biomedical literature monitoring at a fraction of manual review cost</w:t>
      </w:r>
      <w:r w:rsidR="0037527E">
        <w:rPr>
          <w:color w:val="333333"/>
        </w:rPr>
        <w:t xml:space="preserve">- </w:t>
      </w:r>
      <w:r>
        <w:rPr>
          <w:color w:val="333333"/>
        </w:rPr>
        <w:t>reducing both operational expenditure and patient risk exposure.</w:t>
      </w:r>
    </w:p>
    <w:p w14:paraId="074B67DC" w14:textId="77777777" w:rsidR="000437CD" w:rsidRDefault="00000000">
      <w:pPr>
        <w:pBdr>
          <w:bottom w:val="single" w:sz="1" w:space="2" w:color="2E75B6"/>
        </w:pBdr>
        <w:spacing w:before="160" w:after="40"/>
      </w:pPr>
      <w:r>
        <w:rPr>
          <w:b/>
          <w:bCs/>
          <w:color w:val="1B3A5C"/>
          <w:sz w:val="21"/>
          <w:szCs w:val="21"/>
        </w:rPr>
        <w:t>6. Limitations</w:t>
      </w:r>
    </w:p>
    <w:p w14:paraId="6B913AF3" w14:textId="77777777" w:rsidR="0037527E" w:rsidRDefault="0037527E">
      <w:pPr>
        <w:spacing w:before="30" w:after="30" w:line="244" w:lineRule="auto"/>
        <w:jc w:val="both"/>
        <w:rPr>
          <w:color w:val="333333"/>
        </w:rPr>
      </w:pPr>
    </w:p>
    <w:p w14:paraId="72DC0756" w14:textId="13DB9FE1" w:rsidR="000437CD" w:rsidRDefault="00000000">
      <w:pPr>
        <w:spacing w:before="30" w:after="30" w:line="244" w:lineRule="auto"/>
        <w:jc w:val="both"/>
      </w:pPr>
      <w:r>
        <w:rPr>
          <w:color w:val="333333"/>
        </w:rPr>
        <w:t>Key limitations include reliance on a single dataset without temporal validation splits, sentence-level classification ignoring document context, English-only coverage, no explicit negation handling (“no adverse events observed” may be misclassified), TF-IDF’s loss of word order and contextual semantics, and a fixed vocabulary unable to accommodate novel drug names post-training.</w:t>
      </w:r>
    </w:p>
    <w:p w14:paraId="7E1252B8" w14:textId="77777777" w:rsidR="000437CD" w:rsidRDefault="00000000">
      <w:pPr>
        <w:pBdr>
          <w:bottom w:val="single" w:sz="1" w:space="2" w:color="2E75B6"/>
        </w:pBdr>
        <w:spacing w:before="160" w:after="40"/>
      </w:pPr>
      <w:r>
        <w:rPr>
          <w:b/>
          <w:bCs/>
          <w:color w:val="1B3A5C"/>
          <w:sz w:val="21"/>
          <w:szCs w:val="21"/>
        </w:rPr>
        <w:t>7. Future Work</w:t>
      </w:r>
    </w:p>
    <w:p w14:paraId="42BBC278" w14:textId="77777777" w:rsidR="0037527E" w:rsidRDefault="0037527E">
      <w:pPr>
        <w:spacing w:before="30" w:after="30" w:line="244" w:lineRule="auto"/>
        <w:jc w:val="both"/>
        <w:rPr>
          <w:color w:val="333333"/>
        </w:rPr>
      </w:pPr>
    </w:p>
    <w:p w14:paraId="1FFC4D04" w14:textId="3D8F6FAB" w:rsidR="000437CD" w:rsidRDefault="00000000">
      <w:pPr>
        <w:spacing w:before="30" w:after="30" w:line="244" w:lineRule="auto"/>
        <w:jc w:val="both"/>
      </w:pPr>
      <w:r>
        <w:rPr>
          <w:color w:val="333333"/>
        </w:rPr>
        <w:t>Planned extensions include transformer models (</w:t>
      </w:r>
      <w:proofErr w:type="spellStart"/>
      <w:r>
        <w:rPr>
          <w:color w:val="333333"/>
        </w:rPr>
        <w:t>BioBERT</w:t>
      </w:r>
      <w:proofErr w:type="spellEnd"/>
      <w:r>
        <w:rPr>
          <w:color w:val="333333"/>
        </w:rPr>
        <w:t xml:space="preserve">, </w:t>
      </w:r>
      <w:proofErr w:type="spellStart"/>
      <w:r>
        <w:rPr>
          <w:color w:val="333333"/>
        </w:rPr>
        <w:t>PubMedBERT</w:t>
      </w:r>
      <w:proofErr w:type="spellEnd"/>
      <w:r>
        <w:rPr>
          <w:color w:val="333333"/>
        </w:rPr>
        <w:t>) for contextualized embeddings capturing negation and word order; threshold optimization targeting 95% recall; active learning for efficient annotation; multi-label classification for ADE type and severity; and cross-referencing flagged drugs against the FDA FAERS API via PubMed extraction for real-world pharmacovigilance signal validation.</w:t>
      </w:r>
    </w:p>
    <w:sectPr w:rsidR="000437CD">
      <w:headerReference w:type="default" r:id="rId7"/>
      <w:footerReference w:type="default" r:id="rId8"/>
      <w:pgSz w:w="12240" w:h="15840"/>
      <w:pgMar w:top="1100" w:right="1300" w:bottom="10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457F3" w14:textId="77777777" w:rsidR="004F3348" w:rsidRDefault="004F3348">
      <w:r>
        <w:separator/>
      </w:r>
    </w:p>
  </w:endnote>
  <w:endnote w:type="continuationSeparator" w:id="0">
    <w:p w14:paraId="5359E9DF" w14:textId="77777777" w:rsidR="004F3348" w:rsidRDefault="004F3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7E16D" w14:textId="77777777" w:rsidR="000437CD" w:rsidRDefault="00000000">
    <w:pPr>
      <w:pBdr>
        <w:top w:val="single" w:sz="1" w:space="3" w:color="CCCCCC"/>
      </w:pBdr>
      <w:jc w:val="center"/>
    </w:pPr>
    <w:r>
      <w:rPr>
        <w:color w:val="555555"/>
        <w:sz w:val="15"/>
        <w:szCs w:val="15"/>
      </w:rPr>
      <w:t xml:space="preserve">Page </w:t>
    </w:r>
    <w:r>
      <w:rPr>
        <w:color w:val="555555"/>
        <w:sz w:val="15"/>
        <w:szCs w:val="15"/>
      </w:rPr>
      <w:fldChar w:fldCharType="begin"/>
    </w:r>
    <w:r>
      <w:rPr>
        <w:color w:val="555555"/>
        <w:sz w:val="15"/>
        <w:szCs w:val="15"/>
      </w:rPr>
      <w:instrText>PAGE</w:instrText>
    </w:r>
    <w:r>
      <w:rPr>
        <w:color w:val="555555"/>
        <w:sz w:val="15"/>
        <w:szCs w:val="15"/>
      </w:rPr>
      <w:fldChar w:fldCharType="separate"/>
    </w:r>
    <w:r w:rsidR="0037527E">
      <w:rPr>
        <w:noProof/>
        <w:color w:val="555555"/>
        <w:sz w:val="15"/>
        <w:szCs w:val="15"/>
      </w:rPr>
      <w:t>1</w:t>
    </w:r>
    <w:r>
      <w:rPr>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2B47B" w14:textId="77777777" w:rsidR="004F3348" w:rsidRDefault="004F3348">
      <w:r>
        <w:separator/>
      </w:r>
    </w:p>
  </w:footnote>
  <w:footnote w:type="continuationSeparator" w:id="0">
    <w:p w14:paraId="1AFB9836" w14:textId="77777777" w:rsidR="004F3348" w:rsidRDefault="004F33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73DEC" w14:textId="0FDF64AF" w:rsidR="000437CD" w:rsidRPr="0037527E" w:rsidRDefault="00000000">
    <w:pPr>
      <w:pBdr>
        <w:bottom w:val="single" w:sz="1" w:space="4" w:color="2E75B6"/>
      </w:pBdr>
      <w:tabs>
        <w:tab w:val="right" w:pos="9026"/>
      </w:tabs>
      <w:spacing w:after="50"/>
      <w:rPr>
        <w:color w:val="555555"/>
        <w:sz w:val="15"/>
        <w:szCs w:val="15"/>
      </w:rPr>
    </w:pPr>
    <w:r>
      <w:rPr>
        <w:color w:val="555555"/>
        <w:sz w:val="15"/>
        <w:szCs w:val="15"/>
      </w:rPr>
      <w:t xml:space="preserve">INSY 669 </w:t>
    </w:r>
    <w:r w:rsidR="0037527E">
      <w:rPr>
        <w:color w:val="555555"/>
        <w:sz w:val="15"/>
        <w:szCs w:val="15"/>
      </w:rPr>
      <w:t xml:space="preserve">- </w:t>
    </w:r>
    <w:r>
      <w:rPr>
        <w:color w:val="555555"/>
        <w:sz w:val="15"/>
        <w:szCs w:val="15"/>
      </w:rPr>
      <w:t>Text Analytics | Group 1</w:t>
    </w:r>
    <w:r>
      <w:rPr>
        <w:color w:val="555555"/>
        <w:sz w:val="15"/>
        <w:szCs w:val="15"/>
      </w:rPr>
      <w:tab/>
      <w:t xml:space="preserve">Winter 2026 </w:t>
    </w:r>
    <w:r w:rsidR="0037527E">
      <w:rPr>
        <w:color w:val="555555"/>
        <w:sz w:val="15"/>
        <w:szCs w:val="15"/>
      </w:rPr>
      <w:t>-</w:t>
    </w:r>
    <w:r>
      <w:rPr>
        <w:color w:val="555555"/>
        <w:sz w:val="15"/>
        <w:szCs w:val="15"/>
      </w:rPr>
      <w:t xml:space="preserve"> McGill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427E4"/>
    <w:multiLevelType w:val="hybridMultilevel"/>
    <w:tmpl w:val="FE304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C8495B"/>
    <w:multiLevelType w:val="hybridMultilevel"/>
    <w:tmpl w:val="ED2AF2E4"/>
    <w:lvl w:ilvl="0" w:tplc="D578F3F0">
      <w:start w:val="1"/>
      <w:numFmt w:val="bullet"/>
      <w:lvlText w:val="●"/>
      <w:lvlJc w:val="left"/>
      <w:pPr>
        <w:ind w:left="720" w:hanging="360"/>
      </w:pPr>
    </w:lvl>
    <w:lvl w:ilvl="1" w:tplc="EF145F96">
      <w:start w:val="1"/>
      <w:numFmt w:val="bullet"/>
      <w:lvlText w:val="○"/>
      <w:lvlJc w:val="left"/>
      <w:pPr>
        <w:ind w:left="1440" w:hanging="360"/>
      </w:pPr>
    </w:lvl>
    <w:lvl w:ilvl="2" w:tplc="5E5A3038">
      <w:start w:val="1"/>
      <w:numFmt w:val="bullet"/>
      <w:lvlText w:val="■"/>
      <w:lvlJc w:val="left"/>
      <w:pPr>
        <w:ind w:left="2160" w:hanging="360"/>
      </w:pPr>
    </w:lvl>
    <w:lvl w:ilvl="3" w:tplc="1F741E92">
      <w:start w:val="1"/>
      <w:numFmt w:val="bullet"/>
      <w:lvlText w:val="●"/>
      <w:lvlJc w:val="left"/>
      <w:pPr>
        <w:ind w:left="2880" w:hanging="360"/>
      </w:pPr>
    </w:lvl>
    <w:lvl w:ilvl="4" w:tplc="2EC45E02">
      <w:start w:val="1"/>
      <w:numFmt w:val="bullet"/>
      <w:lvlText w:val="○"/>
      <w:lvlJc w:val="left"/>
      <w:pPr>
        <w:ind w:left="3600" w:hanging="360"/>
      </w:pPr>
    </w:lvl>
    <w:lvl w:ilvl="5" w:tplc="029205CA">
      <w:start w:val="1"/>
      <w:numFmt w:val="bullet"/>
      <w:lvlText w:val="■"/>
      <w:lvlJc w:val="left"/>
      <w:pPr>
        <w:ind w:left="4320" w:hanging="360"/>
      </w:pPr>
    </w:lvl>
    <w:lvl w:ilvl="6" w:tplc="598CBC8A">
      <w:start w:val="1"/>
      <w:numFmt w:val="bullet"/>
      <w:lvlText w:val="●"/>
      <w:lvlJc w:val="left"/>
      <w:pPr>
        <w:ind w:left="5040" w:hanging="360"/>
      </w:pPr>
    </w:lvl>
    <w:lvl w:ilvl="7" w:tplc="A85A0410">
      <w:start w:val="1"/>
      <w:numFmt w:val="bullet"/>
      <w:lvlText w:val="●"/>
      <w:lvlJc w:val="left"/>
      <w:pPr>
        <w:ind w:left="5760" w:hanging="360"/>
      </w:pPr>
    </w:lvl>
    <w:lvl w:ilvl="8" w:tplc="5AA8657A">
      <w:start w:val="1"/>
      <w:numFmt w:val="bullet"/>
      <w:lvlText w:val="●"/>
      <w:lvlJc w:val="left"/>
      <w:pPr>
        <w:ind w:left="6480" w:hanging="360"/>
      </w:pPr>
    </w:lvl>
  </w:abstractNum>
  <w:num w:numId="1" w16cid:durableId="2039115505">
    <w:abstractNumId w:val="1"/>
    <w:lvlOverride w:ilvl="0">
      <w:startOverride w:val="1"/>
    </w:lvlOverride>
  </w:num>
  <w:num w:numId="2" w16cid:durableId="447627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7CD"/>
    <w:rsid w:val="000437CD"/>
    <w:rsid w:val="0037527E"/>
    <w:rsid w:val="004F3348"/>
    <w:rsid w:val="009023F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EDCC648"/>
  <w15:docId w15:val="{6828A8CB-DA7C-F54C-9EB0-8907297D9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7527E"/>
    <w:pPr>
      <w:tabs>
        <w:tab w:val="center" w:pos="4680"/>
        <w:tab w:val="right" w:pos="9360"/>
      </w:tabs>
    </w:pPr>
  </w:style>
  <w:style w:type="character" w:customStyle="1" w:styleId="HeaderChar">
    <w:name w:val="Header Char"/>
    <w:basedOn w:val="DefaultParagraphFont"/>
    <w:link w:val="Header"/>
    <w:uiPriority w:val="99"/>
    <w:rsid w:val="0037527E"/>
  </w:style>
  <w:style w:type="paragraph" w:styleId="Footer">
    <w:name w:val="footer"/>
    <w:basedOn w:val="Normal"/>
    <w:link w:val="FooterChar"/>
    <w:uiPriority w:val="99"/>
    <w:unhideWhenUsed/>
    <w:rsid w:val="0037527E"/>
    <w:pPr>
      <w:tabs>
        <w:tab w:val="center" w:pos="4680"/>
        <w:tab w:val="right" w:pos="9360"/>
      </w:tabs>
    </w:pPr>
  </w:style>
  <w:style w:type="character" w:customStyle="1" w:styleId="FooterChar">
    <w:name w:val="Footer Char"/>
    <w:basedOn w:val="DefaultParagraphFont"/>
    <w:link w:val="Footer"/>
    <w:uiPriority w:val="99"/>
    <w:rsid w:val="003752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1069</Words>
  <Characters>6096</Characters>
  <Application>Microsoft Office Word</Application>
  <DocSecurity>0</DocSecurity>
  <Lines>50</Lines>
  <Paragraphs>14</Paragraphs>
  <ScaleCrop>false</ScaleCrop>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Feroz Khan</cp:lastModifiedBy>
  <cp:revision>2</cp:revision>
  <dcterms:created xsi:type="dcterms:W3CDTF">2026-02-18T21:44:00Z</dcterms:created>
  <dcterms:modified xsi:type="dcterms:W3CDTF">2026-02-18T21:44:00Z</dcterms:modified>
</cp:coreProperties>
</file>