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4BFB7" w14:textId="77777777" w:rsidR="00BD40FA" w:rsidRDefault="00BD40FA">
      <w:pPr>
        <w:spacing w:after="2400"/>
      </w:pPr>
    </w:p>
    <w:p w14:paraId="3E9B9550" w14:textId="49217CF7" w:rsidR="00BD40FA" w:rsidRDefault="00000000">
      <w:pPr>
        <w:spacing w:after="120"/>
        <w:jc w:val="center"/>
      </w:pPr>
      <w:r>
        <w:rPr>
          <w:b/>
          <w:bCs/>
          <w:color w:val="1A6B5C"/>
          <w:sz w:val="24"/>
          <w:szCs w:val="24"/>
        </w:rPr>
        <w:t>INSY 6</w:t>
      </w:r>
      <w:r w:rsidR="00A43EF2">
        <w:rPr>
          <w:b/>
          <w:bCs/>
          <w:color w:val="1A6B5C"/>
          <w:sz w:val="24"/>
          <w:szCs w:val="24"/>
        </w:rPr>
        <w:t>74</w:t>
      </w:r>
      <w:r>
        <w:rPr>
          <w:b/>
          <w:bCs/>
          <w:color w:val="1A6B5C"/>
          <w:sz w:val="24"/>
          <w:szCs w:val="24"/>
        </w:rPr>
        <w:t xml:space="preserve"> · Enterprise Data Science</w:t>
      </w:r>
    </w:p>
    <w:p w14:paraId="71BC02FD" w14:textId="77777777" w:rsidR="00BD40FA" w:rsidRDefault="00000000">
      <w:pPr>
        <w:spacing w:after="80"/>
        <w:jc w:val="center"/>
      </w:pPr>
      <w:r>
        <w:rPr>
          <w:b/>
          <w:bCs/>
          <w:color w:val="1B2A38"/>
          <w:sz w:val="48"/>
          <w:szCs w:val="48"/>
        </w:rPr>
        <w:t>End-to-End Machine Learning Pipeline Report</w:t>
      </w:r>
    </w:p>
    <w:p w14:paraId="54CB9773" w14:textId="77777777" w:rsidR="00BD40FA" w:rsidRDefault="00BD40FA">
      <w:pPr>
        <w:spacing w:after="120"/>
      </w:pPr>
    </w:p>
    <w:p w14:paraId="217DF411" w14:textId="77777777" w:rsidR="00BD40FA" w:rsidRDefault="00000000">
      <w:pPr>
        <w:pBdr>
          <w:top w:val="single" w:sz="3" w:space="12" w:color="1A6B5C"/>
        </w:pBdr>
        <w:spacing w:after="200"/>
        <w:jc w:val="center"/>
      </w:pPr>
      <w:r>
        <w:rPr>
          <w:i/>
          <w:iCs/>
          <w:color w:val="1A6B5C"/>
          <w:sz w:val="28"/>
          <w:szCs w:val="28"/>
        </w:rPr>
        <w:t>Predicting 30-Day Hospital Readmission for Diabetic Patients</w:t>
      </w:r>
    </w:p>
    <w:p w14:paraId="7808E91E" w14:textId="77777777" w:rsidR="00BD40FA" w:rsidRDefault="00BD40FA">
      <w:pPr>
        <w:spacing w:after="600"/>
      </w:pPr>
    </w:p>
    <w:p w14:paraId="08E425E7" w14:textId="00F918BF" w:rsidR="00BD40FA" w:rsidRDefault="00000000">
      <w:pPr>
        <w:spacing w:after="80"/>
        <w:jc w:val="center"/>
      </w:pPr>
      <w:r>
        <w:rPr>
          <w:color w:val="1B2A38"/>
        </w:rPr>
        <w:t xml:space="preserve">Feroz </w:t>
      </w:r>
      <w:r w:rsidR="00E71F34">
        <w:rPr>
          <w:color w:val="1B2A38"/>
        </w:rPr>
        <w:t xml:space="preserve">Khan </w:t>
      </w:r>
      <w:proofErr w:type="gramStart"/>
      <w:r w:rsidR="00E71F34">
        <w:rPr>
          <w:color w:val="1B2A38"/>
        </w:rPr>
        <w:t>·</w:t>
      </w:r>
      <w:r>
        <w:rPr>
          <w:color w:val="1B2A38"/>
        </w:rPr>
        <w:t xml:space="preserve">  Matthieu</w:t>
      </w:r>
      <w:proofErr w:type="gramEnd"/>
      <w:r>
        <w:rPr>
          <w:color w:val="1B2A38"/>
        </w:rPr>
        <w:t xml:space="preserve"> </w:t>
      </w:r>
      <w:proofErr w:type="gramStart"/>
      <w:r>
        <w:rPr>
          <w:color w:val="1B2A38"/>
        </w:rPr>
        <w:t>Lafont  ·</w:t>
      </w:r>
      <w:proofErr w:type="gramEnd"/>
      <w:r>
        <w:rPr>
          <w:color w:val="1B2A38"/>
        </w:rPr>
        <w:t xml:space="preserve">  Henry </w:t>
      </w:r>
      <w:proofErr w:type="gramStart"/>
      <w:r>
        <w:rPr>
          <w:color w:val="1B2A38"/>
        </w:rPr>
        <w:t>Wolcott  ·</w:t>
      </w:r>
      <w:proofErr w:type="gramEnd"/>
      <w:r>
        <w:rPr>
          <w:color w:val="1B2A38"/>
        </w:rPr>
        <w:t xml:space="preserve">  Mustafa Yousaf</w:t>
      </w:r>
    </w:p>
    <w:p w14:paraId="338EC817" w14:textId="77777777" w:rsidR="00BD40FA" w:rsidRDefault="00000000">
      <w:pPr>
        <w:spacing w:after="80"/>
        <w:jc w:val="center"/>
      </w:pPr>
      <w:r>
        <w:rPr>
          <w:color w:val="1B2A38"/>
        </w:rPr>
        <w:t>Winter 2026</w:t>
      </w:r>
    </w:p>
    <w:p w14:paraId="079EE48A" w14:textId="77777777" w:rsidR="00BD40FA" w:rsidRDefault="00000000">
      <w:pPr>
        <w:spacing w:after="80"/>
        <w:jc w:val="center"/>
      </w:pPr>
      <w:r>
        <w:rPr>
          <w:i/>
          <w:iCs/>
          <w:color w:val="1A6B5C"/>
          <w:sz w:val="20"/>
          <w:szCs w:val="20"/>
        </w:rPr>
        <w:t>github.com/Stafa7/readmission-risk-prediction</w:t>
      </w:r>
    </w:p>
    <w:p w14:paraId="75B22EDD" w14:textId="77777777" w:rsidR="00BD40FA" w:rsidRDefault="00BD40FA">
      <w:pPr>
        <w:sectPr w:rsidR="00BD40FA">
          <w:pgSz w:w="12240" w:h="15840"/>
          <w:pgMar w:top="1440" w:right="1440" w:bottom="1440" w:left="1440" w:header="708" w:footer="708" w:gutter="0"/>
          <w:cols w:space="720"/>
          <w:docGrid w:linePitch="360"/>
        </w:sectPr>
      </w:pPr>
    </w:p>
    <w:p w14:paraId="4FBCBEFB" w14:textId="77777777" w:rsidR="00BD40FA" w:rsidRDefault="00000000">
      <w:pPr>
        <w:pStyle w:val="Heading1"/>
      </w:pPr>
      <w:r>
        <w:lastRenderedPageBreak/>
        <w:t>1. Executive Summary</w:t>
      </w:r>
    </w:p>
    <w:p w14:paraId="16F79634" w14:textId="77777777" w:rsidR="00BD40FA" w:rsidRDefault="00000000">
      <w:pPr>
        <w:spacing w:after="160" w:line="276" w:lineRule="auto"/>
      </w:pPr>
      <w:r>
        <w:rPr>
          <w:color w:val="1B2A38"/>
        </w:rPr>
        <w:t>Hospital readmissions within 30 days cost the U.S. healthcare system over $26 billion annually and serve as a key quality metric for hospitals. This project develops an end-to-end machine learning pipeline that predicts which diabetic patients are at highest risk of near-term readmission, enabling hospitals to allocate scarce transitional-care resources—such as nurse follow-ups, social workers, and discharge planning—to those who need them most.</w:t>
      </w:r>
    </w:p>
    <w:p w14:paraId="3349F566" w14:textId="77777777" w:rsidR="00BD40FA" w:rsidRDefault="00000000">
      <w:pPr>
        <w:spacing w:after="160" w:line="276" w:lineRule="auto"/>
      </w:pPr>
      <w:r>
        <w:rPr>
          <w:color w:val="1B2A38"/>
        </w:rPr>
        <w:t xml:space="preserve">Using the UCI Diabetes 130-US Hospitals dataset (101,766 encounters across 130 hospitals spanning 1999–2008), we engineered clinically meaningful features, trained and compared five supervised learning algorithms, and produced calibrated risk scores with per-patient explanations. </w:t>
      </w:r>
      <w:proofErr w:type="spellStart"/>
      <w:r>
        <w:rPr>
          <w:color w:val="1B2A38"/>
        </w:rPr>
        <w:t>LightGBM</w:t>
      </w:r>
      <w:proofErr w:type="spellEnd"/>
      <w:r>
        <w:rPr>
          <w:color w:val="1B2A38"/>
        </w:rPr>
        <w:t xml:space="preserve"> emerged as the winning model, achieving a PR-AUC of 0.237, ROC-AUC of 0.673, and a lift of 2.6× at the top decile—meaning that by contacting just 10% of discharged patients, the model captures roughly 26% of all eventual readmissions. The pipeline further includes probability calibration, SHAP-based explainability, a fairness audit across racial subgroups, and operational outputs (risk tiers and a prioritized outreach list).</w:t>
      </w:r>
    </w:p>
    <w:p w14:paraId="37581FD9" w14:textId="77777777" w:rsidR="00BD40FA" w:rsidRDefault="00000000">
      <w:pPr>
        <w:spacing w:after="160" w:line="276" w:lineRule="auto"/>
      </w:pPr>
      <w:r>
        <w:rPr>
          <w:color w:val="1B2A38"/>
        </w:rPr>
        <w:t>This report documents every phase of the data science lifecycle, explicitly mapping each step to the course modules covered in INSY 662.</w:t>
      </w:r>
    </w:p>
    <w:p w14:paraId="4ACAA0D9" w14:textId="77777777" w:rsidR="00BD40FA" w:rsidRDefault="00000000">
      <w:pPr>
        <w:pStyle w:val="Heading1"/>
      </w:pPr>
      <w:r>
        <w:t>2. Problem Definition &amp; Business Context</w:t>
      </w:r>
    </w:p>
    <w:p w14:paraId="5A897694" w14:textId="77777777" w:rsidR="00BD40FA" w:rsidRDefault="00000000">
      <w:pPr>
        <w:pStyle w:val="Heading2"/>
      </w:pPr>
      <w:r>
        <w:t>2.1 Why Hospital Readmission Matters</w:t>
      </w:r>
    </w:p>
    <w:p w14:paraId="6696EC1F" w14:textId="77777777" w:rsidR="00BD40FA" w:rsidRDefault="00000000">
      <w:pPr>
        <w:spacing w:after="160" w:line="276" w:lineRule="auto"/>
      </w:pPr>
      <w:r>
        <w:rPr>
          <w:color w:val="1B2A38"/>
        </w:rPr>
        <w:t>Unplanned 30-day readmissions are both a financial burden and a signal of suboptimal care transitions. The Centers for Medicare &amp; Medicaid Services (CMS) penalize hospitals with excess readmission rates through the Hospital Readmissions Reduction Program (HRRP). Beyond penalties, each avoidable readmission disrupts patient recovery and consumes inpatient capacity. Transition-of-care nurses, social workers, and post-discharge scheduling slots are all finite resources, so hospitals need a principled way to decide which patients to prioritize.</w:t>
      </w:r>
    </w:p>
    <w:p w14:paraId="46ED51BB" w14:textId="77777777" w:rsidR="00BD40FA" w:rsidRDefault="00000000">
      <w:pPr>
        <w:pStyle w:val="Heading2"/>
      </w:pPr>
      <w:r>
        <w:t>2.2 Business Goal</w:t>
      </w:r>
    </w:p>
    <w:p w14:paraId="19653F10" w14:textId="77777777" w:rsidR="00BD40FA" w:rsidRDefault="00000000">
      <w:pPr>
        <w:spacing w:after="160" w:line="276" w:lineRule="auto"/>
      </w:pPr>
      <w:r>
        <w:rPr>
          <w:color w:val="1B2A38"/>
        </w:rPr>
        <w:t>Reduce avoidable 30-day readmissions by enabling targeted, risk-stratified follow-up. A practical scoring system can flag high-risk patients at discharge, so that care managers contact the right patients rather than relying on heuristics or ad hoc judgment.</w:t>
      </w:r>
    </w:p>
    <w:p w14:paraId="5C311144" w14:textId="77777777" w:rsidR="00BD40FA" w:rsidRDefault="00000000">
      <w:pPr>
        <w:pStyle w:val="Heading2"/>
      </w:pPr>
      <w:r>
        <w:t>2.3 Data Science Goal</w:t>
      </w:r>
    </w:p>
    <w:p w14:paraId="61705057" w14:textId="77777777" w:rsidR="00BD40FA" w:rsidRDefault="00000000">
      <w:pPr>
        <w:spacing w:after="160" w:line="276" w:lineRule="auto"/>
      </w:pPr>
      <w:r>
        <w:rPr>
          <w:color w:val="1B2A38"/>
        </w:rPr>
        <w:t>Build an end-to-end proof-of-value (PoV) pipeline that predicts 30-day readmission risk with measurable lift over a heuristic baseline, and produces outputs that are actionable (risk tiers, outreach lists), explainable (SHAP), and audited for fairness.</w:t>
      </w:r>
    </w:p>
    <w:p w14:paraId="2CC7165D" w14:textId="77777777" w:rsidR="00BD40FA" w:rsidRDefault="00000000">
      <w:pPr>
        <w:pStyle w:val="Heading2"/>
      </w:pPr>
      <w:r>
        <w:lastRenderedPageBreak/>
        <w:t>2.4 Hypothesis</w:t>
      </w:r>
    </w:p>
    <w:p w14:paraId="6CB1B1D1" w14:textId="77777777" w:rsidR="00BD40FA" w:rsidRDefault="00000000">
      <w:pPr>
        <w:spacing w:after="160" w:line="276" w:lineRule="auto"/>
      </w:pPr>
      <w:r>
        <w:rPr>
          <w:color w:val="1B2A38"/>
        </w:rPr>
        <w:t>Using routinely available encounter-level information—demographics, utilization history proxies, clinical proxies, and discharge context—we can predict 30-day readmission risk better than simple heuristics (e.g., “high prior utilization = high risk”). We further hypothesize that an interpretable model with an explanation layer can produce insights suitable for operational adoption.</w:t>
      </w:r>
    </w:p>
    <w:p w14:paraId="77FF9C6D" w14:textId="77777777" w:rsidR="00BD40FA" w:rsidRDefault="00000000">
      <w:pPr>
        <w:pStyle w:val="Heading1"/>
      </w:pPr>
      <w:r>
        <w:t>3. Data Overview</w:t>
      </w:r>
    </w:p>
    <w:p w14:paraId="24210B65" w14:textId="77777777" w:rsidR="00BD40FA" w:rsidRDefault="00000000">
      <w:pPr>
        <w:pStyle w:val="Heading2"/>
      </w:pPr>
      <w:r>
        <w:t>3.1 Dataset Description</w:t>
      </w:r>
    </w:p>
    <w:p w14:paraId="22BED6AB" w14:textId="77777777" w:rsidR="00BD40FA" w:rsidRDefault="00000000">
      <w:pPr>
        <w:spacing w:after="160" w:line="276" w:lineRule="auto"/>
      </w:pPr>
      <w:r>
        <w:rPr>
          <w:color w:val="1B2A38"/>
        </w:rPr>
        <w:t>The dataset comes from the UC Irvine Machine Learning Repository and is titled “Diabetes 130-US Hospitals for Years 1999–2008.” It contains encounter-level records for diabetic patients, with each row representing a single hospital stay. Key statistics at the point of ingestion: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40FA" w14:paraId="12D841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6B5C"/>
            <w:tcMar>
              <w:top w:w="60" w:type="dxa"/>
              <w:left w:w="100" w:type="dxa"/>
              <w:bottom w:w="60" w:type="dxa"/>
              <w:right w:w="100" w:type="dxa"/>
            </w:tcMar>
          </w:tcPr>
          <w:p w14:paraId="0E3E21B6" w14:textId="77777777" w:rsidR="00BD40FA" w:rsidRDefault="00000000">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A6B5C"/>
            <w:tcMar>
              <w:top w:w="60" w:type="dxa"/>
              <w:left w:w="100" w:type="dxa"/>
              <w:bottom w:w="60" w:type="dxa"/>
              <w:right w:w="100" w:type="dxa"/>
            </w:tcMar>
          </w:tcPr>
          <w:p w14:paraId="009FF074" w14:textId="77777777" w:rsidR="00BD40FA" w:rsidRDefault="00000000">
            <w:r>
              <w:rPr>
                <w:b/>
                <w:bCs/>
                <w:color w:val="FFFFFF"/>
                <w:sz w:val="20"/>
                <w:szCs w:val="20"/>
              </w:rPr>
              <w:t>Value</w:t>
            </w:r>
          </w:p>
        </w:tc>
      </w:tr>
      <w:tr w:rsidR="00BD40FA" w14:paraId="405808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57730" w14:textId="77777777" w:rsidR="00BD40FA" w:rsidRDefault="00000000">
            <w:r>
              <w:rPr>
                <w:color w:val="1B2A38"/>
                <w:sz w:val="20"/>
                <w:szCs w:val="20"/>
              </w:rPr>
              <w:t>Total encounters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CA2772" w14:textId="77777777" w:rsidR="00BD40FA" w:rsidRDefault="00000000">
            <w:r>
              <w:rPr>
                <w:color w:val="1B2A38"/>
                <w:sz w:val="20"/>
                <w:szCs w:val="20"/>
              </w:rPr>
              <w:t>101,766</w:t>
            </w:r>
          </w:p>
        </w:tc>
      </w:tr>
      <w:tr w:rsidR="00BD40FA" w14:paraId="56957F4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51EF9E" w14:textId="77777777" w:rsidR="00BD40FA" w:rsidRDefault="00000000">
            <w:r>
              <w:rPr>
                <w:color w:val="1B2A38"/>
                <w:sz w:val="20"/>
                <w:szCs w:val="20"/>
              </w:rPr>
              <w:t>Unique patients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622796" w14:textId="77777777" w:rsidR="00BD40FA" w:rsidRDefault="00000000">
            <w:r>
              <w:rPr>
                <w:color w:val="1B2A38"/>
                <w:sz w:val="20"/>
                <w:szCs w:val="20"/>
              </w:rPr>
              <w:t>71,518</w:t>
            </w:r>
          </w:p>
        </w:tc>
      </w:tr>
      <w:tr w:rsidR="00BD40FA" w14:paraId="3E55D0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FD1AE" w14:textId="77777777" w:rsidR="00BD40FA" w:rsidRDefault="00000000">
            <w:r>
              <w:rPr>
                <w:color w:val="1B2A38"/>
                <w:sz w:val="20"/>
                <w:szCs w:val="20"/>
              </w:rPr>
              <w:t>Raw features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BDDB8" w14:textId="77777777" w:rsidR="00BD40FA" w:rsidRDefault="00000000">
            <w:r>
              <w:rPr>
                <w:color w:val="1B2A38"/>
                <w:sz w:val="20"/>
                <w:szCs w:val="20"/>
              </w:rPr>
              <w:t>50</w:t>
            </w:r>
          </w:p>
        </w:tc>
      </w:tr>
      <w:tr w:rsidR="00BD40FA" w14:paraId="6E3C314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B9ECB" w14:textId="77777777" w:rsidR="00BD40FA" w:rsidRDefault="00000000">
            <w:r>
              <w:rPr>
                <w:color w:val="1B2A38"/>
                <w:sz w:val="20"/>
                <w:szCs w:val="20"/>
              </w:rPr>
              <w:t>Hospitals represented</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7DFA9" w14:textId="77777777" w:rsidR="00BD40FA" w:rsidRDefault="00000000">
            <w:r>
              <w:rPr>
                <w:color w:val="1B2A38"/>
                <w:sz w:val="20"/>
                <w:szCs w:val="20"/>
              </w:rPr>
              <w:t>130 U.S. hospitals</w:t>
            </w:r>
          </w:p>
        </w:tc>
      </w:tr>
      <w:tr w:rsidR="00BD40FA" w14:paraId="42A96F9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B7DA9" w14:textId="77777777" w:rsidR="00BD40FA" w:rsidRDefault="00000000">
            <w:r>
              <w:rPr>
                <w:color w:val="1B2A38"/>
                <w:sz w:val="20"/>
                <w:szCs w:val="20"/>
              </w:rPr>
              <w:t>Time span</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08275" w14:textId="77777777" w:rsidR="00BD40FA" w:rsidRDefault="00000000">
            <w:r>
              <w:rPr>
                <w:color w:val="1B2A38"/>
                <w:sz w:val="20"/>
                <w:szCs w:val="20"/>
              </w:rPr>
              <w:t>1999–2008 (10 years)</w:t>
            </w:r>
          </w:p>
        </w:tc>
      </w:tr>
    </w:tbl>
    <w:p w14:paraId="792B9AD9" w14:textId="77777777" w:rsidR="00BD40FA" w:rsidRDefault="00BD40FA">
      <w:pPr>
        <w:spacing w:after="80"/>
      </w:pPr>
    </w:p>
    <w:p w14:paraId="18E06C3F" w14:textId="77777777" w:rsidR="00BD40FA" w:rsidRDefault="00000000">
      <w:pPr>
        <w:pStyle w:val="Heading2"/>
      </w:pPr>
      <w:r>
        <w:t>3.2 Target Definition</w:t>
      </w:r>
    </w:p>
    <w:p w14:paraId="74A578A3" w14:textId="77777777" w:rsidR="00BD40FA" w:rsidRDefault="00000000">
      <w:pPr>
        <w:spacing w:after="160" w:line="276" w:lineRule="auto"/>
      </w:pPr>
      <w:r>
        <w:rPr>
          <w:color w:val="1B2A38"/>
        </w:rPr>
        <w:t>The original readmitted column has three values: “&lt;30” (readmitted within 30 days), “&gt;30” (readmitted after 30 days), and “No” (not readmitted). We convert this to a binary target:</w:t>
      </w:r>
    </w:p>
    <w:p w14:paraId="0B11F78F" w14:textId="77777777" w:rsidR="00BD40FA" w:rsidRDefault="00000000">
      <w:pPr>
        <w:pStyle w:val="ListParagraph"/>
        <w:numPr>
          <w:ilvl w:val="0"/>
          <w:numId w:val="2"/>
        </w:numPr>
        <w:spacing w:after="80" w:line="276" w:lineRule="auto"/>
      </w:pPr>
      <w:r>
        <w:rPr>
          <w:b/>
          <w:bCs/>
          <w:color w:val="1B2A38"/>
        </w:rPr>
        <w:t xml:space="preserve">1 = </w:t>
      </w:r>
      <w:r>
        <w:rPr>
          <w:color w:val="1B2A38"/>
        </w:rPr>
        <w:t>Readmitted within 30 days</w:t>
      </w:r>
    </w:p>
    <w:p w14:paraId="4B52E378" w14:textId="77777777" w:rsidR="00BD40FA" w:rsidRDefault="00000000">
      <w:pPr>
        <w:pStyle w:val="ListParagraph"/>
        <w:numPr>
          <w:ilvl w:val="0"/>
          <w:numId w:val="2"/>
        </w:numPr>
        <w:spacing w:after="80" w:line="276" w:lineRule="auto"/>
      </w:pPr>
      <w:r>
        <w:rPr>
          <w:b/>
          <w:bCs/>
          <w:color w:val="1B2A38"/>
        </w:rPr>
        <w:t xml:space="preserve">0 = </w:t>
      </w:r>
      <w:r>
        <w:rPr>
          <w:color w:val="1B2A38"/>
        </w:rPr>
        <w:t xml:space="preserve">Not readmitted within 30 days (includes &gt;30 and </w:t>
      </w:r>
      <w:proofErr w:type="gramStart"/>
      <w:r>
        <w:rPr>
          <w:color w:val="1B2A38"/>
        </w:rPr>
        <w:t>No</w:t>
      </w:r>
      <w:proofErr w:type="gramEnd"/>
      <w:r>
        <w:rPr>
          <w:color w:val="1B2A38"/>
        </w:rPr>
        <w:t>)</w:t>
      </w:r>
    </w:p>
    <w:p w14:paraId="45ED471D" w14:textId="77777777" w:rsidR="00BD40FA" w:rsidRDefault="00000000">
      <w:pPr>
        <w:spacing w:before="80" w:after="160" w:line="276" w:lineRule="auto"/>
      </w:pPr>
      <w:r>
        <w:rPr>
          <w:color w:val="1B2A38"/>
        </w:rPr>
        <w:t>The resulting positive class rate is approximately 11.2%, creating a significant class imbalance challenge that shapes our evaluation strategy—PR-AUC matters far more than raw accuracy.</w:t>
      </w:r>
    </w:p>
    <w:p w14:paraId="3ACDF92E" w14:textId="77777777" w:rsidR="00BD40FA" w:rsidRDefault="00000000">
      <w:pPr>
        <w:pStyle w:val="Heading2"/>
      </w:pPr>
      <w:r>
        <w:t>3.3 Feature Groups</w:t>
      </w:r>
    </w:p>
    <w:p w14:paraId="0ADD24CB" w14:textId="77777777" w:rsidR="00BD40FA" w:rsidRDefault="00000000">
      <w:pPr>
        <w:pStyle w:val="ListParagraph"/>
        <w:numPr>
          <w:ilvl w:val="0"/>
          <w:numId w:val="2"/>
        </w:numPr>
        <w:spacing w:after="80" w:line="276" w:lineRule="auto"/>
      </w:pPr>
      <w:r>
        <w:rPr>
          <w:b/>
          <w:bCs/>
          <w:color w:val="1B2A38"/>
        </w:rPr>
        <w:t xml:space="preserve">Demographics: </w:t>
      </w:r>
      <w:r>
        <w:rPr>
          <w:color w:val="1B2A38"/>
        </w:rPr>
        <w:t>Age band, gender. Race is retained primarily for fairness auditing.</w:t>
      </w:r>
    </w:p>
    <w:p w14:paraId="60D9335F" w14:textId="77777777" w:rsidR="00BD40FA" w:rsidRDefault="00000000">
      <w:pPr>
        <w:pStyle w:val="ListParagraph"/>
        <w:numPr>
          <w:ilvl w:val="0"/>
          <w:numId w:val="2"/>
        </w:numPr>
        <w:spacing w:after="80" w:line="276" w:lineRule="auto"/>
      </w:pPr>
      <w:r>
        <w:rPr>
          <w:b/>
          <w:bCs/>
          <w:color w:val="1B2A38"/>
        </w:rPr>
        <w:t xml:space="preserve">Utilization proxies: </w:t>
      </w:r>
      <w:r>
        <w:rPr>
          <w:color w:val="1B2A38"/>
        </w:rPr>
        <w:t>Number of lab procedures, number of medications, outpatient/emergency/inpatient visit counts.</w:t>
      </w:r>
    </w:p>
    <w:p w14:paraId="0794A320" w14:textId="77777777" w:rsidR="00BD40FA" w:rsidRDefault="00000000">
      <w:pPr>
        <w:pStyle w:val="ListParagraph"/>
        <w:numPr>
          <w:ilvl w:val="0"/>
          <w:numId w:val="2"/>
        </w:numPr>
        <w:spacing w:after="80" w:line="276" w:lineRule="auto"/>
      </w:pPr>
      <w:r>
        <w:rPr>
          <w:b/>
          <w:bCs/>
          <w:color w:val="1B2A38"/>
        </w:rPr>
        <w:t xml:space="preserve">Encounter context: </w:t>
      </w:r>
      <w:r>
        <w:rPr>
          <w:color w:val="1B2A38"/>
        </w:rPr>
        <w:t>Admission type/source, discharge disposition, time in hospital.</w:t>
      </w:r>
    </w:p>
    <w:p w14:paraId="6C42AD68" w14:textId="77777777" w:rsidR="00BD40FA" w:rsidRDefault="00000000">
      <w:pPr>
        <w:pStyle w:val="ListParagraph"/>
        <w:numPr>
          <w:ilvl w:val="0"/>
          <w:numId w:val="2"/>
        </w:numPr>
        <w:spacing w:after="80" w:line="276" w:lineRule="auto"/>
      </w:pPr>
      <w:r>
        <w:rPr>
          <w:b/>
          <w:bCs/>
          <w:color w:val="1B2A38"/>
        </w:rPr>
        <w:t xml:space="preserve">Clinical proxies: </w:t>
      </w:r>
      <w:r>
        <w:rPr>
          <w:color w:val="1B2A38"/>
        </w:rPr>
        <w:t>ICD-9 diagnosis group codes, number of diagnoses, A1C test flag/result, medication change indicators.</w:t>
      </w:r>
    </w:p>
    <w:p w14:paraId="5503641E" w14:textId="77777777" w:rsidR="00BD40FA" w:rsidRDefault="00000000">
      <w:pPr>
        <w:pStyle w:val="Heading1"/>
      </w:pPr>
      <w:r>
        <w:lastRenderedPageBreak/>
        <w:t>4. Data Cleaning &amp; Leakage Prevention</w:t>
      </w:r>
    </w:p>
    <w:p w14:paraId="7E24BDF8" w14:textId="77777777" w:rsidR="00BD40FA" w:rsidRDefault="00000000">
      <w:pPr>
        <w:spacing w:after="160" w:line="276" w:lineRule="auto"/>
      </w:pPr>
      <w:r>
        <w:rPr>
          <w:color w:val="1B2A38"/>
        </w:rPr>
        <w:t>Data cleaning is the first substantive step in the enterprise data science lifecycle (Module II). We applied the following steps systematically:</w:t>
      </w:r>
    </w:p>
    <w:p w14:paraId="6298C296" w14:textId="77777777" w:rsidR="00BD40FA" w:rsidRDefault="00000000">
      <w:pPr>
        <w:pStyle w:val="Heading2"/>
      </w:pPr>
      <w:r>
        <w:t>4.1 Leakage Prevention</w:t>
      </w:r>
    </w:p>
    <w:p w14:paraId="196DD920" w14:textId="77777777" w:rsidR="00BD40FA" w:rsidRDefault="00000000">
      <w:pPr>
        <w:spacing w:after="160" w:line="276" w:lineRule="auto"/>
      </w:pPr>
      <w:r>
        <w:rPr>
          <w:color w:val="1B2A38"/>
        </w:rPr>
        <w:t>Discharge dispositions corresponding to death or hospice transfer (codes 11, 13, 14, 19, 20, 21) were removed because these patients cannot be readmitted. Keeping them would artificially inflate model performance. This removed 2,423 encounters.</w:t>
      </w:r>
    </w:p>
    <w:p w14:paraId="262F51EE" w14:textId="77777777" w:rsidR="00BD40FA" w:rsidRDefault="00000000">
      <w:pPr>
        <w:pStyle w:val="Heading2"/>
      </w:pPr>
      <w:r>
        <w:t>4.2 Missing Value Treatment</w:t>
      </w:r>
    </w:p>
    <w:p w14:paraId="0066DEDF" w14:textId="77777777" w:rsidR="00BD40FA" w:rsidRDefault="00000000">
      <w:pPr>
        <w:pStyle w:val="ListParagraph"/>
        <w:numPr>
          <w:ilvl w:val="0"/>
          <w:numId w:val="2"/>
        </w:numPr>
        <w:spacing w:after="80" w:line="276" w:lineRule="auto"/>
      </w:pPr>
      <w:r>
        <w:rPr>
          <w:b/>
          <w:bCs/>
          <w:color w:val="1B2A38"/>
        </w:rPr>
        <w:t xml:space="preserve">Dropped: </w:t>
      </w:r>
      <w:r>
        <w:rPr>
          <w:color w:val="1B2A38"/>
        </w:rPr>
        <w:t xml:space="preserve">weight (97% missing), </w:t>
      </w:r>
      <w:proofErr w:type="spellStart"/>
      <w:r>
        <w:rPr>
          <w:color w:val="1B2A38"/>
        </w:rPr>
        <w:t>payer_code</w:t>
      </w:r>
      <w:proofErr w:type="spellEnd"/>
      <w:r>
        <w:rPr>
          <w:color w:val="1B2A38"/>
        </w:rPr>
        <w:t xml:space="preserve"> (40% missing)—too sparse to be informative.</w:t>
      </w:r>
    </w:p>
    <w:p w14:paraId="0580C876" w14:textId="77777777" w:rsidR="00BD40FA" w:rsidRDefault="00000000">
      <w:pPr>
        <w:pStyle w:val="ListParagraph"/>
        <w:numPr>
          <w:ilvl w:val="0"/>
          <w:numId w:val="2"/>
        </w:numPr>
        <w:spacing w:after="80" w:line="276" w:lineRule="auto"/>
      </w:pPr>
      <w:r>
        <w:rPr>
          <w:b/>
          <w:bCs/>
          <w:color w:val="1B2A38"/>
        </w:rPr>
        <w:t xml:space="preserve">Imputed: </w:t>
      </w:r>
      <w:proofErr w:type="spellStart"/>
      <w:r>
        <w:rPr>
          <w:color w:val="1B2A38"/>
        </w:rPr>
        <w:t>medical_specialty</w:t>
      </w:r>
      <w:proofErr w:type="spellEnd"/>
      <w:r>
        <w:rPr>
          <w:color w:val="1B2A38"/>
        </w:rPr>
        <w:t xml:space="preserve"> filled with “Missing” (49% missing, missingness itself may be predictive); race filled with “Unknown” (2.2% missing); diagnosis codes filled with “Unknown.”</w:t>
      </w:r>
    </w:p>
    <w:p w14:paraId="38971A3B" w14:textId="77777777" w:rsidR="00BD40FA" w:rsidRDefault="00000000">
      <w:pPr>
        <w:pStyle w:val="ListParagraph"/>
        <w:numPr>
          <w:ilvl w:val="0"/>
          <w:numId w:val="2"/>
        </w:numPr>
        <w:spacing w:after="80" w:line="276" w:lineRule="auto"/>
      </w:pPr>
      <w:r>
        <w:rPr>
          <w:b/>
          <w:bCs/>
          <w:color w:val="1B2A38"/>
        </w:rPr>
        <w:t xml:space="preserve">Removed: </w:t>
      </w:r>
      <w:r>
        <w:rPr>
          <w:color w:val="1B2A38"/>
        </w:rPr>
        <w:t>3 rows with gender = “Unknown/Invalid.”</w:t>
      </w:r>
    </w:p>
    <w:p w14:paraId="17D61699" w14:textId="77777777" w:rsidR="00BD40FA" w:rsidRDefault="00000000">
      <w:pPr>
        <w:pStyle w:val="Heading2"/>
      </w:pPr>
      <w:r>
        <w:t>4.3 Identifier Removal</w:t>
      </w:r>
    </w:p>
    <w:p w14:paraId="0B2DB205" w14:textId="77777777" w:rsidR="00BD40FA" w:rsidRDefault="00000000">
      <w:pPr>
        <w:spacing w:after="160" w:line="276" w:lineRule="auto"/>
      </w:pPr>
      <w:proofErr w:type="spellStart"/>
      <w:r>
        <w:rPr>
          <w:color w:val="1B2A38"/>
        </w:rPr>
        <w:t>encounter_id</w:t>
      </w:r>
      <w:proofErr w:type="spellEnd"/>
      <w:r>
        <w:rPr>
          <w:color w:val="1B2A38"/>
        </w:rPr>
        <w:t xml:space="preserve"> and the raw readmitted column were dropped. </w:t>
      </w:r>
      <w:proofErr w:type="spellStart"/>
      <w:r>
        <w:rPr>
          <w:color w:val="1B2A38"/>
        </w:rPr>
        <w:t>patient_nbr</w:t>
      </w:r>
      <w:proofErr w:type="spellEnd"/>
      <w:r>
        <w:rPr>
          <w:color w:val="1B2A38"/>
        </w:rPr>
        <w:t xml:space="preserve"> was retained separately for group-aware splitting but excluded from the feature matrix.</w:t>
      </w:r>
    </w:p>
    <w:p w14:paraId="73131366" w14:textId="77777777" w:rsidR="00BD40FA" w:rsidRDefault="00000000">
      <w:pPr>
        <w:spacing w:after="160" w:line="276" w:lineRule="auto"/>
      </w:pPr>
      <w:r>
        <w:rPr>
          <w:b/>
          <w:bCs/>
          <w:color w:val="1B2A38"/>
        </w:rPr>
        <w:t>After cleaning, the dataset contained 99,340 rows and 47 columns.</w:t>
      </w:r>
    </w:p>
    <w:p w14:paraId="3DDC28FD" w14:textId="77777777" w:rsidR="00BD40FA" w:rsidRDefault="00000000">
      <w:pPr>
        <w:pStyle w:val="Heading1"/>
      </w:pPr>
      <w:r>
        <w:t>5. Feature Engineering (Module III)</w:t>
      </w:r>
    </w:p>
    <w:p w14:paraId="421D5231" w14:textId="77777777" w:rsidR="00BD40FA" w:rsidRDefault="00000000">
      <w:pPr>
        <w:spacing w:after="160" w:line="276" w:lineRule="auto"/>
      </w:pPr>
      <w:r>
        <w:rPr>
          <w:color w:val="1B2A38"/>
        </w:rPr>
        <w:t>Feature engineering transforms raw data into representations that better capture the underlying signal. This section demonstrates techniques from Module III of the course.</w:t>
      </w:r>
    </w:p>
    <w:p w14:paraId="79E70B4C" w14:textId="77777777" w:rsidR="00BD40FA" w:rsidRDefault="00000000">
      <w:pPr>
        <w:pStyle w:val="Heading2"/>
      </w:pPr>
      <w:r>
        <w:t>5.1 ICD-9 Diagnosis Code Grouping</w:t>
      </w:r>
    </w:p>
    <w:p w14:paraId="2FA95939" w14:textId="77777777" w:rsidR="00BD40FA" w:rsidRDefault="00000000">
      <w:pPr>
        <w:spacing w:after="160" w:line="276" w:lineRule="auto"/>
      </w:pPr>
      <w:r>
        <w:rPr>
          <w:color w:val="1B2A38"/>
        </w:rPr>
        <w:t>The three raw diagnosis columns (diag_1, diag_2, diag_3) each contained hundreds of unique ICD-9 codes. Feeding these raw codes into models would create extreme cardinality and sparsity. We mapped each code to one of 18 clinically meaningful categories (e.g., Circulatory 390–459, Endocrine 240–279, Respiratory 460–519). This domain-driven grouping reduces dimensionality while preserving clinical relevance.</w:t>
      </w:r>
    </w:p>
    <w:p w14:paraId="0ED0A7DE" w14:textId="77777777" w:rsidR="00BD40FA" w:rsidRDefault="00000000">
      <w:pPr>
        <w:pStyle w:val="Heading2"/>
      </w:pPr>
      <w:r>
        <w:t>5.2 Medication Feature Aggregation</w:t>
      </w:r>
    </w:p>
    <w:p w14:paraId="75C4A00D" w14:textId="77777777" w:rsidR="00BD40FA" w:rsidRDefault="00000000">
      <w:pPr>
        <w:spacing w:after="160" w:line="276" w:lineRule="auto"/>
      </w:pPr>
      <w:r>
        <w:rPr>
          <w:color w:val="1B2A38"/>
        </w:rPr>
        <w:t>The dataset contained 23 individual medication columns (metformin, insulin, glipizide, etc.) each with values like “No”, “Steady”, “Up”, or “Down.” Rather than one-hot encoding all 23 columns (which would create dozens of sparse features), we engineered three aggregate features:</w:t>
      </w:r>
    </w:p>
    <w:p w14:paraId="133CF99A" w14:textId="77777777" w:rsidR="00BD40FA" w:rsidRDefault="00000000">
      <w:pPr>
        <w:pStyle w:val="ListParagraph"/>
        <w:numPr>
          <w:ilvl w:val="0"/>
          <w:numId w:val="2"/>
        </w:numPr>
        <w:spacing w:after="80" w:line="276" w:lineRule="auto"/>
      </w:pPr>
      <w:proofErr w:type="spellStart"/>
      <w:r>
        <w:rPr>
          <w:b/>
          <w:bCs/>
          <w:color w:val="1B2A38"/>
        </w:rPr>
        <w:lastRenderedPageBreak/>
        <w:t>n_med_changed</w:t>
      </w:r>
      <w:proofErr w:type="spellEnd"/>
      <w:r>
        <w:rPr>
          <w:b/>
          <w:bCs/>
          <w:color w:val="1B2A38"/>
        </w:rPr>
        <w:t xml:space="preserve">: </w:t>
      </w:r>
      <w:r>
        <w:rPr>
          <w:color w:val="1B2A38"/>
        </w:rPr>
        <w:t>Count of medications with dose changes (Up or Down)—captures treatment instability.</w:t>
      </w:r>
    </w:p>
    <w:p w14:paraId="25404B8F" w14:textId="77777777" w:rsidR="00BD40FA" w:rsidRDefault="00000000">
      <w:pPr>
        <w:pStyle w:val="ListParagraph"/>
        <w:numPr>
          <w:ilvl w:val="0"/>
          <w:numId w:val="2"/>
        </w:numPr>
        <w:spacing w:after="80" w:line="276" w:lineRule="auto"/>
      </w:pPr>
      <w:proofErr w:type="spellStart"/>
      <w:r>
        <w:rPr>
          <w:b/>
          <w:bCs/>
          <w:color w:val="1B2A38"/>
        </w:rPr>
        <w:t>n_med_on</w:t>
      </w:r>
      <w:proofErr w:type="spellEnd"/>
      <w:r>
        <w:rPr>
          <w:b/>
          <w:bCs/>
          <w:color w:val="1B2A38"/>
        </w:rPr>
        <w:t xml:space="preserve">: </w:t>
      </w:r>
      <w:r>
        <w:rPr>
          <w:color w:val="1B2A38"/>
        </w:rPr>
        <w:t>Count of active medications—captures polypharmacy burden.</w:t>
      </w:r>
    </w:p>
    <w:p w14:paraId="2E9F72C9" w14:textId="77777777" w:rsidR="00BD40FA" w:rsidRDefault="00000000">
      <w:pPr>
        <w:pStyle w:val="ListParagraph"/>
        <w:numPr>
          <w:ilvl w:val="0"/>
          <w:numId w:val="2"/>
        </w:numPr>
        <w:spacing w:after="80" w:line="276" w:lineRule="auto"/>
      </w:pPr>
      <w:proofErr w:type="spellStart"/>
      <w:r>
        <w:rPr>
          <w:b/>
          <w:bCs/>
          <w:color w:val="1B2A38"/>
        </w:rPr>
        <w:t>insulin_change</w:t>
      </w:r>
      <w:proofErr w:type="spellEnd"/>
      <w:r>
        <w:rPr>
          <w:b/>
          <w:bCs/>
          <w:color w:val="1B2A38"/>
        </w:rPr>
        <w:t xml:space="preserve">: </w:t>
      </w:r>
      <w:r>
        <w:rPr>
          <w:color w:val="1B2A38"/>
        </w:rPr>
        <w:t>Ordinal encoding of insulin status (No=0, Steady=1, Up/Down=2)—insulin management is a key clinical signal.</w:t>
      </w:r>
    </w:p>
    <w:p w14:paraId="36034796" w14:textId="77777777" w:rsidR="00BD40FA" w:rsidRDefault="00000000">
      <w:pPr>
        <w:pStyle w:val="Heading2"/>
      </w:pPr>
      <w:r>
        <w:t>5.3 Derived Features</w:t>
      </w:r>
    </w:p>
    <w:p w14:paraId="36DE12AB" w14:textId="77777777" w:rsidR="00BD40FA" w:rsidRDefault="00000000">
      <w:pPr>
        <w:spacing w:after="160" w:line="276" w:lineRule="auto"/>
      </w:pPr>
      <w:r>
        <w:rPr>
          <w:color w:val="1B2A38"/>
        </w:rPr>
        <w:t>We created four domain-informed binary and continuous features:</w:t>
      </w:r>
    </w:p>
    <w:p w14:paraId="007F0769" w14:textId="77777777" w:rsidR="00BD40FA" w:rsidRDefault="00000000">
      <w:pPr>
        <w:pStyle w:val="ListParagraph"/>
        <w:numPr>
          <w:ilvl w:val="0"/>
          <w:numId w:val="2"/>
        </w:numPr>
        <w:spacing w:after="80" w:line="276" w:lineRule="auto"/>
      </w:pPr>
      <w:proofErr w:type="spellStart"/>
      <w:r>
        <w:rPr>
          <w:b/>
          <w:bCs/>
          <w:color w:val="1B2A38"/>
        </w:rPr>
        <w:t>total_visits</w:t>
      </w:r>
      <w:proofErr w:type="spellEnd"/>
      <w:r>
        <w:rPr>
          <w:b/>
          <w:bCs/>
          <w:color w:val="1B2A38"/>
        </w:rPr>
        <w:t xml:space="preserve">: </w:t>
      </w:r>
      <w:r>
        <w:rPr>
          <w:color w:val="1B2A38"/>
        </w:rPr>
        <w:t>Sum of outpatient + emergency + inpatient prior visits.</w:t>
      </w:r>
    </w:p>
    <w:p w14:paraId="244C0018" w14:textId="77777777" w:rsidR="00BD40FA" w:rsidRDefault="00000000">
      <w:pPr>
        <w:pStyle w:val="ListParagraph"/>
        <w:numPr>
          <w:ilvl w:val="0"/>
          <w:numId w:val="2"/>
        </w:numPr>
        <w:spacing w:after="80" w:line="276" w:lineRule="auto"/>
      </w:pPr>
      <w:proofErr w:type="spellStart"/>
      <w:r>
        <w:rPr>
          <w:b/>
          <w:bCs/>
          <w:color w:val="1B2A38"/>
        </w:rPr>
        <w:t>high_utilizer</w:t>
      </w:r>
      <w:proofErr w:type="spellEnd"/>
      <w:r>
        <w:rPr>
          <w:b/>
          <w:bCs/>
          <w:color w:val="1B2A38"/>
        </w:rPr>
        <w:t xml:space="preserve">: </w:t>
      </w:r>
      <w:r>
        <w:rPr>
          <w:color w:val="1B2A38"/>
        </w:rPr>
        <w:t>Binary flag for patients with 2+ prior inpatient stays.</w:t>
      </w:r>
    </w:p>
    <w:p w14:paraId="12AC4DFF" w14:textId="77777777" w:rsidR="00BD40FA" w:rsidRDefault="00000000">
      <w:pPr>
        <w:pStyle w:val="ListParagraph"/>
        <w:numPr>
          <w:ilvl w:val="0"/>
          <w:numId w:val="2"/>
        </w:numPr>
        <w:spacing w:after="80" w:line="276" w:lineRule="auto"/>
      </w:pPr>
      <w:proofErr w:type="spellStart"/>
      <w:r>
        <w:rPr>
          <w:b/>
          <w:bCs/>
          <w:color w:val="1B2A38"/>
        </w:rPr>
        <w:t>many_meds</w:t>
      </w:r>
      <w:proofErr w:type="spellEnd"/>
      <w:r>
        <w:rPr>
          <w:b/>
          <w:bCs/>
          <w:color w:val="1B2A38"/>
        </w:rPr>
        <w:t xml:space="preserve">: </w:t>
      </w:r>
      <w:r>
        <w:rPr>
          <w:color w:val="1B2A38"/>
        </w:rPr>
        <w:t>Binary flag for patients on 15+ medications.</w:t>
      </w:r>
    </w:p>
    <w:p w14:paraId="7738F43B" w14:textId="77777777" w:rsidR="00BD40FA" w:rsidRDefault="00000000">
      <w:pPr>
        <w:pStyle w:val="ListParagraph"/>
        <w:numPr>
          <w:ilvl w:val="0"/>
          <w:numId w:val="2"/>
        </w:numPr>
        <w:spacing w:after="80" w:line="276" w:lineRule="auto"/>
      </w:pPr>
      <w:proofErr w:type="spellStart"/>
      <w:r>
        <w:rPr>
          <w:b/>
          <w:bCs/>
          <w:color w:val="1B2A38"/>
        </w:rPr>
        <w:t>long_stay</w:t>
      </w:r>
      <w:proofErr w:type="spellEnd"/>
      <w:r>
        <w:rPr>
          <w:b/>
          <w:bCs/>
          <w:color w:val="1B2A38"/>
        </w:rPr>
        <w:t xml:space="preserve">: </w:t>
      </w:r>
      <w:r>
        <w:rPr>
          <w:color w:val="1B2A38"/>
        </w:rPr>
        <w:t>Binary flag for hospital stays of 7+ days.</w:t>
      </w:r>
    </w:p>
    <w:p w14:paraId="5EFE73A8" w14:textId="77777777" w:rsidR="00BD40FA" w:rsidRDefault="00000000">
      <w:pPr>
        <w:pStyle w:val="Heading2"/>
      </w:pPr>
      <w:r>
        <w:t>5.4 Encoding</w:t>
      </w:r>
    </w:p>
    <w:p w14:paraId="62A7CB9F" w14:textId="77777777" w:rsidR="00BD40FA" w:rsidRDefault="00000000">
      <w:pPr>
        <w:spacing w:after="160" w:line="276" w:lineRule="auto"/>
      </w:pPr>
      <w:r>
        <w:rPr>
          <w:color w:val="1B2A38"/>
        </w:rPr>
        <w:t>Age bands were mapped to ordinal integers (0–9). Lab result columns (</w:t>
      </w:r>
      <w:proofErr w:type="spellStart"/>
      <w:r>
        <w:rPr>
          <w:color w:val="1B2A38"/>
        </w:rPr>
        <w:t>max_glu_serum</w:t>
      </w:r>
      <w:proofErr w:type="spellEnd"/>
      <w:r>
        <w:rPr>
          <w:color w:val="1B2A38"/>
        </w:rPr>
        <w:t xml:space="preserve">, A1Cresult) were ordinally encoded. The change and </w:t>
      </w:r>
      <w:proofErr w:type="spellStart"/>
      <w:r>
        <w:rPr>
          <w:color w:val="1B2A38"/>
        </w:rPr>
        <w:t>diabetesMed</w:t>
      </w:r>
      <w:proofErr w:type="spellEnd"/>
      <w:r>
        <w:rPr>
          <w:color w:val="1B2A38"/>
        </w:rPr>
        <w:t xml:space="preserve"> flags were converted to binary. Rare medical specialties (below the top 15) were grouped into “Other.” Finally, 9 categorical columns were one-hot encoded, producing a feature matrix of 140 columns.</w:t>
      </w:r>
    </w:p>
    <w:p w14:paraId="5A3B7990" w14:textId="77777777" w:rsidR="00BD40FA" w:rsidRDefault="00000000">
      <w:pPr>
        <w:pStyle w:val="Heading1"/>
      </w:pPr>
      <w:r>
        <w:t>6. Feature Selection &amp; Dimensionality Reduction (Module III)</w:t>
      </w:r>
    </w:p>
    <w:p w14:paraId="36B36B3F" w14:textId="77777777" w:rsidR="00BD40FA" w:rsidRDefault="00000000">
      <w:pPr>
        <w:pStyle w:val="Heading2"/>
      </w:pPr>
      <w:r>
        <w:t>6.1 Zero-Variance and Correlation Filtering</w:t>
      </w:r>
    </w:p>
    <w:p w14:paraId="1C2612E0" w14:textId="77777777" w:rsidR="00BD40FA" w:rsidRDefault="00000000">
      <w:pPr>
        <w:spacing w:after="160" w:line="276" w:lineRule="auto"/>
      </w:pPr>
      <w:r>
        <w:rPr>
          <w:color w:val="1B2A38"/>
        </w:rPr>
        <w:t>Zero-variance features were dropped (none found in this dataset). Pairwise Pearson correlations were computed, and any feature pair with |r| &gt; 0.95 would have had one member removed. No features exceeded this threshold, leaving 138 features after removing the target and patient ID.</w:t>
      </w:r>
    </w:p>
    <w:p w14:paraId="7BAEDDAF" w14:textId="77777777" w:rsidR="00BD40FA" w:rsidRDefault="00000000">
      <w:pPr>
        <w:pStyle w:val="Heading2"/>
      </w:pPr>
      <w:r>
        <w:t>6.2 Mutual Information</w:t>
      </w:r>
    </w:p>
    <w:p w14:paraId="7E7B7942" w14:textId="77777777" w:rsidR="00BD40FA" w:rsidRDefault="00000000">
      <w:pPr>
        <w:spacing w:after="160" w:line="276" w:lineRule="auto"/>
      </w:pPr>
      <w:r>
        <w:rPr>
          <w:color w:val="1B2A38"/>
        </w:rPr>
        <w:t xml:space="preserve">Mutual Information (MI) scores were computed for all 138 features against the binary target. MI captures nonlinear dependencies and is model-agnostic, making it a strong complement to correlation-based filters. The top features by MI score included </w:t>
      </w:r>
      <w:proofErr w:type="spellStart"/>
      <w:r>
        <w:rPr>
          <w:color w:val="1B2A38"/>
        </w:rPr>
        <w:t>number_inpatient</w:t>
      </w:r>
      <w:proofErr w:type="spellEnd"/>
      <w:r>
        <w:rPr>
          <w:color w:val="1B2A38"/>
        </w:rPr>
        <w:t xml:space="preserve"> (0.0105), </w:t>
      </w:r>
      <w:proofErr w:type="spellStart"/>
      <w:r>
        <w:rPr>
          <w:color w:val="1B2A38"/>
        </w:rPr>
        <w:t>race_Caucasian</w:t>
      </w:r>
      <w:proofErr w:type="spellEnd"/>
      <w:r>
        <w:rPr>
          <w:color w:val="1B2A38"/>
        </w:rPr>
        <w:t xml:space="preserve"> (0.0090), </w:t>
      </w:r>
      <w:proofErr w:type="spellStart"/>
      <w:r>
        <w:rPr>
          <w:color w:val="1B2A38"/>
        </w:rPr>
        <w:t>diabetesMed</w:t>
      </w:r>
      <w:proofErr w:type="spellEnd"/>
      <w:r>
        <w:rPr>
          <w:color w:val="1B2A38"/>
        </w:rPr>
        <w:t xml:space="preserve"> (0.0087), </w:t>
      </w:r>
      <w:proofErr w:type="spellStart"/>
      <w:r>
        <w:rPr>
          <w:color w:val="1B2A38"/>
        </w:rPr>
        <w:t>total_visits</w:t>
      </w:r>
      <w:proofErr w:type="spellEnd"/>
      <w:r>
        <w:rPr>
          <w:color w:val="1B2A38"/>
        </w:rPr>
        <w:t xml:space="preserve"> (0.0081), and </w:t>
      </w:r>
      <w:proofErr w:type="spellStart"/>
      <w:r>
        <w:rPr>
          <w:color w:val="1B2A38"/>
        </w:rPr>
        <w:t>high_utilizer</w:t>
      </w:r>
      <w:proofErr w:type="spellEnd"/>
      <w:r>
        <w:rPr>
          <w:color w:val="1B2A38"/>
        </w:rPr>
        <w:t xml:space="preserve"> (0.0075). These rankings confirm that utilization intensity is the strongest predictor of near-term readmission.</w:t>
      </w:r>
    </w:p>
    <w:p w14:paraId="61E7CE63" w14:textId="77777777" w:rsidR="00BD40FA" w:rsidRDefault="00000000">
      <w:pPr>
        <w:pStyle w:val="Heading2"/>
      </w:pPr>
      <w:r>
        <w:t>6.3 PCA Visualization</w:t>
      </w:r>
    </w:p>
    <w:p w14:paraId="14E59E15" w14:textId="77777777" w:rsidR="00BD40FA" w:rsidRDefault="00000000">
      <w:pPr>
        <w:spacing w:after="160" w:line="276" w:lineRule="auto"/>
      </w:pPr>
      <w:r>
        <w:rPr>
          <w:color w:val="1B2A38"/>
        </w:rPr>
        <w:lastRenderedPageBreak/>
        <w:t>Principal Component Analysis was applied to project the 138-dimensional feature space onto two components for visual exploration. While the two leading components explain only a modest fraction of variance (typical for high-cardinality clinical data), the scatter plot reveals that readmitted patients are dispersed throughout the feature space rather than forming a clean cluster—confirming that this is an inherently difficult classification problem where no simple linear boundary separates the classes.</w:t>
      </w:r>
    </w:p>
    <w:p w14:paraId="47EE579B" w14:textId="77777777" w:rsidR="00BD40FA" w:rsidRDefault="00000000">
      <w:pPr>
        <w:pStyle w:val="Heading1"/>
      </w:pPr>
      <w:r>
        <w:t>7. Train/Test Split Strategy</w:t>
      </w:r>
    </w:p>
    <w:p w14:paraId="1DA3B631" w14:textId="77777777" w:rsidR="00BD40FA" w:rsidRDefault="00000000">
      <w:pPr>
        <w:spacing w:after="160" w:line="276" w:lineRule="auto"/>
      </w:pPr>
      <w:r>
        <w:rPr>
          <w:color w:val="1B2A38"/>
        </w:rPr>
        <w:t xml:space="preserve">Because some patients appear in multiple encounters, a naive random split could leak information between train and test sets. We used </w:t>
      </w:r>
      <w:proofErr w:type="spellStart"/>
      <w:r>
        <w:rPr>
          <w:color w:val="1B2A38"/>
        </w:rPr>
        <w:t>GroupShuffleSplit</w:t>
      </w:r>
      <w:proofErr w:type="spellEnd"/>
      <w:r>
        <w:rPr>
          <w:color w:val="1B2A38"/>
        </w:rPr>
        <w:t xml:space="preserve"> with </w:t>
      </w:r>
      <w:proofErr w:type="spellStart"/>
      <w:r>
        <w:rPr>
          <w:color w:val="1B2A38"/>
        </w:rPr>
        <w:t>patient_nbr</w:t>
      </w:r>
      <w:proofErr w:type="spellEnd"/>
      <w:r>
        <w:rPr>
          <w:color w:val="1B2A38"/>
        </w:rPr>
        <w:t xml:space="preserve"> as the group key, ensuring zero overlap between the patient sets in training and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D40FA" w14:paraId="253DAB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6B5C"/>
            <w:tcMar>
              <w:top w:w="60" w:type="dxa"/>
              <w:left w:w="100" w:type="dxa"/>
              <w:bottom w:w="60" w:type="dxa"/>
              <w:right w:w="100" w:type="dxa"/>
            </w:tcMar>
          </w:tcPr>
          <w:p w14:paraId="2C914A52" w14:textId="77777777" w:rsidR="00BD40FA" w:rsidRDefault="00000000">
            <w:r>
              <w:rPr>
                <w:b/>
                <w:bCs/>
                <w:color w:val="FFFFFF"/>
                <w:sz w:val="20"/>
                <w:szCs w:val="20"/>
              </w:rPr>
              <w:t>Split</w:t>
            </w:r>
          </w:p>
        </w:tc>
        <w:tc>
          <w:tcPr>
            <w:tcW w:w="3120" w:type="dxa"/>
            <w:tcBorders>
              <w:top w:val="single" w:sz="1" w:space="0" w:color="CCCCCC"/>
              <w:left w:val="single" w:sz="1" w:space="0" w:color="CCCCCC"/>
              <w:bottom w:val="single" w:sz="1" w:space="0" w:color="CCCCCC"/>
              <w:right w:val="single" w:sz="1" w:space="0" w:color="CCCCCC"/>
            </w:tcBorders>
            <w:shd w:val="clear" w:color="auto" w:fill="1A6B5C"/>
            <w:tcMar>
              <w:top w:w="60" w:type="dxa"/>
              <w:left w:w="100" w:type="dxa"/>
              <w:bottom w:w="60" w:type="dxa"/>
              <w:right w:w="100" w:type="dxa"/>
            </w:tcMar>
          </w:tcPr>
          <w:p w14:paraId="5CDD016E" w14:textId="77777777" w:rsidR="00BD40FA" w:rsidRDefault="00000000">
            <w:r>
              <w:rPr>
                <w:b/>
                <w:bCs/>
                <w:color w:val="FFFFFF"/>
                <w:sz w:val="20"/>
                <w:szCs w:val="20"/>
              </w:rPr>
              <w:t>Encounters</w:t>
            </w:r>
          </w:p>
        </w:tc>
        <w:tc>
          <w:tcPr>
            <w:tcW w:w="3120" w:type="dxa"/>
            <w:tcBorders>
              <w:top w:val="single" w:sz="1" w:space="0" w:color="CCCCCC"/>
              <w:left w:val="single" w:sz="1" w:space="0" w:color="CCCCCC"/>
              <w:bottom w:val="single" w:sz="1" w:space="0" w:color="CCCCCC"/>
              <w:right w:val="single" w:sz="1" w:space="0" w:color="CCCCCC"/>
            </w:tcBorders>
            <w:shd w:val="clear" w:color="auto" w:fill="1A6B5C"/>
            <w:tcMar>
              <w:top w:w="60" w:type="dxa"/>
              <w:left w:w="100" w:type="dxa"/>
              <w:bottom w:w="60" w:type="dxa"/>
              <w:right w:w="100" w:type="dxa"/>
            </w:tcMar>
          </w:tcPr>
          <w:p w14:paraId="258CCA68" w14:textId="77777777" w:rsidR="00BD40FA" w:rsidRDefault="00000000">
            <w:r>
              <w:rPr>
                <w:b/>
                <w:bCs/>
                <w:color w:val="FFFFFF"/>
                <w:sz w:val="20"/>
                <w:szCs w:val="20"/>
              </w:rPr>
              <w:t>Patients</w:t>
            </w:r>
          </w:p>
        </w:tc>
      </w:tr>
      <w:tr w:rsidR="00BD40FA" w14:paraId="1E165C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59464" w14:textId="77777777" w:rsidR="00BD40FA" w:rsidRDefault="00000000">
            <w:r>
              <w:rPr>
                <w:color w:val="1B2A38"/>
                <w:sz w:val="20"/>
                <w:szCs w:val="20"/>
              </w:rPr>
              <w:t>Training (80%)</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917B" w14:textId="77777777" w:rsidR="00BD40FA" w:rsidRDefault="00000000">
            <w:r>
              <w:rPr>
                <w:color w:val="1B2A38"/>
                <w:sz w:val="20"/>
                <w:szCs w:val="20"/>
              </w:rPr>
              <w:t>79,567</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2BC44C" w14:textId="77777777" w:rsidR="00BD40FA" w:rsidRDefault="00000000">
            <w:r>
              <w:rPr>
                <w:color w:val="1B2A38"/>
                <w:sz w:val="20"/>
                <w:szCs w:val="20"/>
              </w:rPr>
              <w:t>57,198</w:t>
            </w:r>
          </w:p>
        </w:tc>
      </w:tr>
      <w:tr w:rsidR="00BD40FA" w14:paraId="1AFEF4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E07EEB" w14:textId="77777777" w:rsidR="00BD40FA" w:rsidRDefault="00000000">
            <w:r>
              <w:rPr>
                <w:color w:val="1B2A38"/>
                <w:sz w:val="20"/>
                <w:szCs w:val="20"/>
              </w:rPr>
              <w:t>Test (20%)</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71E1FF" w14:textId="77777777" w:rsidR="00BD40FA" w:rsidRDefault="00000000">
            <w:r>
              <w:rPr>
                <w:color w:val="1B2A38"/>
                <w:sz w:val="20"/>
                <w:szCs w:val="20"/>
              </w:rPr>
              <w:t>19,773</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7F1AB" w14:textId="77777777" w:rsidR="00BD40FA" w:rsidRDefault="00000000">
            <w:r>
              <w:rPr>
                <w:color w:val="1B2A38"/>
                <w:sz w:val="20"/>
                <w:szCs w:val="20"/>
              </w:rPr>
              <w:t>14,320</w:t>
            </w:r>
          </w:p>
        </w:tc>
      </w:tr>
      <w:tr w:rsidR="00BD40FA" w14:paraId="518702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F7BCDA" w14:textId="77777777" w:rsidR="00BD40FA" w:rsidRDefault="00000000">
            <w:r>
              <w:rPr>
                <w:color w:val="1B2A38"/>
                <w:sz w:val="20"/>
                <w:szCs w:val="20"/>
              </w:rPr>
              <w:t>Patient overlap</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4E0EB" w14:textId="77777777" w:rsidR="00BD40FA" w:rsidRDefault="00000000">
            <w:r>
              <w:rPr>
                <w:b/>
                <w:bCs/>
                <w:color w:val="1B2A38"/>
                <w:sz w:val="20"/>
                <w:szCs w:val="20"/>
              </w:rPr>
              <w:t>0</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57C86" w14:textId="77777777" w:rsidR="00BD40FA" w:rsidRDefault="00000000">
            <w:r>
              <w:rPr>
                <w:color w:val="1B2A38"/>
                <w:sz w:val="20"/>
                <w:szCs w:val="20"/>
              </w:rPr>
              <w:t>Verified</w:t>
            </w:r>
          </w:p>
        </w:tc>
      </w:tr>
    </w:tbl>
    <w:p w14:paraId="4381C3C3" w14:textId="77777777" w:rsidR="00BD40FA" w:rsidRDefault="00BD40FA">
      <w:pPr>
        <w:spacing w:after="80"/>
      </w:pPr>
    </w:p>
    <w:p w14:paraId="643FF045" w14:textId="77777777" w:rsidR="00BD40FA" w:rsidRDefault="00000000">
      <w:pPr>
        <w:spacing w:after="160" w:line="276" w:lineRule="auto"/>
      </w:pPr>
      <w:r>
        <w:rPr>
          <w:color w:val="1B2A38"/>
        </w:rPr>
        <w:t>This group-aware splitting strategy prevents data leakage and gives a realistic estimate of model performance on truly unseen patients.</w:t>
      </w:r>
    </w:p>
    <w:p w14:paraId="03F17E82" w14:textId="77777777" w:rsidR="00BD40FA" w:rsidRDefault="00000000">
      <w:pPr>
        <w:pStyle w:val="Heading1"/>
      </w:pPr>
      <w:r>
        <w:t>8. Baseline Models</w:t>
      </w:r>
    </w:p>
    <w:p w14:paraId="628EE2DE" w14:textId="77777777" w:rsidR="00BD40FA" w:rsidRDefault="00000000">
      <w:pPr>
        <w:pStyle w:val="Heading2"/>
      </w:pPr>
      <w:r>
        <w:t>8.1 Heuristic Baseline</w:t>
      </w:r>
    </w:p>
    <w:p w14:paraId="1EA24DD8" w14:textId="77777777" w:rsidR="00BD40FA" w:rsidRDefault="00000000">
      <w:pPr>
        <w:spacing w:after="160" w:line="276" w:lineRule="auto"/>
      </w:pPr>
      <w:r>
        <w:rPr>
          <w:color w:val="1B2A38"/>
        </w:rPr>
        <w:t>Before training any ML model, we established a non-model baseline: ranking patients by the sum of their prior inpatient and emergency visit counts. This captures the intuitive heuristic that “frequent flyers” are more likely to return. The heuristic achieved a PR-AUC of 0.182 and a ROC-AUC of 0.612, setting the floor that all ML models must beat.</w:t>
      </w:r>
    </w:p>
    <w:p w14:paraId="53912039" w14:textId="77777777" w:rsidR="00BD40FA" w:rsidRDefault="00000000">
      <w:pPr>
        <w:pStyle w:val="Heading2"/>
      </w:pPr>
      <w:r>
        <w:t>8.2 Logistic Regression Baseline</w:t>
      </w:r>
    </w:p>
    <w:p w14:paraId="018E12DD" w14:textId="77777777" w:rsidR="00BD40FA" w:rsidRDefault="00000000">
      <w:pPr>
        <w:spacing w:after="160" w:line="276" w:lineRule="auto"/>
      </w:pPr>
      <w:r>
        <w:rPr>
          <w:color w:val="1B2A38"/>
        </w:rPr>
        <w:t>A logistic regression with balanced class weights and L2 regularization was trained on scaled features. This serves as the interpretable ML baseline (Module IV). It achieved PR-AUC = 0.224 and ROC-AUC = 0.671, confirming that even a simple linear model extracts more signal than the heuristic. Feature coefficients provide direct interpretability.</w:t>
      </w:r>
    </w:p>
    <w:p w14:paraId="427647D5" w14:textId="77777777" w:rsidR="00BD40FA" w:rsidRDefault="00000000">
      <w:pPr>
        <w:pStyle w:val="Heading1"/>
      </w:pPr>
      <w:r>
        <w:t>9. SOTA Supervised Learning (Module IV)</w:t>
      </w:r>
    </w:p>
    <w:p w14:paraId="4EAE7BEA" w14:textId="77777777" w:rsidR="00BD40FA" w:rsidRDefault="00000000">
      <w:pPr>
        <w:spacing w:after="160" w:line="276" w:lineRule="auto"/>
      </w:pPr>
      <w:r>
        <w:rPr>
          <w:color w:val="1B2A38"/>
        </w:rPr>
        <w:t>Module IV covers state-of-the-art classification models including ensemble methods. We trained four candidate models plus a stacking ensemble, all evaluated under 5-fold Stratified Group K-Fold cross-validation to prevent patient leakage within CV.</w:t>
      </w:r>
    </w:p>
    <w:p w14:paraId="16D49488" w14:textId="77777777" w:rsidR="00BD40FA" w:rsidRDefault="00000000">
      <w:pPr>
        <w:pStyle w:val="Heading2"/>
      </w:pPr>
      <w:r>
        <w:lastRenderedPageBreak/>
        <w:t>9.1 Random Forest</w:t>
      </w:r>
    </w:p>
    <w:p w14:paraId="7452D4AF" w14:textId="77777777" w:rsidR="00BD40FA" w:rsidRDefault="00000000">
      <w:pPr>
        <w:spacing w:after="160" w:line="276" w:lineRule="auto"/>
      </w:pPr>
      <w:r>
        <w:rPr>
          <w:color w:val="1B2A38"/>
        </w:rPr>
        <w:t>A Random Forest with 300 trees, max depth 12, and balanced class weights was trained. RF handles nonlinearities and requires less feature preprocessing than logistic regression, but its probability calibration can be weaker. CV PR-AUC: 0.219.</w:t>
      </w:r>
    </w:p>
    <w:p w14:paraId="28B62F04" w14:textId="77777777" w:rsidR="00BD40FA" w:rsidRDefault="00000000">
      <w:pPr>
        <w:pStyle w:val="Heading2"/>
      </w:pPr>
      <w:r>
        <w:t xml:space="preserve">9.2 </w:t>
      </w:r>
      <w:proofErr w:type="spellStart"/>
      <w:r>
        <w:t>XGBoost</w:t>
      </w:r>
      <w:proofErr w:type="spellEnd"/>
    </w:p>
    <w:p w14:paraId="70368670" w14:textId="77777777" w:rsidR="00BD40FA" w:rsidRDefault="00000000">
      <w:pPr>
        <w:spacing w:after="160" w:line="276" w:lineRule="auto"/>
      </w:pPr>
      <w:proofErr w:type="spellStart"/>
      <w:r>
        <w:rPr>
          <w:color w:val="1B2A38"/>
        </w:rPr>
        <w:t>XGBoost</w:t>
      </w:r>
      <w:proofErr w:type="spellEnd"/>
      <w:r>
        <w:rPr>
          <w:color w:val="1B2A38"/>
        </w:rPr>
        <w:t xml:space="preserve"> was configured with 500 estimators, max depth 6, learning rate 0.05, subsample and </w:t>
      </w:r>
      <w:proofErr w:type="spellStart"/>
      <w:r>
        <w:rPr>
          <w:color w:val="1B2A38"/>
        </w:rPr>
        <w:t>colsample_bytree</w:t>
      </w:r>
      <w:proofErr w:type="spellEnd"/>
      <w:r>
        <w:rPr>
          <w:color w:val="1B2A38"/>
        </w:rPr>
        <w:t xml:space="preserve"> of 0.8, and </w:t>
      </w:r>
      <w:proofErr w:type="spellStart"/>
      <w:r>
        <w:rPr>
          <w:color w:val="1B2A38"/>
        </w:rPr>
        <w:t>scale_pos_weight</w:t>
      </w:r>
      <w:proofErr w:type="spellEnd"/>
      <w:r>
        <w:rPr>
          <w:color w:val="1B2A38"/>
        </w:rPr>
        <w:t xml:space="preserve"> set to the class ratio (~7.8) to handle imbalance. L1 and L2 regularization (</w:t>
      </w:r>
      <w:proofErr w:type="spellStart"/>
      <w:r>
        <w:rPr>
          <w:color w:val="1B2A38"/>
        </w:rPr>
        <w:t>reg_alpha</w:t>
      </w:r>
      <w:proofErr w:type="spellEnd"/>
      <w:r>
        <w:rPr>
          <w:color w:val="1B2A38"/>
        </w:rPr>
        <w:t xml:space="preserve">=0.1, </w:t>
      </w:r>
      <w:proofErr w:type="spellStart"/>
      <w:r>
        <w:rPr>
          <w:color w:val="1B2A38"/>
        </w:rPr>
        <w:t>reg_lambda</w:t>
      </w:r>
      <w:proofErr w:type="spellEnd"/>
      <w:r>
        <w:rPr>
          <w:color w:val="1B2A38"/>
        </w:rPr>
        <w:t>=1.0) were applied to prevent overfitting. CV PR-AUC: 0.222.</w:t>
      </w:r>
    </w:p>
    <w:p w14:paraId="76D07CA8" w14:textId="77777777" w:rsidR="00BD40FA" w:rsidRDefault="00000000">
      <w:pPr>
        <w:pStyle w:val="Heading2"/>
      </w:pPr>
      <w:r>
        <w:t xml:space="preserve">9.3 </w:t>
      </w:r>
      <w:proofErr w:type="spellStart"/>
      <w:r>
        <w:t>LightGBM</w:t>
      </w:r>
      <w:proofErr w:type="spellEnd"/>
    </w:p>
    <w:p w14:paraId="374B308B" w14:textId="77777777" w:rsidR="00BD40FA" w:rsidRDefault="00000000">
      <w:pPr>
        <w:spacing w:after="160" w:line="276" w:lineRule="auto"/>
      </w:pPr>
      <w:proofErr w:type="spellStart"/>
      <w:r>
        <w:rPr>
          <w:color w:val="1B2A38"/>
        </w:rPr>
        <w:t>LightGBM</w:t>
      </w:r>
      <w:proofErr w:type="spellEnd"/>
      <w:r>
        <w:rPr>
          <w:color w:val="1B2A38"/>
        </w:rPr>
        <w:t xml:space="preserve"> used the same hyperparameter configuration as </w:t>
      </w:r>
      <w:proofErr w:type="spellStart"/>
      <w:r>
        <w:rPr>
          <w:color w:val="1B2A38"/>
        </w:rPr>
        <w:t>XGBoost</w:t>
      </w:r>
      <w:proofErr w:type="spellEnd"/>
      <w:r>
        <w:rPr>
          <w:color w:val="1B2A38"/>
        </w:rPr>
        <w:t xml:space="preserve"> for fair comparison. </w:t>
      </w:r>
      <w:proofErr w:type="spellStart"/>
      <w:r>
        <w:rPr>
          <w:color w:val="1B2A38"/>
        </w:rPr>
        <w:t>LightGBM’s</w:t>
      </w:r>
      <w:proofErr w:type="spellEnd"/>
      <w:r>
        <w:rPr>
          <w:color w:val="1B2A38"/>
        </w:rPr>
        <w:t xml:space="preserve"> histogram-based splitting and leaf-wise growth strategy make it faster on large datasets while often achieving comparable or superior performance. CV PR-AUC: 0.226.</w:t>
      </w:r>
    </w:p>
    <w:p w14:paraId="5A92138B" w14:textId="77777777" w:rsidR="00BD40FA" w:rsidRDefault="00000000">
      <w:pPr>
        <w:pStyle w:val="Heading2"/>
      </w:pPr>
      <w:r>
        <w:t>9.4 Stacking Ensemble</w:t>
      </w:r>
    </w:p>
    <w:p w14:paraId="3104AD8A" w14:textId="77777777" w:rsidR="00BD40FA" w:rsidRDefault="00000000">
      <w:pPr>
        <w:spacing w:after="160" w:line="276" w:lineRule="auto"/>
      </w:pPr>
      <w:r>
        <w:rPr>
          <w:color w:val="1B2A38"/>
        </w:rPr>
        <w:t xml:space="preserve">A stacking classifier combined Logistic Regression, Random Forest, and </w:t>
      </w:r>
      <w:proofErr w:type="spellStart"/>
      <w:r>
        <w:rPr>
          <w:color w:val="1B2A38"/>
        </w:rPr>
        <w:t>XGBoost</w:t>
      </w:r>
      <w:proofErr w:type="spellEnd"/>
      <w:r>
        <w:rPr>
          <w:color w:val="1B2A38"/>
        </w:rPr>
        <w:t xml:space="preserve"> as base learners, with a Logistic Regression meta-learner. The ensemble leverages the diversity of its base models—LR captures linear effects, RF captures bagged nonlinearities, and </w:t>
      </w:r>
      <w:proofErr w:type="spellStart"/>
      <w:r>
        <w:rPr>
          <w:color w:val="1B2A38"/>
        </w:rPr>
        <w:t>XGBoost</w:t>
      </w:r>
      <w:proofErr w:type="spellEnd"/>
      <w:r>
        <w:rPr>
          <w:color w:val="1B2A38"/>
        </w:rPr>
        <w:t xml:space="preserve"> captures sequential boosted corrections. Stacking achieved the highest ROC-AUC (0.680) but was narrowly outperformed by </w:t>
      </w:r>
      <w:proofErr w:type="spellStart"/>
      <w:r>
        <w:rPr>
          <w:color w:val="1B2A38"/>
        </w:rPr>
        <w:t>LightGBM</w:t>
      </w:r>
      <w:proofErr w:type="spellEnd"/>
      <w:r>
        <w:rPr>
          <w:color w:val="1B2A38"/>
        </w:rPr>
        <w:t xml:space="preserve"> on PR-AUC.</w:t>
      </w:r>
    </w:p>
    <w:p w14:paraId="1B824C25" w14:textId="77777777" w:rsidR="00BD40FA" w:rsidRDefault="00000000">
      <w:pPr>
        <w:pStyle w:val="Heading1"/>
      </w:pPr>
      <w:r>
        <w:t>10. Model Comparison &amp; Selection</w:t>
      </w:r>
    </w:p>
    <w:p w14:paraId="70AFE614" w14:textId="77777777" w:rsidR="00BD40FA" w:rsidRDefault="00000000">
      <w:pPr>
        <w:spacing w:after="160" w:line="276" w:lineRule="auto"/>
      </w:pPr>
      <w:r>
        <w:rPr>
          <w:color w:val="1B2A38"/>
        </w:rPr>
        <w:t>Final models were retrained on the full training set and evaluated on the held-out test set. We applied a multi-criteria selection framework—not just highest AUC—considering discrimination, operational utility, calibration, robustness, and interpretability.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2"/>
        <w:gridCol w:w="1080"/>
        <w:gridCol w:w="1142"/>
        <w:gridCol w:w="977"/>
        <w:gridCol w:w="1425"/>
        <w:gridCol w:w="1745"/>
        <w:gridCol w:w="1139"/>
      </w:tblGrid>
      <w:tr w:rsidR="00BD40FA" w14:paraId="67361A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6B5C"/>
            <w:tcMar>
              <w:top w:w="60" w:type="dxa"/>
              <w:left w:w="100" w:type="dxa"/>
              <w:bottom w:w="60" w:type="dxa"/>
              <w:right w:w="100" w:type="dxa"/>
            </w:tcMar>
          </w:tcPr>
          <w:p w14:paraId="271A87C6" w14:textId="77777777" w:rsidR="00BD40FA" w:rsidRDefault="00000000">
            <w:r>
              <w:rPr>
                <w:b/>
                <w:bCs/>
                <w:color w:val="FFFFFF"/>
                <w:sz w:val="20"/>
                <w:szCs w:val="20"/>
              </w:rPr>
              <w:t>Model</w:t>
            </w:r>
          </w:p>
        </w:tc>
        <w:tc>
          <w:tcPr>
            <w:tcW w:w="1050" w:type="dxa"/>
            <w:tcBorders>
              <w:top w:val="single" w:sz="1" w:space="0" w:color="CCCCCC"/>
              <w:left w:val="single" w:sz="1" w:space="0" w:color="CCCCCC"/>
              <w:bottom w:val="single" w:sz="1" w:space="0" w:color="CCCCCC"/>
              <w:right w:val="single" w:sz="1" w:space="0" w:color="CCCCCC"/>
            </w:tcBorders>
            <w:shd w:val="clear" w:color="auto" w:fill="1A6B5C"/>
            <w:tcMar>
              <w:top w:w="60" w:type="dxa"/>
              <w:left w:w="100" w:type="dxa"/>
              <w:bottom w:w="60" w:type="dxa"/>
              <w:right w:w="100" w:type="dxa"/>
            </w:tcMar>
          </w:tcPr>
          <w:p w14:paraId="3FD7902B" w14:textId="77777777" w:rsidR="00BD40FA" w:rsidRDefault="00000000">
            <w:r>
              <w:rPr>
                <w:b/>
                <w:bCs/>
                <w:color w:val="FFFFFF"/>
                <w:sz w:val="20"/>
                <w:szCs w:val="20"/>
              </w:rPr>
              <w:t>PR-AUC</w:t>
            </w:r>
          </w:p>
        </w:tc>
        <w:tc>
          <w:tcPr>
            <w:tcW w:w="1110" w:type="dxa"/>
            <w:tcBorders>
              <w:top w:val="single" w:sz="1" w:space="0" w:color="CCCCCC"/>
              <w:left w:val="single" w:sz="1" w:space="0" w:color="CCCCCC"/>
              <w:bottom w:val="single" w:sz="1" w:space="0" w:color="CCCCCC"/>
              <w:right w:val="single" w:sz="1" w:space="0" w:color="CCCCCC"/>
            </w:tcBorders>
            <w:shd w:val="clear" w:color="auto" w:fill="1A6B5C"/>
            <w:tcMar>
              <w:top w:w="60" w:type="dxa"/>
              <w:left w:w="100" w:type="dxa"/>
              <w:bottom w:w="60" w:type="dxa"/>
              <w:right w:w="100" w:type="dxa"/>
            </w:tcMar>
          </w:tcPr>
          <w:p w14:paraId="4BC2A846" w14:textId="77777777" w:rsidR="00BD40FA" w:rsidRDefault="00000000">
            <w:r>
              <w:rPr>
                <w:b/>
                <w:bCs/>
                <w:color w:val="FFFFFF"/>
                <w:sz w:val="20"/>
                <w:szCs w:val="20"/>
              </w:rPr>
              <w:t>ROC-AUC</w:t>
            </w:r>
          </w:p>
        </w:tc>
        <w:tc>
          <w:tcPr>
            <w:tcW w:w="950" w:type="dxa"/>
            <w:tcBorders>
              <w:top w:val="single" w:sz="1" w:space="0" w:color="CCCCCC"/>
              <w:left w:val="single" w:sz="1" w:space="0" w:color="CCCCCC"/>
              <w:bottom w:val="single" w:sz="1" w:space="0" w:color="CCCCCC"/>
              <w:right w:val="single" w:sz="1" w:space="0" w:color="CCCCCC"/>
            </w:tcBorders>
            <w:shd w:val="clear" w:color="auto" w:fill="1A6B5C"/>
            <w:tcMar>
              <w:top w:w="60" w:type="dxa"/>
              <w:left w:w="100" w:type="dxa"/>
              <w:bottom w:w="60" w:type="dxa"/>
              <w:right w:w="100" w:type="dxa"/>
            </w:tcMar>
          </w:tcPr>
          <w:p w14:paraId="05BE596E" w14:textId="77777777" w:rsidR="00BD40FA" w:rsidRDefault="00000000">
            <w:r>
              <w:rPr>
                <w:b/>
                <w:bCs/>
                <w:color w:val="FFFFFF"/>
                <w:sz w:val="20"/>
                <w:szCs w:val="20"/>
              </w:rPr>
              <w:t>Brier</w:t>
            </w:r>
          </w:p>
        </w:tc>
        <w:tc>
          <w:tcPr>
            <w:tcW w:w="1250" w:type="dxa"/>
            <w:tcBorders>
              <w:top w:val="single" w:sz="1" w:space="0" w:color="CCCCCC"/>
              <w:left w:val="single" w:sz="1" w:space="0" w:color="CCCCCC"/>
              <w:bottom w:val="single" w:sz="1" w:space="0" w:color="CCCCCC"/>
              <w:right w:val="single" w:sz="1" w:space="0" w:color="CCCCCC"/>
            </w:tcBorders>
            <w:shd w:val="clear" w:color="auto" w:fill="1A6B5C"/>
            <w:tcMar>
              <w:top w:w="60" w:type="dxa"/>
              <w:left w:w="100" w:type="dxa"/>
              <w:bottom w:w="60" w:type="dxa"/>
              <w:right w:w="100" w:type="dxa"/>
            </w:tcMar>
          </w:tcPr>
          <w:p w14:paraId="727975D3" w14:textId="77777777" w:rsidR="00BD40FA" w:rsidRDefault="00000000">
            <w:r>
              <w:rPr>
                <w:b/>
                <w:bCs/>
                <w:color w:val="FFFFFF"/>
                <w:sz w:val="20"/>
                <w:szCs w:val="20"/>
              </w:rPr>
              <w:t>Recall@10%</w:t>
            </w:r>
          </w:p>
        </w:tc>
        <w:tc>
          <w:tcPr>
            <w:tcW w:w="1350" w:type="dxa"/>
            <w:tcBorders>
              <w:top w:val="single" w:sz="1" w:space="0" w:color="CCCCCC"/>
              <w:left w:val="single" w:sz="1" w:space="0" w:color="CCCCCC"/>
              <w:bottom w:val="single" w:sz="1" w:space="0" w:color="CCCCCC"/>
              <w:right w:val="single" w:sz="1" w:space="0" w:color="CCCCCC"/>
            </w:tcBorders>
            <w:shd w:val="clear" w:color="auto" w:fill="1A6B5C"/>
            <w:tcMar>
              <w:top w:w="60" w:type="dxa"/>
              <w:left w:w="100" w:type="dxa"/>
              <w:bottom w:w="60" w:type="dxa"/>
              <w:right w:w="100" w:type="dxa"/>
            </w:tcMar>
          </w:tcPr>
          <w:p w14:paraId="38AA0794" w14:textId="77777777" w:rsidR="00BD40FA" w:rsidRDefault="00000000">
            <w:r>
              <w:rPr>
                <w:b/>
                <w:bCs/>
                <w:color w:val="FFFFFF"/>
                <w:sz w:val="20"/>
                <w:szCs w:val="20"/>
              </w:rPr>
              <w:t>Precision@10%</w:t>
            </w:r>
          </w:p>
        </w:tc>
        <w:tc>
          <w:tcPr>
            <w:tcW w:w="1050" w:type="dxa"/>
            <w:tcBorders>
              <w:top w:val="single" w:sz="1" w:space="0" w:color="CCCCCC"/>
              <w:left w:val="single" w:sz="1" w:space="0" w:color="CCCCCC"/>
              <w:bottom w:val="single" w:sz="1" w:space="0" w:color="CCCCCC"/>
              <w:right w:val="single" w:sz="1" w:space="0" w:color="CCCCCC"/>
            </w:tcBorders>
            <w:shd w:val="clear" w:color="auto" w:fill="1A6B5C"/>
            <w:tcMar>
              <w:top w:w="60" w:type="dxa"/>
              <w:left w:w="100" w:type="dxa"/>
              <w:bottom w:w="60" w:type="dxa"/>
              <w:right w:w="100" w:type="dxa"/>
            </w:tcMar>
          </w:tcPr>
          <w:p w14:paraId="6DF19034" w14:textId="77777777" w:rsidR="00BD40FA" w:rsidRDefault="00000000">
            <w:r>
              <w:rPr>
                <w:b/>
                <w:bCs/>
                <w:color w:val="FFFFFF"/>
                <w:sz w:val="20"/>
                <w:szCs w:val="20"/>
              </w:rPr>
              <w:t>Lift@10%</w:t>
            </w:r>
          </w:p>
        </w:tc>
      </w:tr>
      <w:tr w:rsidR="00BD40FA" w14:paraId="16490F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94DB13" w14:textId="77777777" w:rsidR="00BD40FA" w:rsidRDefault="00000000">
            <w:r>
              <w:rPr>
                <w:color w:val="1B2A38"/>
                <w:sz w:val="20"/>
                <w:szCs w:val="20"/>
              </w:rPr>
              <w:t>Heuristic</w:t>
            </w:r>
          </w:p>
        </w:tc>
        <w:tc>
          <w:tcPr>
            <w:tcW w:w="10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A52A23" w14:textId="77777777" w:rsidR="00BD40FA" w:rsidRDefault="00000000">
            <w:r>
              <w:rPr>
                <w:color w:val="1B2A38"/>
                <w:sz w:val="20"/>
                <w:szCs w:val="20"/>
              </w:rPr>
              <w:t>0.182</w:t>
            </w:r>
          </w:p>
        </w:tc>
        <w:tc>
          <w:tcPr>
            <w:tcW w:w="11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4E706E" w14:textId="77777777" w:rsidR="00BD40FA" w:rsidRDefault="00000000">
            <w:r>
              <w:rPr>
                <w:color w:val="1B2A38"/>
                <w:sz w:val="20"/>
                <w:szCs w:val="20"/>
              </w:rPr>
              <w:t>0.612</w:t>
            </w:r>
          </w:p>
        </w:tc>
        <w:tc>
          <w:tcPr>
            <w:tcW w:w="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3C2580" w14:textId="77777777" w:rsidR="00BD40FA" w:rsidRDefault="00000000">
            <w:r>
              <w:rPr>
                <w:color w:val="1B2A38"/>
                <w:sz w:val="20"/>
                <w:szCs w:val="20"/>
              </w:rPr>
              <w:t>0.104</w:t>
            </w:r>
          </w:p>
        </w:tc>
        <w:tc>
          <w:tcPr>
            <w:tcW w:w="12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774470" w14:textId="77777777" w:rsidR="00BD40FA" w:rsidRDefault="00000000">
            <w:r>
              <w:rPr>
                <w:color w:val="1B2A38"/>
                <w:sz w:val="20"/>
                <w:szCs w:val="20"/>
              </w:rPr>
              <w:t>22.1%</w:t>
            </w:r>
          </w:p>
        </w:tc>
        <w:tc>
          <w:tcPr>
            <w:tcW w:w="13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96B96" w14:textId="77777777" w:rsidR="00BD40FA" w:rsidRDefault="00000000">
            <w:r>
              <w:rPr>
                <w:color w:val="1B2A38"/>
                <w:sz w:val="20"/>
                <w:szCs w:val="20"/>
              </w:rPr>
              <w:t>25.1%</w:t>
            </w:r>
          </w:p>
        </w:tc>
        <w:tc>
          <w:tcPr>
            <w:tcW w:w="10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F111EA" w14:textId="77777777" w:rsidR="00BD40FA" w:rsidRDefault="00000000">
            <w:r>
              <w:rPr>
                <w:color w:val="1B2A38"/>
                <w:sz w:val="20"/>
                <w:szCs w:val="20"/>
              </w:rPr>
              <w:t>2.21</w:t>
            </w:r>
          </w:p>
        </w:tc>
      </w:tr>
      <w:tr w:rsidR="00BD40FA" w14:paraId="2C20EA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DA2061" w14:textId="77777777" w:rsidR="00BD40FA" w:rsidRDefault="00000000">
            <w:r>
              <w:rPr>
                <w:color w:val="1B2A38"/>
                <w:sz w:val="20"/>
                <w:szCs w:val="20"/>
              </w:rPr>
              <w:t>Logistic Reg.</w:t>
            </w:r>
          </w:p>
        </w:tc>
        <w:tc>
          <w:tcPr>
            <w:tcW w:w="10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8E9D4" w14:textId="77777777" w:rsidR="00BD40FA" w:rsidRDefault="00000000">
            <w:r>
              <w:rPr>
                <w:color w:val="1B2A38"/>
                <w:sz w:val="20"/>
                <w:szCs w:val="20"/>
              </w:rPr>
              <w:t>0.224</w:t>
            </w:r>
          </w:p>
        </w:tc>
        <w:tc>
          <w:tcPr>
            <w:tcW w:w="11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F3385" w14:textId="77777777" w:rsidR="00BD40FA" w:rsidRDefault="00000000">
            <w:r>
              <w:rPr>
                <w:color w:val="1B2A38"/>
                <w:sz w:val="20"/>
                <w:szCs w:val="20"/>
              </w:rPr>
              <w:t>0.671</w:t>
            </w:r>
          </w:p>
        </w:tc>
        <w:tc>
          <w:tcPr>
            <w:tcW w:w="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8566B" w14:textId="77777777" w:rsidR="00BD40FA" w:rsidRDefault="00000000">
            <w:r>
              <w:rPr>
                <w:color w:val="1B2A38"/>
                <w:sz w:val="20"/>
                <w:szCs w:val="20"/>
              </w:rPr>
              <w:t>0.225</w:t>
            </w:r>
          </w:p>
        </w:tc>
        <w:tc>
          <w:tcPr>
            <w:tcW w:w="12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856A8" w14:textId="77777777" w:rsidR="00BD40FA" w:rsidRDefault="00000000">
            <w:r>
              <w:rPr>
                <w:color w:val="1B2A38"/>
                <w:sz w:val="20"/>
                <w:szCs w:val="20"/>
              </w:rPr>
              <w:t>23.0%</w:t>
            </w:r>
          </w:p>
        </w:tc>
        <w:tc>
          <w:tcPr>
            <w:tcW w:w="13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15AC0" w14:textId="77777777" w:rsidR="00BD40FA" w:rsidRDefault="00000000">
            <w:r>
              <w:rPr>
                <w:color w:val="1B2A38"/>
                <w:sz w:val="20"/>
                <w:szCs w:val="20"/>
              </w:rPr>
              <w:t>26.1%</w:t>
            </w:r>
          </w:p>
        </w:tc>
        <w:tc>
          <w:tcPr>
            <w:tcW w:w="10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C34AFF" w14:textId="77777777" w:rsidR="00BD40FA" w:rsidRDefault="00000000">
            <w:r>
              <w:rPr>
                <w:color w:val="1B2A38"/>
                <w:sz w:val="20"/>
                <w:szCs w:val="20"/>
              </w:rPr>
              <w:t>2.30</w:t>
            </w:r>
          </w:p>
        </w:tc>
      </w:tr>
      <w:tr w:rsidR="00BD40FA" w14:paraId="711D89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0B10F" w14:textId="77777777" w:rsidR="00BD40FA" w:rsidRDefault="00000000">
            <w:r>
              <w:rPr>
                <w:color w:val="1B2A38"/>
                <w:sz w:val="20"/>
                <w:szCs w:val="20"/>
              </w:rPr>
              <w:t>Random Forest</w:t>
            </w:r>
          </w:p>
        </w:tc>
        <w:tc>
          <w:tcPr>
            <w:tcW w:w="10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F539B5" w14:textId="77777777" w:rsidR="00BD40FA" w:rsidRDefault="00000000">
            <w:r>
              <w:rPr>
                <w:color w:val="1B2A38"/>
                <w:sz w:val="20"/>
                <w:szCs w:val="20"/>
              </w:rPr>
              <w:t>0.224</w:t>
            </w:r>
          </w:p>
        </w:tc>
        <w:tc>
          <w:tcPr>
            <w:tcW w:w="11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B3A381" w14:textId="77777777" w:rsidR="00BD40FA" w:rsidRDefault="00000000">
            <w:r>
              <w:rPr>
                <w:color w:val="1B2A38"/>
                <w:sz w:val="20"/>
                <w:szCs w:val="20"/>
              </w:rPr>
              <w:t>0.671</w:t>
            </w:r>
          </w:p>
        </w:tc>
        <w:tc>
          <w:tcPr>
            <w:tcW w:w="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46208" w14:textId="77777777" w:rsidR="00BD40FA" w:rsidRDefault="00000000">
            <w:r>
              <w:rPr>
                <w:color w:val="1B2A38"/>
                <w:sz w:val="20"/>
                <w:szCs w:val="20"/>
              </w:rPr>
              <w:t>0.216</w:t>
            </w:r>
          </w:p>
        </w:tc>
        <w:tc>
          <w:tcPr>
            <w:tcW w:w="12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81A267" w14:textId="77777777" w:rsidR="00BD40FA" w:rsidRDefault="00000000">
            <w:r>
              <w:rPr>
                <w:color w:val="1B2A38"/>
                <w:sz w:val="20"/>
                <w:szCs w:val="20"/>
              </w:rPr>
              <w:t>22.7%</w:t>
            </w:r>
          </w:p>
        </w:tc>
        <w:tc>
          <w:tcPr>
            <w:tcW w:w="13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40068F" w14:textId="77777777" w:rsidR="00BD40FA" w:rsidRDefault="00000000">
            <w:r>
              <w:rPr>
                <w:color w:val="1B2A38"/>
                <w:sz w:val="20"/>
                <w:szCs w:val="20"/>
              </w:rPr>
              <w:t>25.8%</w:t>
            </w:r>
          </w:p>
        </w:tc>
        <w:tc>
          <w:tcPr>
            <w:tcW w:w="10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87E2E" w14:textId="77777777" w:rsidR="00BD40FA" w:rsidRDefault="00000000">
            <w:r>
              <w:rPr>
                <w:color w:val="1B2A38"/>
                <w:sz w:val="20"/>
                <w:szCs w:val="20"/>
              </w:rPr>
              <w:t>2.27</w:t>
            </w:r>
          </w:p>
        </w:tc>
      </w:tr>
      <w:tr w:rsidR="00BD40FA" w14:paraId="7CDBFD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37E3C" w14:textId="77777777" w:rsidR="00BD40FA" w:rsidRDefault="00000000">
            <w:proofErr w:type="spellStart"/>
            <w:r>
              <w:rPr>
                <w:color w:val="1B2A38"/>
                <w:sz w:val="20"/>
                <w:szCs w:val="20"/>
              </w:rPr>
              <w:t>XGBoost</w:t>
            </w:r>
            <w:proofErr w:type="spellEnd"/>
          </w:p>
        </w:tc>
        <w:tc>
          <w:tcPr>
            <w:tcW w:w="10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7E6F54" w14:textId="77777777" w:rsidR="00BD40FA" w:rsidRDefault="00000000">
            <w:r>
              <w:rPr>
                <w:color w:val="1B2A38"/>
                <w:sz w:val="20"/>
                <w:szCs w:val="20"/>
              </w:rPr>
              <w:t>0.232</w:t>
            </w:r>
          </w:p>
        </w:tc>
        <w:tc>
          <w:tcPr>
            <w:tcW w:w="11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81D7CF" w14:textId="77777777" w:rsidR="00BD40FA" w:rsidRDefault="00000000">
            <w:r>
              <w:rPr>
                <w:color w:val="1B2A38"/>
                <w:sz w:val="20"/>
                <w:szCs w:val="20"/>
              </w:rPr>
              <w:t>0.669</w:t>
            </w:r>
          </w:p>
        </w:tc>
        <w:tc>
          <w:tcPr>
            <w:tcW w:w="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41086D" w14:textId="77777777" w:rsidR="00BD40FA" w:rsidRDefault="00000000">
            <w:r>
              <w:rPr>
                <w:color w:val="1B2A38"/>
                <w:sz w:val="20"/>
                <w:szCs w:val="20"/>
              </w:rPr>
              <w:t>0.196</w:t>
            </w:r>
          </w:p>
        </w:tc>
        <w:tc>
          <w:tcPr>
            <w:tcW w:w="12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ED0A7A" w14:textId="77777777" w:rsidR="00BD40FA" w:rsidRDefault="00000000">
            <w:r>
              <w:rPr>
                <w:color w:val="1B2A38"/>
                <w:sz w:val="20"/>
                <w:szCs w:val="20"/>
              </w:rPr>
              <w:t>25.4%</w:t>
            </w:r>
          </w:p>
        </w:tc>
        <w:tc>
          <w:tcPr>
            <w:tcW w:w="13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B7ABBC" w14:textId="77777777" w:rsidR="00BD40FA" w:rsidRDefault="00000000">
            <w:r>
              <w:rPr>
                <w:color w:val="1B2A38"/>
                <w:sz w:val="20"/>
                <w:szCs w:val="20"/>
              </w:rPr>
              <w:t>28.8%</w:t>
            </w:r>
          </w:p>
        </w:tc>
        <w:tc>
          <w:tcPr>
            <w:tcW w:w="10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414BB" w14:textId="77777777" w:rsidR="00BD40FA" w:rsidRDefault="00000000">
            <w:r>
              <w:rPr>
                <w:color w:val="1B2A38"/>
                <w:sz w:val="20"/>
                <w:szCs w:val="20"/>
              </w:rPr>
              <w:t>2.54</w:t>
            </w:r>
          </w:p>
        </w:tc>
      </w:tr>
      <w:tr w:rsidR="00BD40FA" w14:paraId="4776A2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1"/>
            <w:tcMar>
              <w:top w:w="60" w:type="dxa"/>
              <w:left w:w="100" w:type="dxa"/>
              <w:bottom w:w="60" w:type="dxa"/>
              <w:right w:w="100" w:type="dxa"/>
            </w:tcMar>
          </w:tcPr>
          <w:p w14:paraId="1EA0F64D" w14:textId="77777777" w:rsidR="00BD40FA" w:rsidRDefault="00000000">
            <w:proofErr w:type="spellStart"/>
            <w:r>
              <w:rPr>
                <w:b/>
                <w:bCs/>
                <w:color w:val="1B2A38"/>
                <w:sz w:val="20"/>
                <w:szCs w:val="20"/>
              </w:rPr>
              <w:t>LightGBM</w:t>
            </w:r>
            <w:proofErr w:type="spellEnd"/>
          </w:p>
        </w:tc>
        <w:tc>
          <w:tcPr>
            <w:tcW w:w="1050" w:type="dxa"/>
            <w:tcBorders>
              <w:top w:val="single" w:sz="1" w:space="0" w:color="CCCCCC"/>
              <w:left w:val="single" w:sz="1" w:space="0" w:color="CCCCCC"/>
              <w:bottom w:val="single" w:sz="1" w:space="0" w:color="CCCCCC"/>
              <w:right w:val="single" w:sz="1" w:space="0" w:color="CCCCCC"/>
            </w:tcBorders>
            <w:shd w:val="clear" w:color="auto" w:fill="E8F4F1"/>
            <w:tcMar>
              <w:top w:w="60" w:type="dxa"/>
              <w:left w:w="100" w:type="dxa"/>
              <w:bottom w:w="60" w:type="dxa"/>
              <w:right w:w="100" w:type="dxa"/>
            </w:tcMar>
          </w:tcPr>
          <w:p w14:paraId="2015B0E1" w14:textId="77777777" w:rsidR="00BD40FA" w:rsidRDefault="00000000">
            <w:r>
              <w:rPr>
                <w:b/>
                <w:bCs/>
                <w:color w:val="1B2A38"/>
                <w:sz w:val="20"/>
                <w:szCs w:val="20"/>
              </w:rPr>
              <w:t>0.237</w:t>
            </w:r>
          </w:p>
        </w:tc>
        <w:tc>
          <w:tcPr>
            <w:tcW w:w="1110" w:type="dxa"/>
            <w:tcBorders>
              <w:top w:val="single" w:sz="1" w:space="0" w:color="CCCCCC"/>
              <w:left w:val="single" w:sz="1" w:space="0" w:color="CCCCCC"/>
              <w:bottom w:val="single" w:sz="1" w:space="0" w:color="CCCCCC"/>
              <w:right w:val="single" w:sz="1" w:space="0" w:color="CCCCCC"/>
            </w:tcBorders>
            <w:shd w:val="clear" w:color="auto" w:fill="E8F4F1"/>
            <w:tcMar>
              <w:top w:w="60" w:type="dxa"/>
              <w:left w:w="100" w:type="dxa"/>
              <w:bottom w:w="60" w:type="dxa"/>
              <w:right w:w="100" w:type="dxa"/>
            </w:tcMar>
          </w:tcPr>
          <w:p w14:paraId="7B2F7775" w14:textId="77777777" w:rsidR="00BD40FA" w:rsidRDefault="00000000">
            <w:r>
              <w:rPr>
                <w:b/>
                <w:bCs/>
                <w:color w:val="1B2A38"/>
                <w:sz w:val="20"/>
                <w:szCs w:val="20"/>
              </w:rPr>
              <w:t>0.673</w:t>
            </w:r>
          </w:p>
        </w:tc>
        <w:tc>
          <w:tcPr>
            <w:tcW w:w="950" w:type="dxa"/>
            <w:tcBorders>
              <w:top w:val="single" w:sz="1" w:space="0" w:color="CCCCCC"/>
              <w:left w:val="single" w:sz="1" w:space="0" w:color="CCCCCC"/>
              <w:bottom w:val="single" w:sz="1" w:space="0" w:color="CCCCCC"/>
              <w:right w:val="single" w:sz="1" w:space="0" w:color="CCCCCC"/>
            </w:tcBorders>
            <w:shd w:val="clear" w:color="auto" w:fill="E8F4F1"/>
            <w:tcMar>
              <w:top w:w="60" w:type="dxa"/>
              <w:left w:w="100" w:type="dxa"/>
              <w:bottom w:w="60" w:type="dxa"/>
              <w:right w:w="100" w:type="dxa"/>
            </w:tcMar>
          </w:tcPr>
          <w:p w14:paraId="6706CDE5" w14:textId="77777777" w:rsidR="00BD40FA" w:rsidRDefault="00000000">
            <w:r>
              <w:rPr>
                <w:color w:val="1B2A38"/>
                <w:sz w:val="20"/>
                <w:szCs w:val="20"/>
              </w:rPr>
              <w:t>0.204</w:t>
            </w:r>
          </w:p>
        </w:tc>
        <w:tc>
          <w:tcPr>
            <w:tcW w:w="1250" w:type="dxa"/>
            <w:tcBorders>
              <w:top w:val="single" w:sz="1" w:space="0" w:color="CCCCCC"/>
              <w:left w:val="single" w:sz="1" w:space="0" w:color="CCCCCC"/>
              <w:bottom w:val="single" w:sz="1" w:space="0" w:color="CCCCCC"/>
              <w:right w:val="single" w:sz="1" w:space="0" w:color="CCCCCC"/>
            </w:tcBorders>
            <w:shd w:val="clear" w:color="auto" w:fill="E8F4F1"/>
            <w:tcMar>
              <w:top w:w="60" w:type="dxa"/>
              <w:left w:w="100" w:type="dxa"/>
              <w:bottom w:w="60" w:type="dxa"/>
              <w:right w:w="100" w:type="dxa"/>
            </w:tcMar>
          </w:tcPr>
          <w:p w14:paraId="0B15B6EA" w14:textId="77777777" w:rsidR="00BD40FA" w:rsidRDefault="00000000">
            <w:r>
              <w:rPr>
                <w:b/>
                <w:bCs/>
                <w:color w:val="1B2A38"/>
                <w:sz w:val="20"/>
                <w:szCs w:val="20"/>
              </w:rPr>
              <w:t>26.0%</w:t>
            </w:r>
          </w:p>
        </w:tc>
        <w:tc>
          <w:tcPr>
            <w:tcW w:w="1350" w:type="dxa"/>
            <w:tcBorders>
              <w:top w:val="single" w:sz="1" w:space="0" w:color="CCCCCC"/>
              <w:left w:val="single" w:sz="1" w:space="0" w:color="CCCCCC"/>
              <w:bottom w:val="single" w:sz="1" w:space="0" w:color="CCCCCC"/>
              <w:right w:val="single" w:sz="1" w:space="0" w:color="CCCCCC"/>
            </w:tcBorders>
            <w:shd w:val="clear" w:color="auto" w:fill="E8F4F1"/>
            <w:tcMar>
              <w:top w:w="60" w:type="dxa"/>
              <w:left w:w="100" w:type="dxa"/>
              <w:bottom w:w="60" w:type="dxa"/>
              <w:right w:w="100" w:type="dxa"/>
            </w:tcMar>
          </w:tcPr>
          <w:p w14:paraId="5B16F7FD" w14:textId="77777777" w:rsidR="00BD40FA" w:rsidRDefault="00000000">
            <w:r>
              <w:rPr>
                <w:b/>
                <w:bCs/>
                <w:color w:val="1B2A38"/>
                <w:sz w:val="20"/>
                <w:szCs w:val="20"/>
              </w:rPr>
              <w:t>29.5%</w:t>
            </w:r>
          </w:p>
        </w:tc>
        <w:tc>
          <w:tcPr>
            <w:tcW w:w="1050" w:type="dxa"/>
            <w:tcBorders>
              <w:top w:val="single" w:sz="1" w:space="0" w:color="CCCCCC"/>
              <w:left w:val="single" w:sz="1" w:space="0" w:color="CCCCCC"/>
              <w:bottom w:val="single" w:sz="1" w:space="0" w:color="CCCCCC"/>
              <w:right w:val="single" w:sz="1" w:space="0" w:color="CCCCCC"/>
            </w:tcBorders>
            <w:shd w:val="clear" w:color="auto" w:fill="E8F4F1"/>
            <w:tcMar>
              <w:top w:w="60" w:type="dxa"/>
              <w:left w:w="100" w:type="dxa"/>
              <w:bottom w:w="60" w:type="dxa"/>
              <w:right w:w="100" w:type="dxa"/>
            </w:tcMar>
          </w:tcPr>
          <w:p w14:paraId="1B347B9B" w14:textId="77777777" w:rsidR="00BD40FA" w:rsidRDefault="00000000">
            <w:r>
              <w:rPr>
                <w:b/>
                <w:bCs/>
                <w:color w:val="1B2A38"/>
                <w:sz w:val="20"/>
                <w:szCs w:val="20"/>
              </w:rPr>
              <w:t>2.60</w:t>
            </w:r>
          </w:p>
        </w:tc>
      </w:tr>
      <w:tr w:rsidR="00BD40FA" w14:paraId="0232AC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527238" w14:textId="77777777" w:rsidR="00BD40FA" w:rsidRDefault="00000000">
            <w:r>
              <w:rPr>
                <w:color w:val="1B2A38"/>
                <w:sz w:val="20"/>
                <w:szCs w:val="20"/>
              </w:rPr>
              <w:t>Stacking</w:t>
            </w:r>
          </w:p>
        </w:tc>
        <w:tc>
          <w:tcPr>
            <w:tcW w:w="10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F48CD5" w14:textId="77777777" w:rsidR="00BD40FA" w:rsidRDefault="00000000">
            <w:r>
              <w:rPr>
                <w:color w:val="1B2A38"/>
                <w:sz w:val="20"/>
                <w:szCs w:val="20"/>
              </w:rPr>
              <w:t>0.236</w:t>
            </w:r>
          </w:p>
        </w:tc>
        <w:tc>
          <w:tcPr>
            <w:tcW w:w="11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BB3F4" w14:textId="77777777" w:rsidR="00BD40FA" w:rsidRDefault="00000000">
            <w:r>
              <w:rPr>
                <w:b/>
                <w:bCs/>
                <w:color w:val="1B2A38"/>
                <w:sz w:val="20"/>
                <w:szCs w:val="20"/>
              </w:rPr>
              <w:t>0.680</w:t>
            </w:r>
          </w:p>
        </w:tc>
        <w:tc>
          <w:tcPr>
            <w:tcW w:w="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C352B0" w14:textId="77777777" w:rsidR="00BD40FA" w:rsidRDefault="00000000">
            <w:r>
              <w:rPr>
                <w:b/>
                <w:bCs/>
                <w:color w:val="1B2A38"/>
                <w:sz w:val="20"/>
                <w:szCs w:val="20"/>
              </w:rPr>
              <w:t>0.096</w:t>
            </w:r>
          </w:p>
        </w:tc>
        <w:tc>
          <w:tcPr>
            <w:tcW w:w="12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47E283" w14:textId="77777777" w:rsidR="00BD40FA" w:rsidRDefault="00000000">
            <w:r>
              <w:rPr>
                <w:color w:val="1B2A38"/>
                <w:sz w:val="20"/>
                <w:szCs w:val="20"/>
              </w:rPr>
              <w:t>24.5%</w:t>
            </w:r>
          </w:p>
        </w:tc>
        <w:tc>
          <w:tcPr>
            <w:tcW w:w="13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97463" w14:textId="77777777" w:rsidR="00BD40FA" w:rsidRDefault="00000000">
            <w:r>
              <w:rPr>
                <w:color w:val="1B2A38"/>
                <w:sz w:val="20"/>
                <w:szCs w:val="20"/>
              </w:rPr>
              <w:t>27.8%</w:t>
            </w:r>
          </w:p>
        </w:tc>
        <w:tc>
          <w:tcPr>
            <w:tcW w:w="10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82C7AB" w14:textId="77777777" w:rsidR="00BD40FA" w:rsidRDefault="00000000">
            <w:r>
              <w:rPr>
                <w:color w:val="1B2A38"/>
                <w:sz w:val="20"/>
                <w:szCs w:val="20"/>
              </w:rPr>
              <w:t>2.45</w:t>
            </w:r>
          </w:p>
        </w:tc>
      </w:tr>
    </w:tbl>
    <w:p w14:paraId="6D0EED53" w14:textId="77777777" w:rsidR="00BD40FA" w:rsidRDefault="00BD40FA">
      <w:pPr>
        <w:spacing w:after="80"/>
      </w:pPr>
    </w:p>
    <w:p w14:paraId="70B38DC6" w14:textId="77777777" w:rsidR="00BD40FA" w:rsidRDefault="00000000">
      <w:pPr>
        <w:pStyle w:val="Heading2"/>
      </w:pPr>
      <w:r>
        <w:t>10.1 Selection Rationale</w:t>
      </w:r>
    </w:p>
    <w:p w14:paraId="3352E908" w14:textId="77777777" w:rsidR="00BD40FA" w:rsidRDefault="00000000">
      <w:pPr>
        <w:spacing w:after="160" w:line="276" w:lineRule="auto"/>
      </w:pPr>
      <w:proofErr w:type="spellStart"/>
      <w:r>
        <w:rPr>
          <w:color w:val="1B2A38"/>
        </w:rPr>
        <w:lastRenderedPageBreak/>
        <w:t>LightGBM</w:t>
      </w:r>
      <w:proofErr w:type="spellEnd"/>
      <w:r>
        <w:rPr>
          <w:color w:val="1B2A38"/>
        </w:rPr>
        <w:t xml:space="preserve"> was selected as the final model for the following reasons:</w:t>
      </w:r>
    </w:p>
    <w:p w14:paraId="0EC29460" w14:textId="77777777" w:rsidR="00BD40FA" w:rsidRDefault="00000000">
      <w:pPr>
        <w:pStyle w:val="ListParagraph"/>
        <w:numPr>
          <w:ilvl w:val="0"/>
          <w:numId w:val="2"/>
        </w:numPr>
        <w:spacing w:after="80" w:line="276" w:lineRule="auto"/>
      </w:pPr>
      <w:r>
        <w:rPr>
          <w:b/>
          <w:bCs/>
          <w:color w:val="1B2A38"/>
        </w:rPr>
        <w:t xml:space="preserve">Best PR-AUC (0.237): </w:t>
      </w:r>
      <w:r>
        <w:rPr>
          <w:color w:val="1B2A38"/>
        </w:rPr>
        <w:t>The most important metric under severe class imbalance; it directly measures the model’s ability to identify the minority class.</w:t>
      </w:r>
    </w:p>
    <w:p w14:paraId="59C2F0C1" w14:textId="77777777" w:rsidR="00BD40FA" w:rsidRDefault="00000000">
      <w:pPr>
        <w:pStyle w:val="ListParagraph"/>
        <w:numPr>
          <w:ilvl w:val="0"/>
          <w:numId w:val="2"/>
        </w:numPr>
        <w:spacing w:after="80" w:line="276" w:lineRule="auto"/>
      </w:pPr>
      <w:r>
        <w:rPr>
          <w:b/>
          <w:bCs/>
          <w:color w:val="1B2A38"/>
        </w:rPr>
        <w:t xml:space="preserve">Highest operational lift (2.60×): </w:t>
      </w:r>
      <w:r>
        <w:rPr>
          <w:color w:val="1B2A38"/>
        </w:rPr>
        <w:t>By contacting the top 10% of predicted-risk patients, we capture 26% of all readmissions—2.6 times better than random selection.</w:t>
      </w:r>
    </w:p>
    <w:p w14:paraId="269AF9B3" w14:textId="77777777" w:rsidR="00BD40FA" w:rsidRDefault="00000000">
      <w:pPr>
        <w:pStyle w:val="ListParagraph"/>
        <w:numPr>
          <w:ilvl w:val="0"/>
          <w:numId w:val="2"/>
        </w:numPr>
        <w:spacing w:after="80" w:line="276" w:lineRule="auto"/>
      </w:pPr>
      <w:r>
        <w:rPr>
          <w:b/>
          <w:bCs/>
          <w:color w:val="1B2A38"/>
        </w:rPr>
        <w:t xml:space="preserve">Strong ROC-AUC (0.673): </w:t>
      </w:r>
      <w:r>
        <w:rPr>
          <w:color w:val="1B2A38"/>
        </w:rPr>
        <w:t>Second only to Stacking by a negligible margin (0.007).</w:t>
      </w:r>
    </w:p>
    <w:p w14:paraId="226A1CD9" w14:textId="77777777" w:rsidR="00BD40FA" w:rsidRDefault="00000000">
      <w:pPr>
        <w:pStyle w:val="ListParagraph"/>
        <w:numPr>
          <w:ilvl w:val="0"/>
          <w:numId w:val="2"/>
        </w:numPr>
        <w:spacing w:after="80" w:line="276" w:lineRule="auto"/>
      </w:pPr>
      <w:r>
        <w:rPr>
          <w:b/>
          <w:bCs/>
          <w:color w:val="1B2A38"/>
        </w:rPr>
        <w:t xml:space="preserve">SHAP-compatible: </w:t>
      </w:r>
      <w:r>
        <w:rPr>
          <w:color w:val="1B2A38"/>
        </w:rPr>
        <w:t xml:space="preserve">As a tree-based model, </w:t>
      </w:r>
      <w:proofErr w:type="spellStart"/>
      <w:r>
        <w:rPr>
          <w:color w:val="1B2A38"/>
        </w:rPr>
        <w:t>LightGBM</w:t>
      </w:r>
      <w:proofErr w:type="spellEnd"/>
      <w:r>
        <w:rPr>
          <w:color w:val="1B2A38"/>
        </w:rPr>
        <w:t xml:space="preserve"> supports efficient SHAP </w:t>
      </w:r>
      <w:proofErr w:type="spellStart"/>
      <w:r>
        <w:rPr>
          <w:color w:val="1B2A38"/>
        </w:rPr>
        <w:t>TreeExplainer</w:t>
      </w:r>
      <w:proofErr w:type="spellEnd"/>
      <w:r>
        <w:rPr>
          <w:color w:val="1B2A38"/>
        </w:rPr>
        <w:t xml:space="preserve"> for both global and per-patient explanations.</w:t>
      </w:r>
    </w:p>
    <w:p w14:paraId="5BE17BFC" w14:textId="77777777" w:rsidR="00BD40FA" w:rsidRDefault="00000000">
      <w:pPr>
        <w:pStyle w:val="ListParagraph"/>
        <w:numPr>
          <w:ilvl w:val="0"/>
          <w:numId w:val="2"/>
        </w:numPr>
        <w:spacing w:after="80" w:line="276" w:lineRule="auto"/>
      </w:pPr>
      <w:r>
        <w:rPr>
          <w:b/>
          <w:bCs/>
          <w:color w:val="1B2A38"/>
        </w:rPr>
        <w:t xml:space="preserve">Simpler than Stacking: </w:t>
      </w:r>
      <w:r>
        <w:rPr>
          <w:color w:val="1B2A38"/>
        </w:rPr>
        <w:t>A single model is easier to deploy, monitor, and maintain in production.</w:t>
      </w:r>
    </w:p>
    <w:p w14:paraId="745E5380" w14:textId="77777777" w:rsidR="00BD40FA" w:rsidRDefault="00000000">
      <w:pPr>
        <w:pStyle w:val="Heading1"/>
      </w:pPr>
      <w:r>
        <w:t>11. Probability Calibration</w:t>
      </w:r>
    </w:p>
    <w:p w14:paraId="61B65759" w14:textId="77777777" w:rsidR="00BD40FA" w:rsidRDefault="00000000">
      <w:pPr>
        <w:spacing w:after="160" w:line="276" w:lineRule="auto"/>
      </w:pPr>
      <w:r>
        <w:rPr>
          <w:color w:val="1B2A38"/>
        </w:rPr>
        <w:t xml:space="preserve">For risk scores to be actionable in clinical settings, predicted probabilities must be well-calibrated—a patient scored at 20% risk should indeed have approximately a 20% chance of readmission. We split the test set into calibration and evaluation halves, then applied isotonic regression calibration to the </w:t>
      </w:r>
      <w:proofErr w:type="spellStart"/>
      <w:r>
        <w:rPr>
          <w:color w:val="1B2A38"/>
        </w:rPr>
        <w:t>LightGBM</w:t>
      </w:r>
      <w:proofErr w:type="spellEnd"/>
      <w:r>
        <w:rPr>
          <w:color w:val="1B2A38"/>
        </w:rPr>
        <w:t xml:space="preserve"> predictions.</w:t>
      </w:r>
    </w:p>
    <w:p w14:paraId="2B41E94B" w14:textId="77777777" w:rsidR="00BD40FA" w:rsidRDefault="00000000">
      <w:pPr>
        <w:spacing w:after="160" w:line="276" w:lineRule="auto"/>
      </w:pPr>
      <w:r>
        <w:rPr>
          <w:color w:val="1B2A38"/>
        </w:rPr>
        <w:t>Calibration was assessed using reliability curves (predicted vs. observed probability) and the Brier score. The calibrated model’s reliability curve closely tracks the diagonal, confirming that the outputted risk scores are meaningful and trustworthy for operational decision-making.</w:t>
      </w:r>
    </w:p>
    <w:p w14:paraId="1A9FB4AB" w14:textId="77777777" w:rsidR="00BD40FA" w:rsidRDefault="00000000">
      <w:pPr>
        <w:pStyle w:val="Heading1"/>
      </w:pPr>
      <w:r>
        <w:t>12. Explainability with SHAP</w:t>
      </w:r>
    </w:p>
    <w:p w14:paraId="7BE2D677" w14:textId="77777777" w:rsidR="00BD40FA" w:rsidRDefault="00000000">
      <w:pPr>
        <w:spacing w:after="160" w:line="276" w:lineRule="auto"/>
      </w:pPr>
      <w:r>
        <w:rPr>
          <w:color w:val="1B2A38"/>
        </w:rPr>
        <w:t>Explainability is essential in healthcare applications where clinicians need to understand why a model flags a patient as high-risk. We applied SHAP (</w:t>
      </w:r>
      <w:proofErr w:type="spellStart"/>
      <w:r>
        <w:rPr>
          <w:color w:val="1B2A38"/>
        </w:rPr>
        <w:t>SHapley</w:t>
      </w:r>
      <w:proofErr w:type="spellEnd"/>
      <w:r>
        <w:rPr>
          <w:color w:val="1B2A38"/>
        </w:rPr>
        <w:t xml:space="preserve"> Additive </w:t>
      </w:r>
      <w:proofErr w:type="spellStart"/>
      <w:r>
        <w:rPr>
          <w:color w:val="1B2A38"/>
        </w:rPr>
        <w:t>exPlanations</w:t>
      </w:r>
      <w:proofErr w:type="spellEnd"/>
      <w:r>
        <w:rPr>
          <w:color w:val="1B2A38"/>
        </w:rPr>
        <w:t xml:space="preserve">) to the </w:t>
      </w:r>
      <w:proofErr w:type="spellStart"/>
      <w:r>
        <w:rPr>
          <w:color w:val="1B2A38"/>
        </w:rPr>
        <w:t>LightGBM</w:t>
      </w:r>
      <w:proofErr w:type="spellEnd"/>
      <w:r>
        <w:rPr>
          <w:color w:val="1B2A38"/>
        </w:rPr>
        <w:t xml:space="preserve"> model, providing both global and local interpretability.</w:t>
      </w:r>
    </w:p>
    <w:p w14:paraId="484A84F9" w14:textId="77777777" w:rsidR="00BD40FA" w:rsidRDefault="00000000">
      <w:pPr>
        <w:pStyle w:val="Heading2"/>
      </w:pPr>
      <w:r>
        <w:t>12.1 Global Feature Importance</w:t>
      </w:r>
    </w:p>
    <w:p w14:paraId="6DDC13F4" w14:textId="77777777" w:rsidR="00BD40FA" w:rsidRDefault="00000000">
      <w:pPr>
        <w:spacing w:after="160" w:line="276" w:lineRule="auto"/>
      </w:pPr>
      <w:r>
        <w:rPr>
          <w:color w:val="1B2A38"/>
        </w:rPr>
        <w:t xml:space="preserve">The SHAP summary plot reveals the top drivers of readmission risk across the entire test population. The most influential features include </w:t>
      </w:r>
      <w:proofErr w:type="spellStart"/>
      <w:r>
        <w:rPr>
          <w:color w:val="1B2A38"/>
        </w:rPr>
        <w:t>number_inpatient</w:t>
      </w:r>
      <w:proofErr w:type="spellEnd"/>
      <w:r>
        <w:rPr>
          <w:color w:val="1B2A38"/>
        </w:rPr>
        <w:t xml:space="preserve"> (prior inpatient visits), discharge_disposition_id_22 (specific discharge pathway), </w:t>
      </w:r>
      <w:proofErr w:type="spellStart"/>
      <w:r>
        <w:rPr>
          <w:color w:val="1B2A38"/>
        </w:rPr>
        <w:t>number_diagnoses</w:t>
      </w:r>
      <w:proofErr w:type="spellEnd"/>
      <w:r>
        <w:rPr>
          <w:color w:val="1B2A38"/>
        </w:rPr>
        <w:t xml:space="preserve"> (comorbidity burden), </w:t>
      </w:r>
      <w:proofErr w:type="spellStart"/>
      <w:r>
        <w:rPr>
          <w:color w:val="1B2A38"/>
        </w:rPr>
        <w:t>total_visits</w:t>
      </w:r>
      <w:proofErr w:type="spellEnd"/>
      <w:r>
        <w:rPr>
          <w:color w:val="1B2A38"/>
        </w:rPr>
        <w:t xml:space="preserve"> (overall utilization intensity), and </w:t>
      </w:r>
      <w:proofErr w:type="spellStart"/>
      <w:r>
        <w:rPr>
          <w:color w:val="1B2A38"/>
        </w:rPr>
        <w:t>diabetesMed</w:t>
      </w:r>
      <w:proofErr w:type="spellEnd"/>
      <w:r>
        <w:rPr>
          <w:color w:val="1B2A38"/>
        </w:rPr>
        <w:t xml:space="preserve"> (whether diabetes medication was prescribed). These align with clinical intuition: sicker patients who use more services and have complex discharge pathways are at higher risk.</w:t>
      </w:r>
    </w:p>
    <w:p w14:paraId="2EF66D21" w14:textId="77777777" w:rsidR="00BD40FA" w:rsidRDefault="00000000">
      <w:pPr>
        <w:pStyle w:val="Heading2"/>
      </w:pPr>
      <w:r>
        <w:t>12.2 Per-Patient Explanations</w:t>
      </w:r>
    </w:p>
    <w:p w14:paraId="3EC55DA2" w14:textId="77777777" w:rsidR="00BD40FA" w:rsidRDefault="00000000">
      <w:pPr>
        <w:spacing w:after="160" w:line="276" w:lineRule="auto"/>
      </w:pPr>
      <w:r>
        <w:rPr>
          <w:color w:val="1B2A38"/>
        </w:rPr>
        <w:t xml:space="preserve">SHAP waterfall plots were generated for individual patients at high, medium, and low risk levels. Each waterfall shows the baseline predicted probability, the contribution of each feature (positive = pushes toward readmission, negative = pushes away), and the final prediction. </w:t>
      </w:r>
      <w:r>
        <w:rPr>
          <w:color w:val="1B2A38"/>
        </w:rPr>
        <w:lastRenderedPageBreak/>
        <w:t>These per-patient explanations can be attached to care-management workflows so that the nurse reviewing a high-risk alert understands the driving factors.</w:t>
      </w:r>
    </w:p>
    <w:p w14:paraId="34A5F71B" w14:textId="77777777" w:rsidR="00BD40FA" w:rsidRDefault="00000000">
      <w:pPr>
        <w:pStyle w:val="Heading1"/>
      </w:pPr>
      <w:r>
        <w:t>13. Fairness Audit</w:t>
      </w:r>
    </w:p>
    <w:p w14:paraId="5E0585D2" w14:textId="77777777" w:rsidR="00BD40FA" w:rsidRDefault="00000000">
      <w:pPr>
        <w:spacing w:after="160" w:line="276" w:lineRule="auto"/>
      </w:pPr>
      <w:r>
        <w:rPr>
          <w:color w:val="1B2A38"/>
        </w:rPr>
        <w:t>Responsible deployment of ML in healthcare requires auditing model performance across demographic subgroups. We reconstructed race from one-hot encoded columns and evaluated the model’s ROC-AUC, PR-AUC, and Recall@10% for each racial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8"/>
        <w:gridCol w:w="1203"/>
        <w:gridCol w:w="1531"/>
        <w:gridCol w:w="1531"/>
        <w:gridCol w:w="1531"/>
        <w:gridCol w:w="1706"/>
      </w:tblGrid>
      <w:tr w:rsidR="00BD40FA" w14:paraId="3E0DC28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A6B5C"/>
            <w:tcMar>
              <w:top w:w="60" w:type="dxa"/>
              <w:left w:w="100" w:type="dxa"/>
              <w:bottom w:w="60" w:type="dxa"/>
              <w:right w:w="100" w:type="dxa"/>
            </w:tcMar>
          </w:tcPr>
          <w:p w14:paraId="14EBC047" w14:textId="77777777" w:rsidR="00BD40FA" w:rsidRDefault="00000000">
            <w:r>
              <w:rPr>
                <w:b/>
                <w:bCs/>
                <w:color w:val="FFFFFF"/>
                <w:sz w:val="20"/>
                <w:szCs w:val="20"/>
              </w:rPr>
              <w:t>Race Group</w:t>
            </w:r>
          </w:p>
        </w:tc>
        <w:tc>
          <w:tcPr>
            <w:tcW w:w="1100" w:type="dxa"/>
            <w:tcBorders>
              <w:top w:val="single" w:sz="1" w:space="0" w:color="CCCCCC"/>
              <w:left w:val="single" w:sz="1" w:space="0" w:color="CCCCCC"/>
              <w:bottom w:val="single" w:sz="1" w:space="0" w:color="CCCCCC"/>
              <w:right w:val="single" w:sz="1" w:space="0" w:color="CCCCCC"/>
            </w:tcBorders>
            <w:shd w:val="clear" w:color="auto" w:fill="1A6B5C"/>
            <w:tcMar>
              <w:top w:w="60" w:type="dxa"/>
              <w:left w:w="100" w:type="dxa"/>
              <w:bottom w:w="60" w:type="dxa"/>
              <w:right w:w="100" w:type="dxa"/>
            </w:tcMar>
          </w:tcPr>
          <w:p w14:paraId="333C285A" w14:textId="77777777" w:rsidR="00BD40FA" w:rsidRDefault="00000000">
            <w:r>
              <w:rPr>
                <w:b/>
                <w:bCs/>
                <w:color w:val="FFFFFF"/>
                <w:sz w:val="20"/>
                <w:szCs w:val="20"/>
              </w:rPr>
              <w:t>N</w:t>
            </w:r>
          </w:p>
        </w:tc>
        <w:tc>
          <w:tcPr>
            <w:tcW w:w="1400" w:type="dxa"/>
            <w:tcBorders>
              <w:top w:val="single" w:sz="1" w:space="0" w:color="CCCCCC"/>
              <w:left w:val="single" w:sz="1" w:space="0" w:color="CCCCCC"/>
              <w:bottom w:val="single" w:sz="1" w:space="0" w:color="CCCCCC"/>
              <w:right w:val="single" w:sz="1" w:space="0" w:color="CCCCCC"/>
            </w:tcBorders>
            <w:shd w:val="clear" w:color="auto" w:fill="1A6B5C"/>
            <w:tcMar>
              <w:top w:w="60" w:type="dxa"/>
              <w:left w:w="100" w:type="dxa"/>
              <w:bottom w:w="60" w:type="dxa"/>
              <w:right w:w="100" w:type="dxa"/>
            </w:tcMar>
          </w:tcPr>
          <w:p w14:paraId="25E4E641" w14:textId="77777777" w:rsidR="00BD40FA" w:rsidRDefault="00000000">
            <w:r>
              <w:rPr>
                <w:b/>
                <w:bCs/>
                <w:color w:val="FFFFFF"/>
                <w:sz w:val="20"/>
                <w:szCs w:val="20"/>
              </w:rPr>
              <w:t>Base Rate</w:t>
            </w:r>
          </w:p>
        </w:tc>
        <w:tc>
          <w:tcPr>
            <w:tcW w:w="1400" w:type="dxa"/>
            <w:tcBorders>
              <w:top w:val="single" w:sz="1" w:space="0" w:color="CCCCCC"/>
              <w:left w:val="single" w:sz="1" w:space="0" w:color="CCCCCC"/>
              <w:bottom w:val="single" w:sz="1" w:space="0" w:color="CCCCCC"/>
              <w:right w:val="single" w:sz="1" w:space="0" w:color="CCCCCC"/>
            </w:tcBorders>
            <w:shd w:val="clear" w:color="auto" w:fill="1A6B5C"/>
            <w:tcMar>
              <w:top w:w="60" w:type="dxa"/>
              <w:left w:w="100" w:type="dxa"/>
              <w:bottom w:w="60" w:type="dxa"/>
              <w:right w:w="100" w:type="dxa"/>
            </w:tcMar>
          </w:tcPr>
          <w:p w14:paraId="5962121F" w14:textId="77777777" w:rsidR="00BD40FA" w:rsidRDefault="00000000">
            <w:r>
              <w:rPr>
                <w:b/>
                <w:bCs/>
                <w:color w:val="FFFFFF"/>
                <w:sz w:val="20"/>
                <w:szCs w:val="20"/>
              </w:rPr>
              <w:t>ROC-AUC</w:t>
            </w:r>
          </w:p>
        </w:tc>
        <w:tc>
          <w:tcPr>
            <w:tcW w:w="1400" w:type="dxa"/>
            <w:tcBorders>
              <w:top w:val="single" w:sz="1" w:space="0" w:color="CCCCCC"/>
              <w:left w:val="single" w:sz="1" w:space="0" w:color="CCCCCC"/>
              <w:bottom w:val="single" w:sz="1" w:space="0" w:color="CCCCCC"/>
              <w:right w:val="single" w:sz="1" w:space="0" w:color="CCCCCC"/>
            </w:tcBorders>
            <w:shd w:val="clear" w:color="auto" w:fill="1A6B5C"/>
            <w:tcMar>
              <w:top w:w="60" w:type="dxa"/>
              <w:left w:w="100" w:type="dxa"/>
              <w:bottom w:w="60" w:type="dxa"/>
              <w:right w:w="100" w:type="dxa"/>
            </w:tcMar>
          </w:tcPr>
          <w:p w14:paraId="225E062E" w14:textId="77777777" w:rsidR="00BD40FA" w:rsidRDefault="00000000">
            <w:r>
              <w:rPr>
                <w:b/>
                <w:bCs/>
                <w:color w:val="FFFFFF"/>
                <w:sz w:val="20"/>
                <w:szCs w:val="20"/>
              </w:rPr>
              <w:t>PR-AUC</w:t>
            </w:r>
          </w:p>
        </w:tc>
        <w:tc>
          <w:tcPr>
            <w:tcW w:w="1560" w:type="dxa"/>
            <w:tcBorders>
              <w:top w:val="single" w:sz="1" w:space="0" w:color="CCCCCC"/>
              <w:left w:val="single" w:sz="1" w:space="0" w:color="CCCCCC"/>
              <w:bottom w:val="single" w:sz="1" w:space="0" w:color="CCCCCC"/>
              <w:right w:val="single" w:sz="1" w:space="0" w:color="CCCCCC"/>
            </w:tcBorders>
            <w:shd w:val="clear" w:color="auto" w:fill="1A6B5C"/>
            <w:tcMar>
              <w:top w:w="60" w:type="dxa"/>
              <w:left w:w="100" w:type="dxa"/>
              <w:bottom w:w="60" w:type="dxa"/>
              <w:right w:w="100" w:type="dxa"/>
            </w:tcMar>
          </w:tcPr>
          <w:p w14:paraId="0C1FE12A" w14:textId="77777777" w:rsidR="00BD40FA" w:rsidRDefault="00000000">
            <w:r>
              <w:rPr>
                <w:b/>
                <w:bCs/>
                <w:color w:val="FFFFFF"/>
                <w:sz w:val="20"/>
                <w:szCs w:val="20"/>
              </w:rPr>
              <w:t>Recall@10%</w:t>
            </w:r>
          </w:p>
        </w:tc>
      </w:tr>
      <w:tr w:rsidR="00BD40FA" w14:paraId="56920FD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ED8134" w14:textId="77777777" w:rsidR="00BD40FA" w:rsidRDefault="00000000">
            <w:r>
              <w:rPr>
                <w:color w:val="1B2A38"/>
                <w:sz w:val="20"/>
                <w:szCs w:val="20"/>
              </w:rPr>
              <w:t>Asian</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826389" w14:textId="77777777" w:rsidR="00BD40FA" w:rsidRDefault="00000000">
            <w:r>
              <w:rPr>
                <w:color w:val="1B2A38"/>
                <w:sz w:val="20"/>
                <w:szCs w:val="20"/>
              </w:rPr>
              <w:t>116</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3148B8" w14:textId="77777777" w:rsidR="00BD40FA" w:rsidRDefault="00000000">
            <w:r>
              <w:rPr>
                <w:color w:val="1B2A38"/>
                <w:sz w:val="20"/>
                <w:szCs w:val="20"/>
              </w:rPr>
              <w:t>8.6%</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BFC5C3" w14:textId="77777777" w:rsidR="00BD40FA" w:rsidRDefault="00000000">
            <w:r>
              <w:rPr>
                <w:color w:val="1B2A38"/>
                <w:sz w:val="20"/>
                <w:szCs w:val="20"/>
              </w:rPr>
              <w:t>0.674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129A89" w14:textId="77777777" w:rsidR="00BD40FA" w:rsidRDefault="00000000">
            <w:r>
              <w:rPr>
                <w:color w:val="1B2A38"/>
                <w:sz w:val="20"/>
                <w:szCs w:val="20"/>
              </w:rPr>
              <w:t>0.163</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F6BA8" w14:textId="77777777" w:rsidR="00BD40FA" w:rsidRDefault="00000000">
            <w:r>
              <w:rPr>
                <w:color w:val="1B2A38"/>
                <w:sz w:val="20"/>
                <w:szCs w:val="20"/>
              </w:rPr>
              <w:t>20.0%</w:t>
            </w:r>
          </w:p>
        </w:tc>
      </w:tr>
      <w:tr w:rsidR="00BD40FA" w14:paraId="4DB6DEC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62556" w14:textId="77777777" w:rsidR="00BD40FA" w:rsidRDefault="00000000">
            <w:r>
              <w:rPr>
                <w:color w:val="1B2A38"/>
                <w:sz w:val="20"/>
                <w:szCs w:val="20"/>
              </w:rPr>
              <w:t>Caucasian</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832E9C" w14:textId="77777777" w:rsidR="00BD40FA" w:rsidRDefault="00000000">
            <w:r>
              <w:rPr>
                <w:color w:val="1B2A38"/>
                <w:sz w:val="20"/>
                <w:szCs w:val="20"/>
              </w:rPr>
              <w:t>18,510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FCC66" w14:textId="77777777" w:rsidR="00BD40FA" w:rsidRDefault="00000000">
            <w:r>
              <w:rPr>
                <w:color w:val="1B2A38"/>
                <w:sz w:val="20"/>
                <w:szCs w:val="20"/>
              </w:rPr>
              <w:t>11.5%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12199" w14:textId="77777777" w:rsidR="00BD40FA" w:rsidRDefault="00000000">
            <w:r>
              <w:rPr>
                <w:color w:val="1B2A38"/>
                <w:sz w:val="20"/>
                <w:szCs w:val="20"/>
              </w:rPr>
              <w:t>0.671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2BB6D" w14:textId="77777777" w:rsidR="00BD40FA" w:rsidRDefault="00000000">
            <w:r>
              <w:rPr>
                <w:color w:val="1B2A38"/>
                <w:sz w:val="20"/>
                <w:szCs w:val="20"/>
              </w:rPr>
              <w:t>0.238</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D446D" w14:textId="77777777" w:rsidR="00BD40FA" w:rsidRDefault="00000000">
            <w:r>
              <w:rPr>
                <w:color w:val="1B2A38"/>
                <w:sz w:val="20"/>
                <w:szCs w:val="20"/>
              </w:rPr>
              <w:t>25.7%</w:t>
            </w:r>
          </w:p>
        </w:tc>
      </w:tr>
      <w:tr w:rsidR="00BD40FA" w14:paraId="2AF55BB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8DD960" w14:textId="77777777" w:rsidR="00BD40FA" w:rsidRDefault="00000000">
            <w:r>
              <w:rPr>
                <w:color w:val="1B2A38"/>
                <w:sz w:val="20"/>
                <w:szCs w:val="20"/>
              </w:rPr>
              <w:t>Hispanic</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D92A98" w14:textId="77777777" w:rsidR="00BD40FA" w:rsidRDefault="00000000">
            <w:r>
              <w:rPr>
                <w:color w:val="1B2A38"/>
                <w:sz w:val="20"/>
                <w:szCs w:val="20"/>
              </w:rPr>
              <w:t>398</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3C04B" w14:textId="77777777" w:rsidR="00BD40FA" w:rsidRDefault="00000000">
            <w:r>
              <w:rPr>
                <w:color w:val="1B2A38"/>
                <w:sz w:val="20"/>
                <w:szCs w:val="20"/>
              </w:rPr>
              <w:t>9.0%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4C421" w14:textId="77777777" w:rsidR="00BD40FA" w:rsidRDefault="00000000">
            <w:r>
              <w:rPr>
                <w:color w:val="1B2A38"/>
                <w:sz w:val="20"/>
                <w:szCs w:val="20"/>
              </w:rPr>
              <w:t>0.755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54F963" w14:textId="77777777" w:rsidR="00BD40FA" w:rsidRDefault="00000000">
            <w:r>
              <w:rPr>
                <w:color w:val="1B2A38"/>
                <w:sz w:val="20"/>
                <w:szCs w:val="20"/>
              </w:rPr>
              <w:t>0.341</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F004CE" w14:textId="77777777" w:rsidR="00BD40FA" w:rsidRDefault="00000000">
            <w:r>
              <w:rPr>
                <w:color w:val="1B2A38"/>
                <w:sz w:val="20"/>
                <w:szCs w:val="20"/>
              </w:rPr>
              <w:t>36.1%</w:t>
            </w:r>
          </w:p>
        </w:tc>
      </w:tr>
      <w:tr w:rsidR="00BD40FA" w14:paraId="31DF2E7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CCE961" w14:textId="77777777" w:rsidR="00BD40FA" w:rsidRDefault="00000000">
            <w:r>
              <w:rPr>
                <w:color w:val="1B2A38"/>
                <w:sz w:val="20"/>
                <w:szCs w:val="20"/>
              </w:rPr>
              <w:t>Other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21FCEA" w14:textId="77777777" w:rsidR="00BD40FA" w:rsidRDefault="00000000">
            <w:r>
              <w:rPr>
                <w:color w:val="1B2A38"/>
                <w:sz w:val="20"/>
                <w:szCs w:val="20"/>
              </w:rPr>
              <w:t>302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F06C35" w14:textId="77777777" w:rsidR="00BD40FA" w:rsidRDefault="00000000">
            <w:r>
              <w:rPr>
                <w:color w:val="1B2A38"/>
                <w:sz w:val="20"/>
                <w:szCs w:val="20"/>
              </w:rPr>
              <w:t>10.3%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06DE" w14:textId="77777777" w:rsidR="00BD40FA" w:rsidRDefault="00000000">
            <w:r>
              <w:rPr>
                <w:color w:val="1B2A38"/>
                <w:sz w:val="20"/>
                <w:szCs w:val="20"/>
              </w:rPr>
              <w:t>0.680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3855C8" w14:textId="77777777" w:rsidR="00BD40FA" w:rsidRDefault="00000000">
            <w:r>
              <w:rPr>
                <w:color w:val="1B2A38"/>
                <w:sz w:val="20"/>
                <w:szCs w:val="20"/>
              </w:rPr>
              <w:t>0.258</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3F990B" w14:textId="77777777" w:rsidR="00BD40FA" w:rsidRDefault="00000000">
            <w:r>
              <w:rPr>
                <w:color w:val="1B2A38"/>
                <w:sz w:val="20"/>
                <w:szCs w:val="20"/>
              </w:rPr>
              <w:t>29.0%</w:t>
            </w:r>
          </w:p>
        </w:tc>
      </w:tr>
      <w:tr w:rsidR="00BD40FA" w14:paraId="409BF0A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63B2F" w14:textId="77777777" w:rsidR="00BD40FA" w:rsidRDefault="00000000">
            <w:r>
              <w:rPr>
                <w:color w:val="1B2A38"/>
                <w:sz w:val="20"/>
                <w:szCs w:val="20"/>
              </w:rPr>
              <w:t>Unknown</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95D81" w14:textId="77777777" w:rsidR="00BD40FA" w:rsidRDefault="00000000">
            <w:r>
              <w:rPr>
                <w:color w:val="1B2A38"/>
                <w:sz w:val="20"/>
                <w:szCs w:val="20"/>
              </w:rPr>
              <w:t>447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4F921" w14:textId="77777777" w:rsidR="00BD40FA" w:rsidRDefault="00000000">
            <w:r>
              <w:rPr>
                <w:color w:val="1B2A38"/>
                <w:sz w:val="20"/>
                <w:szCs w:val="20"/>
              </w:rPr>
              <w:t>7.2%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6239C" w14:textId="77777777" w:rsidR="00BD40FA" w:rsidRDefault="00000000">
            <w:r>
              <w:rPr>
                <w:color w:val="1B2A38"/>
                <w:sz w:val="20"/>
                <w:szCs w:val="20"/>
              </w:rPr>
              <w:t>0.644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40C921" w14:textId="77777777" w:rsidR="00BD40FA" w:rsidRDefault="00000000">
            <w:r>
              <w:rPr>
                <w:color w:val="1B2A38"/>
                <w:sz w:val="20"/>
                <w:szCs w:val="20"/>
              </w:rPr>
              <w:t>0.153</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70A5F9" w14:textId="77777777" w:rsidR="00BD40FA" w:rsidRDefault="00000000">
            <w:r>
              <w:rPr>
                <w:color w:val="1B2A38"/>
                <w:sz w:val="20"/>
                <w:szCs w:val="20"/>
              </w:rPr>
              <w:t>28.1%</w:t>
            </w:r>
          </w:p>
        </w:tc>
      </w:tr>
    </w:tbl>
    <w:p w14:paraId="396C6DDE" w14:textId="77777777" w:rsidR="00BD40FA" w:rsidRDefault="00BD40FA">
      <w:pPr>
        <w:spacing w:after="80"/>
      </w:pPr>
    </w:p>
    <w:p w14:paraId="0FBFBBC3" w14:textId="77777777" w:rsidR="00BD40FA" w:rsidRDefault="00000000">
      <w:pPr>
        <w:spacing w:after="160" w:line="276" w:lineRule="auto"/>
      </w:pPr>
      <w:r>
        <w:rPr>
          <w:color w:val="1B2A38"/>
        </w:rPr>
        <w:t>The maximum subgroup ROC-AUC gap from the population average was −0.029 (within acceptable bounds). No subgroup showed severe performance degradation, though the smaller sample sizes for Asian and Hispanic groups warrant continued monitoring. The population-level ROC-AUC was 0.673.</w:t>
      </w:r>
    </w:p>
    <w:p w14:paraId="4992E0B6" w14:textId="77777777" w:rsidR="00BD40FA" w:rsidRDefault="00000000">
      <w:pPr>
        <w:pStyle w:val="Heading1"/>
      </w:pPr>
      <w:r>
        <w:t>14. Operational Outputs</w:t>
      </w:r>
    </w:p>
    <w:p w14:paraId="22C37ACA" w14:textId="77777777" w:rsidR="00BD40FA" w:rsidRDefault="00000000">
      <w:pPr>
        <w:pStyle w:val="Heading2"/>
      </w:pPr>
      <w:r>
        <w:t>14.1 Risk Tiers</w:t>
      </w:r>
    </w:p>
    <w:p w14:paraId="404A5499" w14:textId="77777777" w:rsidR="00BD40FA" w:rsidRDefault="00000000">
      <w:pPr>
        <w:spacing w:after="160" w:line="276" w:lineRule="auto"/>
      </w:pPr>
      <w:r>
        <w:rPr>
          <w:color w:val="1B2A38"/>
        </w:rPr>
        <w:t>Patients were assigned to three operational risk tiers based on percentile thresholds of the predicted probability distribution:</w:t>
      </w:r>
    </w:p>
    <w:p w14:paraId="7E9C5AC7" w14:textId="77777777" w:rsidR="00BD40FA" w:rsidRDefault="00000000">
      <w:pPr>
        <w:pStyle w:val="ListParagraph"/>
        <w:numPr>
          <w:ilvl w:val="0"/>
          <w:numId w:val="2"/>
        </w:numPr>
        <w:spacing w:after="80" w:line="276" w:lineRule="auto"/>
      </w:pPr>
      <w:r>
        <w:rPr>
          <w:b/>
          <w:bCs/>
          <w:color w:val="1B2A38"/>
        </w:rPr>
        <w:t xml:space="preserve">High Risk (top 15%): </w:t>
      </w:r>
      <w:r>
        <w:rPr>
          <w:color w:val="1B2A38"/>
        </w:rPr>
        <w:t>Immediate outreach by transition-of-care nurse; priority follow-up scheduling.</w:t>
      </w:r>
    </w:p>
    <w:p w14:paraId="4F538565" w14:textId="77777777" w:rsidR="00BD40FA" w:rsidRDefault="00000000">
      <w:pPr>
        <w:pStyle w:val="ListParagraph"/>
        <w:numPr>
          <w:ilvl w:val="0"/>
          <w:numId w:val="2"/>
        </w:numPr>
        <w:spacing w:after="80" w:line="276" w:lineRule="auto"/>
      </w:pPr>
      <w:r>
        <w:rPr>
          <w:b/>
          <w:bCs/>
          <w:color w:val="1B2A38"/>
        </w:rPr>
        <w:t xml:space="preserve">Medium Risk (15th–85th percentile): </w:t>
      </w:r>
      <w:r>
        <w:rPr>
          <w:color w:val="1B2A38"/>
        </w:rPr>
        <w:t>Standard discharge protocol with automated check-in call.</w:t>
      </w:r>
    </w:p>
    <w:p w14:paraId="52314C55" w14:textId="77777777" w:rsidR="00BD40FA" w:rsidRDefault="00000000">
      <w:pPr>
        <w:pStyle w:val="ListParagraph"/>
        <w:numPr>
          <w:ilvl w:val="0"/>
          <w:numId w:val="2"/>
        </w:numPr>
        <w:spacing w:after="80" w:line="276" w:lineRule="auto"/>
      </w:pPr>
      <w:r>
        <w:rPr>
          <w:b/>
          <w:bCs/>
          <w:color w:val="1B2A38"/>
        </w:rPr>
        <w:t xml:space="preserve">Low Risk (bottom 15%): </w:t>
      </w:r>
      <w:r>
        <w:rPr>
          <w:color w:val="1B2A38"/>
        </w:rPr>
        <w:t>Routine discharge; no additional intervention required.</w:t>
      </w:r>
    </w:p>
    <w:p w14:paraId="484A2E26" w14:textId="77777777" w:rsidR="00BD40FA" w:rsidRDefault="00000000">
      <w:pPr>
        <w:pStyle w:val="Heading2"/>
      </w:pPr>
      <w:r>
        <w:t xml:space="preserve">14.2 </w:t>
      </w:r>
      <w:proofErr w:type="gramStart"/>
      <w:r>
        <w:t>Top-K</w:t>
      </w:r>
      <w:proofErr w:type="gramEnd"/>
      <w:r>
        <w:t xml:space="preserve"> Outreach List</w:t>
      </w:r>
    </w:p>
    <w:p w14:paraId="60D93667" w14:textId="77777777" w:rsidR="00BD40FA" w:rsidRDefault="00000000">
      <w:pPr>
        <w:spacing w:after="160" w:line="276" w:lineRule="auto"/>
      </w:pPr>
      <w:r>
        <w:rPr>
          <w:color w:val="1B2A38"/>
        </w:rPr>
        <w:t>A scored and ranked outreach list was generated for the test cohort, containing each patient’s risk probability, assigned tier, and the top three SHAP-derived reasons for their risk score. This list can be exported as a CSV and integrated directly into hospital care-management workflows.</w:t>
      </w:r>
    </w:p>
    <w:p w14:paraId="0808FC04" w14:textId="77777777" w:rsidR="00BD40FA" w:rsidRDefault="00000000">
      <w:pPr>
        <w:pStyle w:val="Heading2"/>
      </w:pPr>
      <w:r>
        <w:t>14.3 Cumulative Gains &amp; Lift Charts</w:t>
      </w:r>
    </w:p>
    <w:p w14:paraId="5BB8DCD3" w14:textId="77777777" w:rsidR="00BD40FA" w:rsidRDefault="00000000">
      <w:pPr>
        <w:spacing w:after="160" w:line="276" w:lineRule="auto"/>
      </w:pPr>
      <w:r>
        <w:rPr>
          <w:color w:val="1B2A38"/>
        </w:rPr>
        <w:lastRenderedPageBreak/>
        <w:t>The cumulative gains chart demonstrates the model’s practical value: contacting the top 10% of predicted-risk patients captures approximately 26% of all actual readmissions. The corresponding lift chart shows a lift of 2.6× at the top decile, declining toward 1.0 as we approach the full population. These charts translate model performance into language that hospital administrators and care managers can act on.</w:t>
      </w:r>
    </w:p>
    <w:p w14:paraId="5DFC6D68" w14:textId="23659149" w:rsidR="00BD40FA" w:rsidRDefault="00000000">
      <w:pPr>
        <w:pStyle w:val="Heading1"/>
      </w:pPr>
      <w:r>
        <w:t>15. Course Module Mapping</w:t>
      </w:r>
    </w:p>
    <w:p w14:paraId="37FE180E" w14:textId="16B8D89D" w:rsidR="00BD40FA" w:rsidRDefault="00000000">
      <w:pPr>
        <w:spacing w:after="160" w:line="276" w:lineRule="auto"/>
      </w:pPr>
      <w:r>
        <w:rPr>
          <w:color w:val="1B2A38"/>
        </w:rPr>
        <w:t>This pipeline explicitly demonstrates concepts from each module of INSY 6</w:t>
      </w:r>
      <w:r w:rsidR="00E71F34">
        <w:rPr>
          <w:color w:val="1B2A38"/>
        </w:rPr>
        <w:t>74</w:t>
      </w:r>
      <w:r>
        <w:rPr>
          <w:color w:val="1B2A3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BD40FA" w14:paraId="2CFE9F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6B5C"/>
            <w:tcMar>
              <w:top w:w="60" w:type="dxa"/>
              <w:left w:w="100" w:type="dxa"/>
              <w:bottom w:w="60" w:type="dxa"/>
              <w:right w:w="100" w:type="dxa"/>
            </w:tcMar>
          </w:tcPr>
          <w:p w14:paraId="29EDB2CB" w14:textId="77777777" w:rsidR="00BD40FA" w:rsidRDefault="00000000">
            <w:r>
              <w:rPr>
                <w:b/>
                <w:bCs/>
                <w:color w:val="FFFFFF"/>
                <w:sz w:val="20"/>
                <w:szCs w:val="20"/>
              </w:rPr>
              <w:t>Module</w:t>
            </w:r>
          </w:p>
        </w:tc>
        <w:tc>
          <w:tcPr>
            <w:tcW w:w="3200" w:type="dxa"/>
            <w:tcBorders>
              <w:top w:val="single" w:sz="1" w:space="0" w:color="CCCCCC"/>
              <w:left w:val="single" w:sz="1" w:space="0" w:color="CCCCCC"/>
              <w:bottom w:val="single" w:sz="1" w:space="0" w:color="CCCCCC"/>
              <w:right w:val="single" w:sz="1" w:space="0" w:color="CCCCCC"/>
            </w:tcBorders>
            <w:shd w:val="clear" w:color="auto" w:fill="1A6B5C"/>
            <w:tcMar>
              <w:top w:w="60" w:type="dxa"/>
              <w:left w:w="100" w:type="dxa"/>
              <w:bottom w:w="60" w:type="dxa"/>
              <w:right w:w="100" w:type="dxa"/>
            </w:tcMar>
          </w:tcPr>
          <w:p w14:paraId="1EF0EA31" w14:textId="77777777" w:rsidR="00BD40FA" w:rsidRDefault="00000000">
            <w:r>
              <w:rPr>
                <w:b/>
                <w:bCs/>
                <w:color w:val="FFFFFF"/>
                <w:sz w:val="20"/>
                <w:szCs w:val="20"/>
              </w:rPr>
              <w:t>Topics</w:t>
            </w:r>
          </w:p>
        </w:tc>
        <w:tc>
          <w:tcPr>
            <w:tcW w:w="3960" w:type="dxa"/>
            <w:tcBorders>
              <w:top w:val="single" w:sz="1" w:space="0" w:color="CCCCCC"/>
              <w:left w:val="single" w:sz="1" w:space="0" w:color="CCCCCC"/>
              <w:bottom w:val="single" w:sz="1" w:space="0" w:color="CCCCCC"/>
              <w:right w:val="single" w:sz="1" w:space="0" w:color="CCCCCC"/>
            </w:tcBorders>
            <w:shd w:val="clear" w:color="auto" w:fill="1A6B5C"/>
            <w:tcMar>
              <w:top w:w="60" w:type="dxa"/>
              <w:left w:w="100" w:type="dxa"/>
              <w:bottom w:w="60" w:type="dxa"/>
              <w:right w:w="100" w:type="dxa"/>
            </w:tcMar>
          </w:tcPr>
          <w:p w14:paraId="1B55287A" w14:textId="77777777" w:rsidR="00BD40FA" w:rsidRDefault="00000000">
            <w:r>
              <w:rPr>
                <w:b/>
                <w:bCs/>
                <w:color w:val="FFFFFF"/>
                <w:sz w:val="20"/>
                <w:szCs w:val="20"/>
              </w:rPr>
              <w:t xml:space="preserve">Where </w:t>
            </w:r>
            <w:proofErr w:type="gramStart"/>
            <w:r>
              <w:rPr>
                <w:b/>
                <w:bCs/>
                <w:color w:val="FFFFFF"/>
                <w:sz w:val="20"/>
                <w:szCs w:val="20"/>
              </w:rPr>
              <w:t>Applied</w:t>
            </w:r>
            <w:proofErr w:type="gramEnd"/>
          </w:p>
        </w:tc>
      </w:tr>
      <w:tr w:rsidR="00BD40FA" w14:paraId="571C42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A8AEE" w14:textId="77777777" w:rsidR="00BD40FA" w:rsidRDefault="00000000">
            <w:r>
              <w:rPr>
                <w:color w:val="1B2A38"/>
                <w:sz w:val="20"/>
                <w:szCs w:val="20"/>
              </w:rPr>
              <w:t>I: AI Strategy</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F0AF97" w14:textId="77777777" w:rsidR="00BD40FA" w:rsidRDefault="00000000">
            <w:r>
              <w:rPr>
                <w:color w:val="1B2A38"/>
                <w:sz w:val="20"/>
                <w:szCs w:val="20"/>
              </w:rPr>
              <w:t>Data strategy, AI roles, operating model</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D199D" w14:textId="77777777" w:rsidR="00BD40FA" w:rsidRDefault="00000000">
            <w:r>
              <w:rPr>
                <w:color w:val="1B2A38"/>
                <w:sz w:val="20"/>
                <w:szCs w:val="20"/>
              </w:rPr>
              <w:t>Problem framing, business context, team structure</w:t>
            </w:r>
          </w:p>
        </w:tc>
      </w:tr>
      <w:tr w:rsidR="00BD40FA" w14:paraId="3582C8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3A7C3F" w14:textId="77777777" w:rsidR="00BD40FA" w:rsidRDefault="00000000">
            <w:r>
              <w:rPr>
                <w:color w:val="1B2A38"/>
                <w:sz w:val="20"/>
                <w:szCs w:val="20"/>
              </w:rPr>
              <w:t>II: Enterprise DS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BD6051" w14:textId="77777777" w:rsidR="00BD40FA" w:rsidRDefault="00000000">
            <w:r>
              <w:rPr>
                <w:color w:val="1B2A38"/>
                <w:sz w:val="20"/>
                <w:szCs w:val="20"/>
              </w:rPr>
              <w:t>End-to-end lifecycle, best practices, veridical DS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24DEC4" w14:textId="77777777" w:rsidR="00BD40FA" w:rsidRDefault="00000000">
            <w:r>
              <w:rPr>
                <w:color w:val="1B2A38"/>
                <w:sz w:val="20"/>
                <w:szCs w:val="20"/>
              </w:rPr>
              <w:t>Full pipeline design, data cleaning, leakage prevention, reproducibility</w:t>
            </w:r>
          </w:p>
        </w:tc>
      </w:tr>
      <w:tr w:rsidR="00BD40FA" w14:paraId="362FF7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DC113" w14:textId="77777777" w:rsidR="00BD40FA" w:rsidRDefault="00000000">
            <w:r>
              <w:rPr>
                <w:color w:val="1B2A38"/>
                <w:sz w:val="20"/>
                <w:szCs w:val="20"/>
              </w:rPr>
              <w:t>III: Feature Eng.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C4F1FC" w14:textId="77777777" w:rsidR="00BD40FA" w:rsidRDefault="00000000">
            <w:r>
              <w:rPr>
                <w:color w:val="1B2A38"/>
                <w:sz w:val="20"/>
                <w:szCs w:val="20"/>
              </w:rPr>
              <w:t>Categorical features, statistical features, MI, PCA, correlation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842298" w14:textId="77777777" w:rsidR="00BD40FA" w:rsidRDefault="00000000">
            <w:r>
              <w:rPr>
                <w:color w:val="1B2A38"/>
                <w:sz w:val="20"/>
                <w:szCs w:val="20"/>
              </w:rPr>
              <w:t>ICD-9 grouping, medication aggregation, derived features, MI ranking, PCA, correlation filtering</w:t>
            </w:r>
          </w:p>
        </w:tc>
      </w:tr>
      <w:tr w:rsidR="00BD40FA" w14:paraId="1D96B8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6E6F9" w14:textId="77777777" w:rsidR="00BD40FA" w:rsidRDefault="00000000">
            <w:r>
              <w:rPr>
                <w:color w:val="1B2A38"/>
                <w:sz w:val="20"/>
                <w:szCs w:val="20"/>
              </w:rPr>
              <w:t>IV: SOTA Supervised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77D273" w14:textId="77777777" w:rsidR="00BD40FA" w:rsidRDefault="00000000">
            <w:r>
              <w:rPr>
                <w:color w:val="1B2A38"/>
                <w:sz w:val="20"/>
                <w:szCs w:val="20"/>
              </w:rPr>
              <w:t xml:space="preserve">LR, RF, </w:t>
            </w:r>
            <w:proofErr w:type="spellStart"/>
            <w:r>
              <w:rPr>
                <w:color w:val="1B2A38"/>
                <w:sz w:val="20"/>
                <w:szCs w:val="20"/>
              </w:rPr>
              <w:t>XGBoost</w:t>
            </w:r>
            <w:proofErr w:type="spellEnd"/>
            <w:r>
              <w:rPr>
                <w:color w:val="1B2A38"/>
                <w:sz w:val="20"/>
                <w:szCs w:val="20"/>
              </w:rPr>
              <w:t xml:space="preserve">, </w:t>
            </w:r>
            <w:proofErr w:type="spellStart"/>
            <w:r>
              <w:rPr>
                <w:color w:val="1B2A38"/>
                <w:sz w:val="20"/>
                <w:szCs w:val="20"/>
              </w:rPr>
              <w:t>LightGBM</w:t>
            </w:r>
            <w:proofErr w:type="spellEnd"/>
            <w:r>
              <w:rPr>
                <w:color w:val="1B2A38"/>
                <w:sz w:val="20"/>
                <w:szCs w:val="20"/>
              </w:rPr>
              <w:t>, Stacking, model evaluation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D14025" w14:textId="77777777" w:rsidR="00BD40FA" w:rsidRDefault="00000000">
            <w:r>
              <w:rPr>
                <w:color w:val="1B2A38"/>
                <w:sz w:val="20"/>
                <w:szCs w:val="20"/>
              </w:rPr>
              <w:t>All five models trained, cross-validated, and compared on multiple metrics</w:t>
            </w:r>
          </w:p>
        </w:tc>
      </w:tr>
      <w:tr w:rsidR="00BD40FA" w14:paraId="0C07B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2C8BDA" w14:textId="77777777" w:rsidR="00BD40FA" w:rsidRDefault="00000000">
            <w:r>
              <w:rPr>
                <w:color w:val="1B2A38"/>
                <w:sz w:val="20"/>
                <w:szCs w:val="20"/>
              </w:rPr>
              <w:t>V: Unsupervised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FDF486" w14:textId="77777777" w:rsidR="00BD40FA" w:rsidRDefault="00000000">
            <w:r>
              <w:rPr>
                <w:color w:val="1B2A38"/>
                <w:sz w:val="20"/>
                <w:szCs w:val="20"/>
              </w:rPr>
              <w:t>PCA, clustering, dimensionality reduction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A99B5" w14:textId="77777777" w:rsidR="00BD40FA" w:rsidRDefault="00000000">
            <w:r>
              <w:rPr>
                <w:color w:val="1B2A38"/>
                <w:sz w:val="20"/>
                <w:szCs w:val="20"/>
              </w:rPr>
              <w:t>PCA for visualization and feature space exploration</w:t>
            </w:r>
          </w:p>
        </w:tc>
      </w:tr>
      <w:tr w:rsidR="00BD40FA" w14:paraId="17CE5D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07DCE" w14:textId="77777777" w:rsidR="00BD40FA" w:rsidRDefault="00000000">
            <w:r>
              <w:rPr>
                <w:color w:val="1B2A38"/>
                <w:sz w:val="20"/>
                <w:szCs w:val="20"/>
              </w:rPr>
              <w:t>VII: Presentation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E713AA" w14:textId="77777777" w:rsidR="00BD40FA" w:rsidRDefault="00000000">
            <w:r>
              <w:rPr>
                <w:color w:val="1B2A38"/>
                <w:sz w:val="20"/>
                <w:szCs w:val="20"/>
              </w:rPr>
              <w:t>Project presentations, professional deliverables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EA33B4" w14:textId="77777777" w:rsidR="00BD40FA" w:rsidRDefault="00000000">
            <w:r>
              <w:rPr>
                <w:color w:val="1B2A38"/>
                <w:sz w:val="20"/>
                <w:szCs w:val="20"/>
              </w:rPr>
              <w:t>This report, presentation deck, operational outputs, GitHub documentation</w:t>
            </w:r>
          </w:p>
        </w:tc>
      </w:tr>
    </w:tbl>
    <w:p w14:paraId="62D8760F" w14:textId="77777777" w:rsidR="00BD40FA" w:rsidRDefault="00BD40FA">
      <w:pPr>
        <w:spacing w:after="80"/>
      </w:pPr>
    </w:p>
    <w:p w14:paraId="253615F0" w14:textId="77777777" w:rsidR="00BD40FA" w:rsidRDefault="00000000">
      <w:pPr>
        <w:pStyle w:val="Heading1"/>
      </w:pPr>
      <w:r>
        <w:t>16. Limitations &amp; Future Work</w:t>
      </w:r>
    </w:p>
    <w:p w14:paraId="26F44EAA" w14:textId="77777777" w:rsidR="00BD40FA" w:rsidRDefault="00000000">
      <w:pPr>
        <w:pStyle w:val="Heading2"/>
      </w:pPr>
      <w:r>
        <w:t>16.1 Limitations</w:t>
      </w:r>
    </w:p>
    <w:p w14:paraId="057A8543" w14:textId="77777777" w:rsidR="00BD40FA" w:rsidRDefault="00000000">
      <w:pPr>
        <w:pStyle w:val="ListParagraph"/>
        <w:numPr>
          <w:ilvl w:val="0"/>
          <w:numId w:val="2"/>
        </w:numPr>
        <w:spacing w:after="80" w:line="276" w:lineRule="auto"/>
      </w:pPr>
      <w:r>
        <w:rPr>
          <w:b/>
          <w:bCs/>
          <w:color w:val="1B2A38"/>
        </w:rPr>
        <w:t xml:space="preserve">Temporal gap: </w:t>
      </w:r>
      <w:r>
        <w:rPr>
          <w:color w:val="1B2A38"/>
        </w:rPr>
        <w:t>The data spans 1999–2008; clinical practices and patient demographics have evolved significantly. Model performance on contemporary data may differ.</w:t>
      </w:r>
    </w:p>
    <w:p w14:paraId="485702FA" w14:textId="77777777" w:rsidR="00BD40FA" w:rsidRDefault="00000000">
      <w:pPr>
        <w:pStyle w:val="ListParagraph"/>
        <w:numPr>
          <w:ilvl w:val="0"/>
          <w:numId w:val="2"/>
        </w:numPr>
        <w:spacing w:after="80" w:line="276" w:lineRule="auto"/>
      </w:pPr>
      <w:r>
        <w:rPr>
          <w:b/>
          <w:bCs/>
          <w:color w:val="1B2A38"/>
        </w:rPr>
        <w:t xml:space="preserve">Feature limitations: </w:t>
      </w:r>
      <w:r>
        <w:rPr>
          <w:color w:val="1B2A38"/>
        </w:rPr>
        <w:t>The dataset lacks key predictors available in modern EHRs such as lab values, vital signs, social determinants of health, and free-text clinical notes.</w:t>
      </w:r>
    </w:p>
    <w:p w14:paraId="4D1A0E08" w14:textId="77777777" w:rsidR="00BD40FA" w:rsidRDefault="00000000">
      <w:pPr>
        <w:pStyle w:val="ListParagraph"/>
        <w:numPr>
          <w:ilvl w:val="0"/>
          <w:numId w:val="2"/>
        </w:numPr>
        <w:spacing w:after="80" w:line="276" w:lineRule="auto"/>
      </w:pPr>
      <w:r>
        <w:rPr>
          <w:b/>
          <w:bCs/>
          <w:color w:val="1B2A38"/>
        </w:rPr>
        <w:t xml:space="preserve">Moderate discrimination: </w:t>
      </w:r>
      <w:r>
        <w:rPr>
          <w:color w:val="1B2A38"/>
        </w:rPr>
        <w:t>A PR-AUC of 0.237 reflects the inherent difficulty of readmission prediction with limited features. This is consistent with published benchmarks on this dataset.</w:t>
      </w:r>
    </w:p>
    <w:p w14:paraId="7B99213E" w14:textId="77777777" w:rsidR="00BD40FA" w:rsidRDefault="00000000">
      <w:pPr>
        <w:pStyle w:val="ListParagraph"/>
        <w:numPr>
          <w:ilvl w:val="0"/>
          <w:numId w:val="2"/>
        </w:numPr>
        <w:spacing w:after="80" w:line="276" w:lineRule="auto"/>
      </w:pPr>
      <w:r>
        <w:rPr>
          <w:b/>
          <w:bCs/>
          <w:color w:val="1B2A38"/>
        </w:rPr>
        <w:t xml:space="preserve">Small subgroup sizes: </w:t>
      </w:r>
      <w:r>
        <w:rPr>
          <w:color w:val="1B2A38"/>
        </w:rPr>
        <w:t>Fairness conclusions for Asian (N=116) and Other (N=302) groups should be interpreted cautiously due to limited sample sizes.</w:t>
      </w:r>
    </w:p>
    <w:p w14:paraId="3C9D4DA5" w14:textId="77777777" w:rsidR="00BD40FA" w:rsidRDefault="00000000">
      <w:pPr>
        <w:pStyle w:val="Heading2"/>
      </w:pPr>
      <w:r>
        <w:t>16.2 Future Work</w:t>
      </w:r>
    </w:p>
    <w:p w14:paraId="79B89206" w14:textId="77777777" w:rsidR="00BD40FA" w:rsidRDefault="00000000">
      <w:pPr>
        <w:pStyle w:val="ListParagraph"/>
        <w:numPr>
          <w:ilvl w:val="0"/>
          <w:numId w:val="2"/>
        </w:numPr>
        <w:spacing w:after="80" w:line="276" w:lineRule="auto"/>
      </w:pPr>
      <w:r>
        <w:rPr>
          <w:b/>
          <w:bCs/>
          <w:color w:val="1B2A38"/>
        </w:rPr>
        <w:t xml:space="preserve">Deep learning: </w:t>
      </w:r>
      <w:proofErr w:type="spellStart"/>
      <w:r>
        <w:rPr>
          <w:color w:val="1B2A38"/>
        </w:rPr>
        <w:t>TabNet</w:t>
      </w:r>
      <w:proofErr w:type="spellEnd"/>
      <w:r>
        <w:rPr>
          <w:color w:val="1B2A38"/>
        </w:rPr>
        <w:t xml:space="preserve"> or other deep tabular models (Module IV regression topics) could capture higher-order interactions.</w:t>
      </w:r>
    </w:p>
    <w:p w14:paraId="38C6DD47" w14:textId="77777777" w:rsidR="00BD40FA" w:rsidRDefault="00000000">
      <w:pPr>
        <w:pStyle w:val="ListParagraph"/>
        <w:numPr>
          <w:ilvl w:val="0"/>
          <w:numId w:val="2"/>
        </w:numPr>
        <w:spacing w:after="80" w:line="276" w:lineRule="auto"/>
      </w:pPr>
      <w:r>
        <w:rPr>
          <w:b/>
          <w:bCs/>
          <w:color w:val="1B2A38"/>
        </w:rPr>
        <w:lastRenderedPageBreak/>
        <w:t xml:space="preserve">Semi-supervised learning: </w:t>
      </w:r>
      <w:r>
        <w:rPr>
          <w:color w:val="1B2A38"/>
        </w:rPr>
        <w:t>Active learning (Module VI) to label ambiguous cases could improve decision boundary precision.</w:t>
      </w:r>
    </w:p>
    <w:p w14:paraId="4023B240" w14:textId="77777777" w:rsidR="00BD40FA" w:rsidRDefault="00000000">
      <w:pPr>
        <w:pStyle w:val="ListParagraph"/>
        <w:numPr>
          <w:ilvl w:val="0"/>
          <w:numId w:val="2"/>
        </w:numPr>
        <w:spacing w:after="80" w:line="276" w:lineRule="auto"/>
      </w:pPr>
      <w:r>
        <w:rPr>
          <w:b/>
          <w:bCs/>
          <w:color w:val="1B2A38"/>
        </w:rPr>
        <w:t xml:space="preserve">Autoencoders: </w:t>
      </w:r>
      <w:r>
        <w:rPr>
          <w:color w:val="1B2A38"/>
        </w:rPr>
        <w:t>Self-supervised representation learning (Module VI) could extract latent patient embeddings before feeding into classifiers.</w:t>
      </w:r>
    </w:p>
    <w:p w14:paraId="347A29B3" w14:textId="77777777" w:rsidR="00BD40FA" w:rsidRDefault="00000000">
      <w:pPr>
        <w:pStyle w:val="ListParagraph"/>
        <w:numPr>
          <w:ilvl w:val="0"/>
          <w:numId w:val="2"/>
        </w:numPr>
        <w:spacing w:after="80" w:line="276" w:lineRule="auto"/>
      </w:pPr>
      <w:r>
        <w:rPr>
          <w:b/>
          <w:bCs/>
          <w:color w:val="1B2A38"/>
        </w:rPr>
        <w:t xml:space="preserve">Clustering: </w:t>
      </w:r>
      <w:r>
        <w:rPr>
          <w:color w:val="1B2A38"/>
        </w:rPr>
        <w:t>Unsupervised patient segmentation (Module V: K-Means, HDBSCAN) could identify natural risk archetypes.</w:t>
      </w:r>
    </w:p>
    <w:p w14:paraId="4D9E99CF" w14:textId="77777777" w:rsidR="00BD40FA" w:rsidRDefault="00000000">
      <w:pPr>
        <w:pStyle w:val="ListParagraph"/>
        <w:numPr>
          <w:ilvl w:val="0"/>
          <w:numId w:val="2"/>
        </w:numPr>
        <w:spacing w:after="80" w:line="276" w:lineRule="auto"/>
      </w:pPr>
      <w:r>
        <w:rPr>
          <w:b/>
          <w:bCs/>
          <w:color w:val="1B2A38"/>
        </w:rPr>
        <w:t xml:space="preserve">Causal inference: </w:t>
      </w:r>
      <w:r>
        <w:rPr>
          <w:color w:val="1B2A38"/>
        </w:rPr>
        <w:t>Moving beyond correlation to identify causal drivers of readmission (Module V special topic).</w:t>
      </w:r>
    </w:p>
    <w:p w14:paraId="587F759C" w14:textId="77777777" w:rsidR="00BD40FA" w:rsidRDefault="00000000">
      <w:pPr>
        <w:pStyle w:val="ListParagraph"/>
        <w:numPr>
          <w:ilvl w:val="0"/>
          <w:numId w:val="2"/>
        </w:numPr>
        <w:spacing w:after="80" w:line="276" w:lineRule="auto"/>
      </w:pPr>
      <w:r>
        <w:rPr>
          <w:b/>
          <w:bCs/>
          <w:color w:val="1B2A38"/>
        </w:rPr>
        <w:t xml:space="preserve">Reinforcement learning: </w:t>
      </w:r>
      <w:r>
        <w:rPr>
          <w:color w:val="1B2A38"/>
        </w:rPr>
        <w:t>Optimizing sequential discharge interventions (Module VI special topic).</w:t>
      </w:r>
    </w:p>
    <w:p w14:paraId="2CCFD297" w14:textId="77777777" w:rsidR="00BD40FA" w:rsidRDefault="00000000">
      <w:pPr>
        <w:pStyle w:val="Heading1"/>
      </w:pPr>
      <w:r>
        <w:t>17. Conclusion</w:t>
      </w:r>
    </w:p>
    <w:p w14:paraId="3BCEBA6E" w14:textId="77777777" w:rsidR="00BD40FA" w:rsidRDefault="00000000">
      <w:pPr>
        <w:spacing w:after="160" w:line="276" w:lineRule="auto"/>
      </w:pPr>
      <w:r>
        <w:rPr>
          <w:color w:val="1B2A38"/>
        </w:rPr>
        <w:t xml:space="preserve">This project delivers a complete, production-oriented machine learning pipeline for 30-day hospital readmission risk prediction. Starting from raw encounter data, we systematically cleaned and engineered features, trained and compared five supervised learning models, calibrated the winning </w:t>
      </w:r>
      <w:proofErr w:type="spellStart"/>
      <w:r>
        <w:rPr>
          <w:color w:val="1B2A38"/>
        </w:rPr>
        <w:t>LightGBM</w:t>
      </w:r>
      <w:proofErr w:type="spellEnd"/>
      <w:r>
        <w:rPr>
          <w:color w:val="1B2A38"/>
        </w:rPr>
        <w:t xml:space="preserve"> model’s probabilities, explained its predictions with SHAP, audited performance across racial subgroups, and produced operational outputs ready for care-management integration.</w:t>
      </w:r>
    </w:p>
    <w:p w14:paraId="04D2E40F" w14:textId="77777777" w:rsidR="00BD40FA" w:rsidRDefault="00000000">
      <w:pPr>
        <w:spacing w:after="160" w:line="276" w:lineRule="auto"/>
      </w:pPr>
      <w:r>
        <w:rPr>
          <w:color w:val="1B2A38"/>
        </w:rPr>
        <w:t xml:space="preserve">The </w:t>
      </w:r>
      <w:proofErr w:type="spellStart"/>
      <w:r>
        <w:rPr>
          <w:color w:val="1B2A38"/>
        </w:rPr>
        <w:t>LightGBM</w:t>
      </w:r>
      <w:proofErr w:type="spellEnd"/>
      <w:r>
        <w:rPr>
          <w:color w:val="1B2A38"/>
        </w:rPr>
        <w:t xml:space="preserve"> model achieves a 2.6× lift at the top decile—meaning that a hospital with capacity to follow up with 10% of its discharges can capture 26% of all patients who would otherwise be readmitted within 30 days. Combined with per-patient explanations and calibrated risk scores, this pipeline demonstrates that even with a challenging, imbalanced clinical dataset, a well-engineered ML system can provide meaningful operational value.</w:t>
      </w:r>
    </w:p>
    <w:p w14:paraId="2983BB9D" w14:textId="77777777" w:rsidR="00BD40FA" w:rsidRDefault="00000000">
      <w:pPr>
        <w:spacing w:after="160" w:line="276" w:lineRule="auto"/>
      </w:pPr>
      <w:r>
        <w:rPr>
          <w:color w:val="1B2A38"/>
        </w:rPr>
        <w:t>Success in this project is defined not only by classification metrics but by capturing a meaningful share of near-term readmissions within a fixed outreach capacity, and delivering explainable, calibrated risk scores suitable for operational decision-making. The pipeline demonstrates mastery of the end-to-end data science lifecycle as taught across all modules of INSY 662.</w:t>
      </w:r>
    </w:p>
    <w:sectPr w:rsidR="00BD40F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F304B" w14:textId="77777777" w:rsidR="00F14D35" w:rsidRDefault="00F14D35">
      <w:r>
        <w:separator/>
      </w:r>
    </w:p>
  </w:endnote>
  <w:endnote w:type="continuationSeparator" w:id="0">
    <w:p w14:paraId="5C8D4593" w14:textId="77777777" w:rsidR="00F14D35" w:rsidRDefault="00F14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CEA8" w14:textId="7D2EC834" w:rsidR="00BD40FA" w:rsidRPr="00A43EF2" w:rsidRDefault="00000000" w:rsidP="00A43EF2">
    <w:pPr>
      <w:pBdr>
        <w:top w:val="single" w:sz="1" w:space="4" w:color="CCCCCC"/>
      </w:pBdr>
      <w:jc w:val="center"/>
      <w:rPr>
        <w:color w:val="888888"/>
        <w:sz w:val="16"/>
        <w:szCs w:val="16"/>
      </w:rPr>
    </w:pPr>
    <w:r>
      <w:rPr>
        <w:color w:val="888888"/>
        <w:sz w:val="16"/>
        <w:szCs w:val="16"/>
      </w:rPr>
      <w:t>INSY 6</w:t>
    </w:r>
    <w:r w:rsidR="00A43EF2">
      <w:rPr>
        <w:color w:val="888888"/>
        <w:sz w:val="16"/>
        <w:szCs w:val="16"/>
      </w:rPr>
      <w:t>74</w:t>
    </w:r>
    <w:r>
      <w:rPr>
        <w:color w:val="888888"/>
        <w:sz w:val="16"/>
        <w:szCs w:val="16"/>
      </w:rPr>
      <w:t xml:space="preserve">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3A6663">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D6BBE" w14:textId="77777777" w:rsidR="00F14D35" w:rsidRDefault="00F14D35">
      <w:r>
        <w:separator/>
      </w:r>
    </w:p>
  </w:footnote>
  <w:footnote w:type="continuationSeparator" w:id="0">
    <w:p w14:paraId="7499439F" w14:textId="77777777" w:rsidR="00F14D35" w:rsidRDefault="00F14D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1591D" w14:textId="77777777" w:rsidR="00BD40FA" w:rsidRDefault="00000000">
    <w:pPr>
      <w:pBdr>
        <w:bottom w:val="single" w:sz="2" w:space="4" w:color="1A6B5C"/>
      </w:pBdr>
    </w:pPr>
    <w:r>
      <w:rPr>
        <w:i/>
        <w:iCs/>
        <w:color w:val="1A6B5C"/>
        <w:sz w:val="18"/>
        <w:szCs w:val="18"/>
      </w:rPr>
      <w:t>Readmission Risk Prediction — Full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70D4"/>
    <w:multiLevelType w:val="hybridMultilevel"/>
    <w:tmpl w:val="809685CE"/>
    <w:lvl w:ilvl="0" w:tplc="B71AFE92">
      <w:start w:val="1"/>
      <w:numFmt w:val="bullet"/>
      <w:lvlText w:val="●"/>
      <w:lvlJc w:val="left"/>
      <w:pPr>
        <w:ind w:left="720" w:hanging="360"/>
      </w:pPr>
    </w:lvl>
    <w:lvl w:ilvl="1" w:tplc="D2B28070">
      <w:start w:val="1"/>
      <w:numFmt w:val="bullet"/>
      <w:lvlText w:val="○"/>
      <w:lvlJc w:val="left"/>
      <w:pPr>
        <w:ind w:left="1440" w:hanging="360"/>
      </w:pPr>
    </w:lvl>
    <w:lvl w:ilvl="2" w:tplc="CFA68D38">
      <w:start w:val="1"/>
      <w:numFmt w:val="bullet"/>
      <w:lvlText w:val="■"/>
      <w:lvlJc w:val="left"/>
      <w:pPr>
        <w:ind w:left="2160" w:hanging="360"/>
      </w:pPr>
    </w:lvl>
    <w:lvl w:ilvl="3" w:tplc="2C80717E">
      <w:start w:val="1"/>
      <w:numFmt w:val="bullet"/>
      <w:lvlText w:val="●"/>
      <w:lvlJc w:val="left"/>
      <w:pPr>
        <w:ind w:left="2880" w:hanging="360"/>
      </w:pPr>
    </w:lvl>
    <w:lvl w:ilvl="4" w:tplc="4A400920">
      <w:start w:val="1"/>
      <w:numFmt w:val="bullet"/>
      <w:lvlText w:val="○"/>
      <w:lvlJc w:val="left"/>
      <w:pPr>
        <w:ind w:left="3600" w:hanging="360"/>
      </w:pPr>
    </w:lvl>
    <w:lvl w:ilvl="5" w:tplc="4B14B5C8">
      <w:start w:val="1"/>
      <w:numFmt w:val="bullet"/>
      <w:lvlText w:val="■"/>
      <w:lvlJc w:val="left"/>
      <w:pPr>
        <w:ind w:left="4320" w:hanging="360"/>
      </w:pPr>
    </w:lvl>
    <w:lvl w:ilvl="6" w:tplc="46FA38FE">
      <w:start w:val="1"/>
      <w:numFmt w:val="bullet"/>
      <w:lvlText w:val="●"/>
      <w:lvlJc w:val="left"/>
      <w:pPr>
        <w:ind w:left="5040" w:hanging="360"/>
      </w:pPr>
    </w:lvl>
    <w:lvl w:ilvl="7" w:tplc="EEE45902">
      <w:start w:val="1"/>
      <w:numFmt w:val="bullet"/>
      <w:lvlText w:val="●"/>
      <w:lvlJc w:val="left"/>
      <w:pPr>
        <w:ind w:left="5760" w:hanging="360"/>
      </w:pPr>
    </w:lvl>
    <w:lvl w:ilvl="8" w:tplc="FAA635B8">
      <w:start w:val="1"/>
      <w:numFmt w:val="bullet"/>
      <w:lvlText w:val="●"/>
      <w:lvlJc w:val="left"/>
      <w:pPr>
        <w:ind w:left="6480" w:hanging="360"/>
      </w:pPr>
    </w:lvl>
  </w:abstractNum>
  <w:abstractNum w:abstractNumId="1" w15:restartNumberingAfterBreak="0">
    <w:nsid w:val="0A2A117C"/>
    <w:multiLevelType w:val="hybridMultilevel"/>
    <w:tmpl w:val="E6305FCE"/>
    <w:lvl w:ilvl="0" w:tplc="B610F8F4">
      <w:start w:val="1"/>
      <w:numFmt w:val="bullet"/>
      <w:lvlText w:val="•"/>
      <w:lvlJc w:val="left"/>
      <w:pPr>
        <w:ind w:left="720" w:hanging="360"/>
      </w:pPr>
    </w:lvl>
    <w:lvl w:ilvl="1" w:tplc="6582BA8C">
      <w:numFmt w:val="decimal"/>
      <w:lvlText w:val=""/>
      <w:lvlJc w:val="left"/>
    </w:lvl>
    <w:lvl w:ilvl="2" w:tplc="0C903AFA">
      <w:numFmt w:val="decimal"/>
      <w:lvlText w:val=""/>
      <w:lvlJc w:val="left"/>
    </w:lvl>
    <w:lvl w:ilvl="3" w:tplc="DF66D3AA">
      <w:numFmt w:val="decimal"/>
      <w:lvlText w:val=""/>
      <w:lvlJc w:val="left"/>
    </w:lvl>
    <w:lvl w:ilvl="4" w:tplc="C574A162">
      <w:numFmt w:val="decimal"/>
      <w:lvlText w:val=""/>
      <w:lvlJc w:val="left"/>
    </w:lvl>
    <w:lvl w:ilvl="5" w:tplc="AD2630B0">
      <w:numFmt w:val="decimal"/>
      <w:lvlText w:val=""/>
      <w:lvlJc w:val="left"/>
    </w:lvl>
    <w:lvl w:ilvl="6" w:tplc="5992AADE">
      <w:numFmt w:val="decimal"/>
      <w:lvlText w:val=""/>
      <w:lvlJc w:val="left"/>
    </w:lvl>
    <w:lvl w:ilvl="7" w:tplc="B83EB42C">
      <w:numFmt w:val="decimal"/>
      <w:lvlText w:val=""/>
      <w:lvlJc w:val="left"/>
    </w:lvl>
    <w:lvl w:ilvl="8" w:tplc="91A046C0">
      <w:numFmt w:val="decimal"/>
      <w:lvlText w:val=""/>
      <w:lvlJc w:val="left"/>
    </w:lvl>
  </w:abstractNum>
  <w:abstractNum w:abstractNumId="2" w15:restartNumberingAfterBreak="0">
    <w:nsid w:val="0B155706"/>
    <w:multiLevelType w:val="hybridMultilevel"/>
    <w:tmpl w:val="965E1CE6"/>
    <w:lvl w:ilvl="0" w:tplc="03145FAA">
      <w:start w:val="1"/>
      <w:numFmt w:val="decimal"/>
      <w:lvlText w:val="%1."/>
      <w:lvlJc w:val="left"/>
      <w:pPr>
        <w:ind w:left="720" w:hanging="360"/>
      </w:pPr>
    </w:lvl>
    <w:lvl w:ilvl="1" w:tplc="7BDAFABA">
      <w:numFmt w:val="decimal"/>
      <w:lvlText w:val=""/>
      <w:lvlJc w:val="left"/>
    </w:lvl>
    <w:lvl w:ilvl="2" w:tplc="3768DBCA">
      <w:numFmt w:val="decimal"/>
      <w:lvlText w:val=""/>
      <w:lvlJc w:val="left"/>
    </w:lvl>
    <w:lvl w:ilvl="3" w:tplc="87E047BE">
      <w:numFmt w:val="decimal"/>
      <w:lvlText w:val=""/>
      <w:lvlJc w:val="left"/>
    </w:lvl>
    <w:lvl w:ilvl="4" w:tplc="BD40CF92">
      <w:numFmt w:val="decimal"/>
      <w:lvlText w:val=""/>
      <w:lvlJc w:val="left"/>
    </w:lvl>
    <w:lvl w:ilvl="5" w:tplc="CEC63F40">
      <w:numFmt w:val="decimal"/>
      <w:lvlText w:val=""/>
      <w:lvlJc w:val="left"/>
    </w:lvl>
    <w:lvl w:ilvl="6" w:tplc="FB08F0AE">
      <w:numFmt w:val="decimal"/>
      <w:lvlText w:val=""/>
      <w:lvlJc w:val="left"/>
    </w:lvl>
    <w:lvl w:ilvl="7" w:tplc="D5AA5CB6">
      <w:numFmt w:val="decimal"/>
      <w:lvlText w:val=""/>
      <w:lvlJc w:val="left"/>
    </w:lvl>
    <w:lvl w:ilvl="8" w:tplc="2E805B50">
      <w:numFmt w:val="decimal"/>
      <w:lvlText w:val=""/>
      <w:lvlJc w:val="left"/>
    </w:lvl>
  </w:abstractNum>
  <w:abstractNum w:abstractNumId="3" w15:restartNumberingAfterBreak="0">
    <w:nsid w:val="6C60669E"/>
    <w:multiLevelType w:val="hybridMultilevel"/>
    <w:tmpl w:val="365AA010"/>
    <w:lvl w:ilvl="0" w:tplc="28B4E4E8">
      <w:start w:val="1"/>
      <w:numFmt w:val="bullet"/>
      <w:lvlText w:val="•"/>
      <w:lvlJc w:val="left"/>
      <w:pPr>
        <w:ind w:left="720" w:hanging="360"/>
      </w:pPr>
    </w:lvl>
    <w:lvl w:ilvl="1" w:tplc="499EA268">
      <w:numFmt w:val="decimal"/>
      <w:lvlText w:val=""/>
      <w:lvlJc w:val="left"/>
    </w:lvl>
    <w:lvl w:ilvl="2" w:tplc="DC60D644">
      <w:numFmt w:val="decimal"/>
      <w:lvlText w:val=""/>
      <w:lvlJc w:val="left"/>
    </w:lvl>
    <w:lvl w:ilvl="3" w:tplc="8BBE6CBE">
      <w:numFmt w:val="decimal"/>
      <w:lvlText w:val=""/>
      <w:lvlJc w:val="left"/>
    </w:lvl>
    <w:lvl w:ilvl="4" w:tplc="10BC522E">
      <w:numFmt w:val="decimal"/>
      <w:lvlText w:val=""/>
      <w:lvlJc w:val="left"/>
    </w:lvl>
    <w:lvl w:ilvl="5" w:tplc="37C60EB6">
      <w:numFmt w:val="decimal"/>
      <w:lvlText w:val=""/>
      <w:lvlJc w:val="left"/>
    </w:lvl>
    <w:lvl w:ilvl="6" w:tplc="E0EC52D2">
      <w:numFmt w:val="decimal"/>
      <w:lvlText w:val=""/>
      <w:lvlJc w:val="left"/>
    </w:lvl>
    <w:lvl w:ilvl="7" w:tplc="98F0B074">
      <w:numFmt w:val="decimal"/>
      <w:lvlText w:val=""/>
      <w:lvlJc w:val="left"/>
    </w:lvl>
    <w:lvl w:ilvl="8" w:tplc="08C60710">
      <w:numFmt w:val="decimal"/>
      <w:lvlText w:val=""/>
      <w:lvlJc w:val="left"/>
    </w:lvl>
  </w:abstractNum>
  <w:num w:numId="1" w16cid:durableId="867572184">
    <w:abstractNumId w:val="0"/>
    <w:lvlOverride w:ilvl="0">
      <w:startOverride w:val="1"/>
    </w:lvlOverride>
  </w:num>
  <w:num w:numId="2" w16cid:durableId="197139932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0FA"/>
    <w:rsid w:val="003A6663"/>
    <w:rsid w:val="00A43EF2"/>
    <w:rsid w:val="00BD40FA"/>
    <w:rsid w:val="00C02279"/>
    <w:rsid w:val="00E36FFF"/>
    <w:rsid w:val="00E71F34"/>
    <w:rsid w:val="00F14D3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5D78FF3"/>
  <w15:docId w15:val="{D1A46260-0F2A-4840-A4BA-669238A0B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6B5C"/>
      <w:sz w:val="36"/>
      <w:szCs w:val="36"/>
    </w:rPr>
  </w:style>
  <w:style w:type="paragraph" w:styleId="Heading2">
    <w:name w:val="heading 2"/>
    <w:uiPriority w:val="9"/>
    <w:unhideWhenUsed/>
    <w:qFormat/>
    <w:pPr>
      <w:spacing w:before="280" w:after="160"/>
      <w:outlineLvl w:val="1"/>
    </w:pPr>
    <w:rPr>
      <w:b/>
      <w:bCs/>
      <w:color w:val="1B2A38"/>
      <w:sz w:val="28"/>
      <w:szCs w:val="28"/>
    </w:rPr>
  </w:style>
  <w:style w:type="paragraph" w:styleId="Heading3">
    <w:name w:val="heading 3"/>
    <w:uiPriority w:val="9"/>
    <w:semiHidden/>
    <w:unhideWhenUsed/>
    <w:qFormat/>
    <w:pPr>
      <w:spacing w:before="200" w:after="120"/>
      <w:outlineLvl w:val="2"/>
    </w:pPr>
    <w:rPr>
      <w:b/>
      <w:bCs/>
      <w:color w:val="1A6B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43EF2"/>
    <w:pPr>
      <w:tabs>
        <w:tab w:val="center" w:pos="4680"/>
        <w:tab w:val="right" w:pos="9360"/>
      </w:tabs>
    </w:pPr>
  </w:style>
  <w:style w:type="character" w:customStyle="1" w:styleId="HeaderChar">
    <w:name w:val="Header Char"/>
    <w:basedOn w:val="DefaultParagraphFont"/>
    <w:link w:val="Header"/>
    <w:uiPriority w:val="99"/>
    <w:rsid w:val="00A43EF2"/>
  </w:style>
  <w:style w:type="paragraph" w:styleId="Footer">
    <w:name w:val="footer"/>
    <w:basedOn w:val="Normal"/>
    <w:link w:val="FooterChar"/>
    <w:uiPriority w:val="99"/>
    <w:unhideWhenUsed/>
    <w:rsid w:val="00A43EF2"/>
    <w:pPr>
      <w:tabs>
        <w:tab w:val="center" w:pos="4680"/>
        <w:tab w:val="right" w:pos="9360"/>
      </w:tabs>
    </w:pPr>
  </w:style>
  <w:style w:type="character" w:customStyle="1" w:styleId="FooterChar">
    <w:name w:val="Footer Char"/>
    <w:basedOn w:val="DefaultParagraphFont"/>
    <w:link w:val="Footer"/>
    <w:uiPriority w:val="99"/>
    <w:rsid w:val="00A43E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3107</Words>
  <Characters>17711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Feroz Khan</cp:lastModifiedBy>
  <cp:revision>4</cp:revision>
  <dcterms:created xsi:type="dcterms:W3CDTF">2026-02-25T16:46:00Z</dcterms:created>
  <dcterms:modified xsi:type="dcterms:W3CDTF">2026-02-25T17:09:00Z</dcterms:modified>
</cp:coreProperties>
</file>