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API文档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1.Everything about your Pets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1.1接口路径：/pet/{petId}/uploadImage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petId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additionalMetadata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formData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file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file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formData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1.2接口路径：/pet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category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/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category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category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photoUrls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array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tags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array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string(可选参数：available,pending,sold)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1.3接口路径：/pet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请求方式：put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category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/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category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category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photoUrls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array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tags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array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string(可选参数：available,pending,sold)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1.4接口路径：/pet/findByStatus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array(可选参数：available,pending,sold)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query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1.5接口路径：/pet/findByTags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tags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array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query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1.6接口路径：/pet/{petId}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petId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1.7接口路径：/pet/{petId}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petId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formData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formData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1.8接口路径：/pet/{petId}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请求方式：delete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api_key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header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petId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1.9接口路径：/store/order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petId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quantity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shipDate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string(可选参数：placed,approved,delivered)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complete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boolean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2.Access to Petstore orders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2.1接口路径：/store/order/{orderId}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orderId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2.2接口路径：/store/order/{orderId}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请求方式：delete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orderId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2.3接口路径：/store/inventory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2.4接口路径：/user/createWithArray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firstName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lastName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email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password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phone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3.Operations about user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3.1接口路径：/user/createWithList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firstName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lastName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email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password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phone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3.2接口路径：/user/{username}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3.3接口路径：/user/{username}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请求方式：put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firstName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lastName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email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password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phone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3.4接口路径：/user/{username}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请求方式：delete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path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3.5接口路径：/user/login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query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password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true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query</w:t>
            </w:r>
          </w:p>
        </w:tc>
      </w:tr>
    </w:tbl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3.6接口路径：/user/logout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请求方式：get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3.7接口路径：/user</w:t>
      </w:r>
    </w:p>
    <w:p w:rsidR="00A77427" w:rsidRDefault="007F1D13">
      <w:pPr>
        <w:ind/>
      </w:pPr>
      <w:r>
        <w:rPr>
          <w:rFonts w:ascii="KaiTi_GB2312" w:eastAsia="KaiTi_GB2312" w:hAnsi="KaiTi_GB2312" w:cs="KaiTi_GB2312"/>
          <w:sz w:val="40"/>
          <w:szCs w:val="40"/>
        </w:rPr>
        <w:t>请求方式：post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参数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类型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是否必填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传参方式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firstName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lastName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email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password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phone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string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userStatus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integer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false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body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2020-04-07T13:23:16Z</dcterms:created>
  <dcterms:modified xsi:type="dcterms:W3CDTF">2020-04-07T13:23:16Z</dcterms:modified>
</cp:coreProperties>
</file>