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  <w:b/>
          <w:bCs/>
        </w:rPr>
        <w:t xml:space="preserve">El punto ciego</w:t>
      </w:r>
    </w:p>
    <w:p>
      <w:pPr>
        <w:spacing w:after="200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Guion por diapositiva · Congreso CREA Región Chaco Santiagueño 2026 · Fernando Preumayr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Duración total: 39 minutos de exposición, más 1 de margen. Los textos entre corchetes son indicaciones para vos (pausas, interacción) y no se leen.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3626"/>
      </w:tblGrid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Bloque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Láminas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Minutos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1. Apertura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1-2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0:00-4:00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2. El punto ciego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3-5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4:00-8:15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3. Radiografía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6-11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8:15-15:15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4. Tres vulnerabilidades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12-15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15:15-21:00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5. Pregunta por pregunta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16-19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21:00-27:30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6. Qué hacemos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20-23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27:30-34:00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7. Cierre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24-28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34:00-39:00</w:t>
            </w:r>
          </w:p>
        </w:tc>
      </w:tr>
    </w:tbl>
    <w:p>
      <w:pPr>
        <w:spacing w:after="200" w:before="2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Tres reglas de cadencia: cada número se dice una sola vez; cada bloque abre con una escena y cierra con una frase corta; hay cuatro pausas reales (láminas 2, 11, 13 y 24): contá hasta cuatro en silencio.</w:t>
      </w:r>
    </w:p>
    <w:p>
      <w:pPr>
        <w:pStyle w:val="Heading1"/>
        <w:keepNext/>
        <w:pageBreakBefore/>
        <w:spacing w:after="6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Lámina 1 · Portada</w:t>
      </w:r>
    </w:p>
    <w:p>
      <w:pPr>
        <w:keepNext/>
        <w:pBdr>
          <w:bottom w:val="single" w:color="1F3A5F" w:sz="6" w:space="2"/>
        </w:pBdr>
        <w:spacing w:after="120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⏱ 1:30 | acumulado 1:30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Buenas tardes. Gracias a CREA por la invitación y gracias a las 18 empresas que nos abrieron la puerta, el cuaderno y, en algunos casos, el mate.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Vengo a hablarles de algo que todos conocemos de memoria y casi nadie mide: el punto ciego.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No es una metáfora. Es, literalmente, lo que no medimos. Y en el campo, lo que no se mide, se supone.</w:t>
      </w:r>
    </w:p>
    <w:p>
      <w:pPr>
        <w:pStyle w:val="Heading1"/>
        <w:keepNext/>
        <w:spacing w:after="6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Lámina 2 · Lo que escuchamos en el campo</w:t>
      </w:r>
    </w:p>
    <w:p>
      <w:pPr>
        <w:keepNext/>
        <w:pBdr>
          <w:bottom w:val="single" w:color="1F3A5F" w:sz="6" w:space="2"/>
        </w:pBdr>
        <w:spacing w:after="120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⏱ 2:30 | acumulado 4:00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B45F06"/>
          <w:sz w:val="22"/>
          <w:szCs w:val="22"/>
        </w:rPr>
        <w:t xml:space="preserve">[INTERACCIÓN. Leer solo tres frases en voz alta.]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Quiero empezar escuchándolos a ustedes. Estas son frases que escuchamos una y otra vez, caminando la chacra y en la cocina, mate de por medio. "No se consigue buena gente." "Los que hay, no se quedan." "Hay que repetir todo."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¿Les suena familiar? Levanten la mano quienes dijeron alguna de estas esta semana. </w:t>
      </w:r>
      <w:r>
        <w:rPr>
          <w:rFonts w:ascii="Calibri" w:cs="Calibri" w:eastAsia="Calibri" w:hAnsi="Calibri"/>
          <w:i/>
          <w:iCs/>
          <w:color w:val="B45F06"/>
          <w:sz w:val="22"/>
          <w:szCs w:val="22"/>
        </w:rPr>
        <w:t xml:space="preserve">[Pausa. Mirar la sala.]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Miren cuántas manos. Y ahora una pregunta incómoda: ¿y si el problema no fuera la gente? ¿Y si fuera algo que nunca nos tomamos el trabajo de mirar?</w:t>
      </w:r>
    </w:p>
    <w:p>
      <w:pPr>
        <w:pStyle w:val="Heading1"/>
        <w:keepNext/>
        <w:spacing w:after="6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Lámina 3 · El éxito no es solo biológico o tecnológico</w:t>
      </w:r>
    </w:p>
    <w:p>
      <w:pPr>
        <w:keepNext/>
        <w:pBdr>
          <w:bottom w:val="single" w:color="1F3A5F" w:sz="6" w:space="2"/>
        </w:pBdr>
        <w:spacing w:after="120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⏱ 2:30 | acumulado 6:30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Los que trabajamos en el agro sabemos medir: hectáreas, rinde, adopción de tecnología, fierros. Hay una curva de inversión que sube y sube.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Pero hay otra curva, la de la capacidad de las personas que operan todo eso, que sube mucho más despacio.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La brecha entre las dos curvas es el punto ciego. Invertimos en lo que se ve y se factura; lo otro lo damos por hecho.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Una inversión sin gente capaz que la opere es plata inmovilizada. Ahí se rompe el sistema.</w:t>
      </w:r>
    </w:p>
    <w:p>
      <w:pPr>
        <w:pStyle w:val="Heading1"/>
        <w:keepNext/>
        <w:spacing w:after="6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Lámina 4 · Nuestro modelo</w:t>
      </w:r>
    </w:p>
    <w:p>
      <w:pPr>
        <w:keepNext/>
        <w:pBdr>
          <w:bottom w:val="single" w:color="1F3A5F" w:sz="6" w:space="2"/>
        </w:pBdr>
        <w:spacing w:after="120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⏱ 1:30 | acumulado 8:00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Para mirar esa brecha usamos un modelo con cuatro dimensiones.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Uno, Estructura: roles, objetivos, quién decide qué. Dos, Procesos: cómo traemos gente y cómo se guarda lo que sabemos. Tres, Desarrollo: liderazgo, capacitación, delegación. Cuatro, Proyección y cultura: retención, incentivos, reconocimiento.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Cuatro ventanas, un mismo instrumento para todas.</w:t>
      </w:r>
    </w:p>
    <w:p>
      <w:pPr>
        <w:pStyle w:val="Heading1"/>
        <w:keepNext/>
        <w:spacing w:after="6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Lámina 5 · El estudio</w:t>
      </w:r>
    </w:p>
    <w:p>
      <w:pPr>
        <w:keepNext/>
        <w:pBdr>
          <w:bottom w:val="single" w:color="1F3A5F" w:sz="6" w:space="2"/>
        </w:pBdr>
        <w:spacing w:after="120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⏱ 0:15 | acumulado 8:15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Se lo aplicamos a 18 empresas, de distintas actividades y escalas, con confidencialidad absoluta. Los datos son reales.</w:t>
      </w:r>
    </w:p>
    <w:p>
      <w:pPr>
        <w:pStyle w:val="Heading1"/>
        <w:keepNext/>
        <w:spacing w:after="6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Lámina 6 · Las 18, de punta a punta</w:t>
      </w:r>
    </w:p>
    <w:p>
      <w:pPr>
        <w:keepNext/>
        <w:pBdr>
          <w:bottom w:val="single" w:color="1F3A5F" w:sz="6" w:space="2"/>
        </w:pBdr>
        <w:spacing w:after="120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⏱ 1:15 | acumulado 9:30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Acá están las 18, de punta a punta, en una escala de 1 a 5. Van de 1,7 a 3,8.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Fíjense que no hay un tipo de empresa que gane: hay ganaderas abajo y arriba, agrícolas abajo y arriba.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Ninguna llegó abajo por descuido ni arriba por suerte. Guarden esa frase, porque vuelve al final.</w:t>
      </w:r>
    </w:p>
    <w:p>
      <w:pPr>
        <w:pStyle w:val="Heading1"/>
        <w:keepNext/>
        <w:spacing w:after="6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Lámina 7 · La radiografía de 18 empresas</w:t>
      </w:r>
    </w:p>
    <w:p>
      <w:pPr>
        <w:keepNext/>
        <w:pBdr>
          <w:bottom w:val="single" w:color="1F3A5F" w:sz="6" w:space="2"/>
        </w:pBdr>
        <w:spacing w:after="120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⏱ 1:45 | acumulado 11:15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Si las agrupamos: 22% reactivo, donde manda la urgencia. 67% definido: hay un piso, pero falta diseño. Y 11% estratégico, donde la gestión de personas está integrada al negocio y se decide con datos.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Dicho de otro modo: 16 de las 18, nueve de cada diez, todavía no diseñaron su forma de gestionar personas.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B45F06"/>
          <w:sz w:val="22"/>
          <w:szCs w:val="22"/>
        </w:rPr>
        <w:t xml:space="preserve">[Cuidado: el 89% es la suma de reactivo + definido (22% + 67%). Si preguntan, esa es la cuenta.]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B45F06"/>
          <w:sz w:val="22"/>
          <w:szCs w:val="22"/>
        </w:rPr>
        <w:t xml:space="preserve">[PENDIENTE: confirmar con la planilla cómo se definen los niveles. Los colores de la lámina 6 dan 4, 9 y 5, y esta lámina dice 4, 12 y 2.]</w:t>
      </w:r>
    </w:p>
    <w:p>
      <w:pPr>
        <w:pStyle w:val="Heading1"/>
        <w:keepNext/>
        <w:spacing w:after="6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Lámina 8 · Escala no es madurez</w:t>
      </w:r>
    </w:p>
    <w:p>
      <w:pPr>
        <w:keepNext/>
        <w:pBdr>
          <w:bottom w:val="single" w:color="1F3A5F" w:sz="6" w:space="2"/>
        </w:pBdr>
        <w:spacing w:after="120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⏱ 1:30 | acumulado 12:45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B45F06"/>
          <w:sz w:val="22"/>
          <w:szCs w:val="22"/>
        </w:rPr>
        <w:t xml:space="preserve">[Lámina nueva. Dejar los números en pantalla y mirar a la sala.]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Hay algo que no grita en los promedios y conviene mirar de cerca. Las dos empresas mejor puntuadas, 3,7 y 3,8, son agrícolas de 3 y 8 colaboradores: chicas.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En cambio, las cuatro de 75 colaboradores están entre 3,0 y 3,4. Tienen piso, pero ninguna llegó arriba. Y en el otro extremo, cuatro de las cinco ganaderas están por debajo de 3,0, y ninguna pasa de ese número.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Escala no es madurez. El tamaño te da un piso, no te da diseño.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B45F06"/>
          <w:sz w:val="22"/>
          <w:szCs w:val="22"/>
        </w:rPr>
        <w:t xml:space="preserve">[Si preguntan: son grupos de 5 o 6 empresas; sirven para conversar, no para sacar una regla.]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¿Cuántos de nosotros pensamos alguna vez que crecer iba a ordenar la casa solo?</w:t>
      </w:r>
    </w:p>
    <w:p>
      <w:pPr>
        <w:pStyle w:val="Heading1"/>
        <w:keepNext/>
        <w:spacing w:after="6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Lámina 9 · El desnivel estructural</w:t>
      </w:r>
    </w:p>
    <w:p>
      <w:pPr>
        <w:keepNext/>
        <w:pBdr>
          <w:bottom w:val="single" w:color="1F3A5F" w:sz="6" w:space="2"/>
        </w:pBdr>
        <w:spacing w:after="120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⏱ 0:45 | acumulado 13:30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Casi toda la nube se junta de un lado: cultura fuerte, estructura débil.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12 de las 18 tienen la cultura como su punto más fuerte, y 12 de las 18, la estructura como su mayor brecha.</w:t>
      </w:r>
    </w:p>
    <w:p>
      <w:pPr>
        <w:pStyle w:val="Heading1"/>
        <w:keepNext/>
        <w:spacing w:after="6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Lámina 10 · Lo que se ve y lo que sostiene</w:t>
      </w:r>
    </w:p>
    <w:p>
      <w:pPr>
        <w:keepNext/>
        <w:pBdr>
          <w:bottom w:val="single" w:color="1F3A5F" w:sz="6" w:space="2"/>
        </w:pBdr>
        <w:spacing w:after="120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⏱ 1:00 | acumulado 14:30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4,3 en mística e intención. 2,8 en estructura y procesos.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Lo vimos lote por lote: la cultura corre más rápido que la estructura que la sostiene.</w:t>
      </w:r>
    </w:p>
    <w:p>
      <w:pPr>
        <w:pStyle w:val="Heading1"/>
        <w:keepNext/>
        <w:spacing w:after="6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Lámina 11 · La mística no escala</w:t>
      </w:r>
    </w:p>
    <w:p>
      <w:pPr>
        <w:keepNext/>
        <w:pBdr>
          <w:bottom w:val="single" w:color="1F3A5F" w:sz="6" w:space="2"/>
        </w:pBdr>
        <w:spacing w:after="120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⏱ 0:45 | acumulado 15:15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B45F06"/>
          <w:sz w:val="22"/>
          <w:szCs w:val="22"/>
        </w:rPr>
        <w:t xml:space="preserve">[PAUSA. Pasar la lámina y callarse cuatro segundos. Después, despacio.]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La mística no escala. Y la biología no es un sistema.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B45F06"/>
          <w:sz w:val="22"/>
          <w:szCs w:val="22"/>
        </w:rPr>
        <w:t xml:space="preserve">[Otros cuatro segundos. No explicar la frase.]</w:t>
      </w:r>
    </w:p>
    <w:p>
      <w:pPr>
        <w:pStyle w:val="Heading1"/>
        <w:keepNext/>
        <w:spacing w:after="6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Lámina 12 · Segunda parte: tres patrones</w:t>
      </w:r>
    </w:p>
    <w:p>
      <w:pPr>
        <w:keepNext/>
        <w:pBdr>
          <w:bottom w:val="single" w:color="1F3A5F" w:sz="6" w:space="2"/>
        </w:pBdr>
        <w:spacing w:after="120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⏱ 0:30 | acumulado 15:45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Bajemos a lo concreto. Encontramos tres patrones. Cada uno tiene un síntoma que se ve en la operación y una causa que no se ve, que está en el diseño.</w:t>
      </w:r>
    </w:p>
    <w:p>
      <w:pPr>
        <w:pStyle w:val="Heading1"/>
        <w:keepNext/>
        <w:spacing w:after="6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Lámina 13 · Vulnerabilidad 01: Dueño-dependencia</w:t>
      </w:r>
    </w:p>
    <w:p>
      <w:pPr>
        <w:keepNext/>
        <w:pBdr>
          <w:bottom w:val="single" w:color="1F3A5F" w:sz="6" w:space="2"/>
        </w:pBdr>
        <w:spacing w:after="120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⏱ 1:45 | acumulado 17:30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Dueño-dependencia: 6 de 18, un tercio. Es la empresa de una sola cabeza. Todo pasa por una mente: quién va al potrero, qué se compra, a quién se llama.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Mientras el patrón está, funciona de maravilla. El día que se enferma o se va de viaje, tambalea.</w:t>
      </w:r>
    </w:p>
    <w:p>
      <w:pPr>
        <w:spacing w:after="120" w:line="300"/>
      </w:pPr>
      <w:r>
        <w:rPr>
          <w:rFonts w:ascii="Calibri" w:cs="Calibri" w:eastAsia="Calibri" w:hAnsi="Calibri"/>
          <w:i/>
          <w:iCs/>
          <w:color w:val="B45F06"/>
          <w:sz w:val="22"/>
          <w:szCs w:val="22"/>
        </w:rPr>
        <w:t xml:space="preserve">[INTERACCIÓN, pausa.]</w:t>
      </w:r>
      <w:r>
        <w:rPr>
          <w:rFonts w:ascii="Calibri" w:cs="Calibri" w:eastAsia="Calibri" w:hAnsi="Calibri"/>
          <w:sz w:val="26"/>
          <w:szCs w:val="26"/>
        </w:rPr>
        <w:t xml:space="preserve"> ¿Cuánto depende hoy de que usted esté presente? ¿Cuántas decisiones esperan su llamado? ¿Qué pasa la semana que no atiende el teléfono?</w:t>
      </w:r>
    </w:p>
    <w:p>
      <w:pPr>
        <w:pStyle w:val="Heading1"/>
        <w:keepNext/>
        <w:spacing w:after="6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Lámina 14 · Vulnerabilidad 02: Entrenar para el vecino</w:t>
      </w:r>
    </w:p>
    <w:p>
      <w:pPr>
        <w:keepNext/>
        <w:pBdr>
          <w:bottom w:val="single" w:color="1F3A5F" w:sz="6" w:space="2"/>
        </w:pBdr>
        <w:spacing w:after="120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⏱ 1:45 | acumulado 19:15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Entrenar para el vecino: 4 de 18, el 22%. Capacitamos, invertimos, mandamos a hacer el curso, y no ofrecemos un horizonte.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El resultado: formamos al mejor tractorista para que se lo lleve el campo de al lado.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Capacitación alta, retención baja. Es sembrar sin cosechar.</w:t>
      </w:r>
    </w:p>
    <w:p>
      <w:pPr>
        <w:pStyle w:val="Heading1"/>
        <w:keepNext/>
        <w:spacing w:after="6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Lámina 15 · Vulnerabilidad 03: Incentivos a ciegas</w:t>
      </w:r>
    </w:p>
    <w:p>
      <w:pPr>
        <w:keepNext/>
        <w:pBdr>
          <w:bottom w:val="single" w:color="1F3A5F" w:sz="6" w:space="2"/>
        </w:pBdr>
        <w:spacing w:after="120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⏱ 1:45 | acumulado 21:00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Incentivos a ciegas: otros 4 de 18, el 22%. Premiamos resultados que no medimos. Entonces, ¿qué premio es? Un derecho adquirido.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El que cobra el bono porque "siempre se cobró" no está motivado: está acostumbrado.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Operación prolija, rumbo difuso.</w:t>
      </w:r>
    </w:p>
    <w:p>
      <w:pPr>
        <w:pStyle w:val="Heading1"/>
        <w:keepNext/>
        <w:spacing w:after="6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Lámina 16 · Tercera parte: pregunta por pregunta</w:t>
      </w:r>
    </w:p>
    <w:p>
      <w:pPr>
        <w:keepNext/>
        <w:pBdr>
          <w:bottom w:val="single" w:color="1F3A5F" w:sz="6" w:space="2"/>
        </w:pBdr>
        <w:spacing w:after="120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⏱ 0:30 | acumulado 21:30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Hasta acá miramos dimensiones. Ahora vamos pregunta por pregunta y nos comparamos con 96 diagnósticos del resto del país: qué nos distingue y por dónde empezar.</w:t>
      </w:r>
    </w:p>
    <w:p>
      <w:pPr>
        <w:pStyle w:val="Heading1"/>
        <w:keepNext/>
        <w:spacing w:after="6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Lámina 17 · Mismo corazón, otra conducción</w:t>
      </w:r>
    </w:p>
    <w:p>
      <w:pPr>
        <w:keepNext/>
        <w:pBdr>
          <w:bottom w:val="single" w:color="1F3A5F" w:sz="6" w:space="2"/>
        </w:pBdr>
        <w:spacing w:after="120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⏱ 2:00 | acumulado 23:30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Dos mensajes. Primero, la noticia buena: en cultura, estrategia, coordinación y capacitación somos iguales al resto. La voluntad está.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Segundo, en las seis de abajo estamos por debajo: medir, evaluar, documentar, comunicar, dar horizonte.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Fíjense algo: todas dependen de quien conduce. No de la gente ni del clima. De quien conduce.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Y productividad por puesto es el valor más bajo de toda la base nacional.</w:t>
      </w:r>
    </w:p>
    <w:p>
      <w:pPr>
        <w:pStyle w:val="Heading1"/>
        <w:keepNext/>
        <w:spacing w:after="6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Lámina 18 · El eslabón que falta: el mando medio</w:t>
      </w:r>
    </w:p>
    <w:p>
      <w:pPr>
        <w:keepNext/>
        <w:pBdr>
          <w:bottom w:val="single" w:color="1F3A5F" w:sz="6" w:space="2"/>
        </w:pBdr>
        <w:spacing w:after="120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⏱ 2:30 | acumulado 26:00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Tres datos, un mismo lugar: el mando medio. El encargado, el capataz, el que está en el frente de batalla.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0 de 18 llega a un liderazgo de mandos medios de nivel 4 o 5. En el resto del país, 4 de cada 10.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13 de 18 no sabe qué rinde cada puesto.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Solo 3 de 18 le muestra a su mejor gente un futuro en la empresa. En el resto del país, casi la mitad.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Y un dato del país que lo explica todo: cuando el liderazgo es fuerte, el 77% conecta a su gente con la estrategia. Cuando es débil, el 19%.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Ahí se corta la cadena entre lo que el dueño quiere y lo que pasa en el lote.</w:t>
      </w:r>
    </w:p>
    <w:p>
      <w:pPr>
        <w:pStyle w:val="Heading1"/>
        <w:keepNext/>
        <w:spacing w:after="6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Lámina 19 · Acá la cultura no es discurso</w:t>
      </w:r>
    </w:p>
    <w:p>
      <w:pPr>
        <w:keepNext/>
        <w:pBdr>
          <w:bottom w:val="single" w:color="1F3A5F" w:sz="6" w:space="2"/>
        </w:pBdr>
        <w:spacing w:after="120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⏱ 1:30 | acumulado 27:30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Pero no todo es brecha. Entre los que reconocen comunicar poco con su equipo, en el resto del país la mitad igual dice tener una cultura fuerte: es cultura de discurso.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Acá, 1 de 6. Cuando alguien dice "mi cultura está viva", hay conversación diaria que lo respalda.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Es el mejor punto de apoyo para construir la estructura que falta.</w:t>
      </w:r>
    </w:p>
    <w:p>
      <w:pPr>
        <w:pStyle w:val="Heading1"/>
        <w:keepNext/>
        <w:spacing w:after="6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Lámina 20 · Por dónde empezar: cinco palancas</w:t>
      </w:r>
    </w:p>
    <w:p>
      <w:pPr>
        <w:keepNext/>
        <w:pBdr>
          <w:bottom w:val="single" w:color="1F3A5F" w:sz="6" w:space="2"/>
        </w:pBdr>
        <w:spacing w:after="120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⏱ 2:30 | acumulado 30:00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¿Por dónde empezamos? Cinco palancas, ordenadas por cuánto arrastran al resto. Ninguna requiere presupuesto. Todas requieren decisión.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Uno: una reunión corta y fija por semana. Cómo venimos y qué sigue.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Dos: un responsable de la gente, con nombre y horas, aunque sea part-time.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Tres: reconocer en voz alta lo que salió bien, cuando pasa.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Cuatro: la tarea que se rompe cuando falta el dueño, escrita en media página.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Cinco: una conversación por año con cada uno de los mejores sobre hacia dónde puede crecer.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B45F06"/>
          <w:sz w:val="22"/>
          <w:szCs w:val="22"/>
        </w:rPr>
        <w:t xml:space="preserve">[La 2 y la 4 reaparecen en la hoja de ruta.]</w:t>
      </w:r>
    </w:p>
    <w:p>
      <w:pPr>
        <w:pStyle w:val="Heading1"/>
        <w:keepNext/>
        <w:spacing w:after="6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Lámina 21 · La solución no es burocracia</w:t>
      </w:r>
    </w:p>
    <w:p>
      <w:pPr>
        <w:keepNext/>
        <w:pBdr>
          <w:bottom w:val="single" w:color="1F3A5F" w:sz="6" w:space="2"/>
        </w:pBdr>
        <w:spacing w:after="120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⏱ 1:00 | acumulado 31:00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B45F06"/>
          <w:sz w:val="22"/>
          <w:szCs w:val="22"/>
        </w:rPr>
        <w:t xml:space="preserve">[Ir ágil: esta y la siguiente suman 2 minutos.]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Acá aparece el miedo natural: "si profesionalizo, lleno el campo de planillas". No.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La sobredocumentación en equipos chicos se abandona a las pocas semanas. Antes de profesionalizar, hay que simplificar. No copiemos la estructura de una empresa grande.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La solución no es burocracia. Es diseño intencional.</w:t>
      </w:r>
    </w:p>
    <w:p>
      <w:pPr>
        <w:pStyle w:val="Heading1"/>
        <w:keepNext/>
        <w:spacing w:after="6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Lámina 22 · Dos planos: persona y sistema</w:t>
      </w:r>
    </w:p>
    <w:p>
      <w:pPr>
        <w:keepNext/>
        <w:pBdr>
          <w:bottom w:val="single" w:color="1F3A5F" w:sz="6" w:space="2"/>
        </w:pBdr>
        <w:spacing w:after="120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⏱ 1:00 | acumulado 32:00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El avance real corre en dos planos.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Plano persona: se ejercita, no se instala. Es una habilidad, un hábito del líder. La señal: lo hace hoy con naturalidad, aunque meses atrás le costaba.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Plano sistema: se pone por escrito, no se supone. La señal: la práctica sigue funcionando aunque quien la sostenía esté de vacaciones o enfermo.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Persona y sistema avanzan juntos.</w:t>
      </w:r>
    </w:p>
    <w:p>
      <w:pPr>
        <w:pStyle w:val="Heading1"/>
        <w:keepNext/>
        <w:spacing w:after="6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Lámina 23 · La hoja de ruta</w:t>
      </w:r>
    </w:p>
    <w:p>
      <w:pPr>
        <w:keepNext/>
        <w:pBdr>
          <w:bottom w:val="single" w:color="1F3A5F" w:sz="6" w:space="2"/>
        </w:pBdr>
        <w:spacing w:after="120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⏱ 2:00 | acumulado 34:00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La hoja de ruta para equipos de 5 a 15 personas: tres acciones para el lunes.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Estructura: designar un responsable, aunque sea part-time. Sin un doliente, la gestión queda enterrada bajo la urgencia de la cosecha. Dibujá el organigrama real de hoy, no el ideal de un libro.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Procesos: documentar la supervivencia. No hagas un manual entero: la única tarea que se rompe cuando el dueño no está, en media página.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Desarrollo: delegar con criterio escrito. No delegás la tarea, delegás el criterio. Elegí una decisión cotidiana y escribí tres criterios objetivos para resolverla.</w:t>
      </w:r>
    </w:p>
    <w:p>
      <w:pPr>
        <w:pStyle w:val="Heading1"/>
        <w:keepNext/>
        <w:spacing w:after="6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Lámina 24 · Las preguntas que deja el diagnóstico</w:t>
      </w:r>
    </w:p>
    <w:p>
      <w:pPr>
        <w:keepNext/>
        <w:pBdr>
          <w:bottom w:val="single" w:color="1F3A5F" w:sz="6" w:space="2"/>
        </w:pBdr>
        <w:spacing w:after="120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⏱ 2:00 | acumulado 36:00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B45F06"/>
          <w:sz w:val="22"/>
          <w:szCs w:val="22"/>
        </w:rPr>
        <w:t xml:space="preserve">[SILENCIO. Contar cuatro segundos después de cada pregunta.]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Les dejo tres preguntas. No las contesten en voz alta; contéstenlas adentro.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¿Cuánto de lo que hoy funciona en el campo depende exclusivamente de tu presencia física? </w:t>
      </w:r>
      <w:r>
        <w:rPr>
          <w:rFonts w:ascii="Calibri" w:cs="Calibri" w:eastAsia="Calibri" w:hAnsi="Calibri"/>
          <w:i/>
          <w:iCs/>
          <w:color w:val="B45F06"/>
          <w:sz w:val="22"/>
          <w:szCs w:val="22"/>
        </w:rPr>
        <w:t xml:space="preserve">[Cuatro.]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Si tuvieras que ausentarte un mes de imprevisto, ¿qué decisiones críticas quedarían sin tomar? </w:t>
      </w:r>
      <w:r>
        <w:rPr>
          <w:rFonts w:ascii="Calibri" w:cs="Calibri" w:eastAsia="Calibri" w:hAnsi="Calibri"/>
          <w:i/>
          <w:iCs/>
          <w:color w:val="B45F06"/>
          <w:sz w:val="22"/>
          <w:szCs w:val="22"/>
        </w:rPr>
        <w:t xml:space="preserve">[Cuatro.]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¿Los valores que sostienen hoy a tu empresa sobrevivirían intactos a un recambio generacional? </w:t>
      </w:r>
      <w:r>
        <w:rPr>
          <w:rFonts w:ascii="Calibri" w:cs="Calibri" w:eastAsia="Calibri" w:hAnsi="Calibri"/>
          <w:i/>
          <w:iCs/>
          <w:color w:val="B45F06"/>
          <w:sz w:val="22"/>
          <w:szCs w:val="22"/>
        </w:rPr>
        <w:t xml:space="preserve">[Cuatro.]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B45F06"/>
          <w:sz w:val="22"/>
          <w:szCs w:val="22"/>
        </w:rPr>
        <w:t xml:space="preserve">[Acá abrir a preguntas del público, 2 minutos si hay. Si no hay, seguir.]</w:t>
      </w:r>
    </w:p>
    <w:p>
      <w:pPr>
        <w:pStyle w:val="Heading1"/>
        <w:keepNext/>
        <w:spacing w:after="6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Lámina 25 · Lo que esto nos dice</w:t>
      </w:r>
    </w:p>
    <w:p>
      <w:pPr>
        <w:keepNext/>
        <w:pBdr>
          <w:bottom w:val="single" w:color="1F3A5F" w:sz="6" w:space="2"/>
        </w:pBdr>
        <w:spacing w:after="120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⏱ 0:45 | acumulado 36:45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B45F06"/>
          <w:sz w:val="22"/>
          <w:szCs w:val="22"/>
        </w:rPr>
        <w:t xml:space="preserve">[Corta: va junto con la siguiente.]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Vuelvo a lo que dejé pendiente en la lámina 6: ninguna llegó abajo por descuido, y ninguna llegó arriba por suerte.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Las dos que hoy están arriba tienen la misma informalidad de origen que las demás, pero en algún momento alguien se sentó a diseñar un proceso en vez de dejar que "se diera así".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Y las 12 que están en el medio están justo en el punto donde ese salto se puede decidir a conciencia.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No alcanza con sostener lo que ya funciona: hay que hacer crecer la parte que nadie diseñó.</w:t>
      </w:r>
    </w:p>
    <w:p>
      <w:pPr>
        <w:pStyle w:val="Heading1"/>
        <w:keepNext/>
        <w:spacing w:after="6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Lámina 26 · La frase de cierre</w:t>
      </w:r>
    </w:p>
    <w:p>
      <w:pPr>
        <w:keepNext/>
        <w:pBdr>
          <w:bottom w:val="single" w:color="1F3A5F" w:sz="6" w:space="2"/>
        </w:pBdr>
        <w:spacing w:after="120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⏱ 0:45 | acumulado 37:30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B45F06"/>
          <w:sz w:val="22"/>
          <w:szCs w:val="22"/>
        </w:rPr>
        <w:t xml:space="preserve">[Leer la frase despacio. Después bajar la voz.]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"La empresa no fracasa por falta de procesos, sino por no desarrollar a las personas que los sostienen."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Tu legado no es el campo. Es el sistema que construís para operarlo.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B45F06"/>
          <w:sz w:val="22"/>
          <w:szCs w:val="22"/>
        </w:rPr>
        <w:t xml:space="preserve">[Pausa larga.]</w:t>
      </w:r>
    </w:p>
    <w:p>
      <w:pPr>
        <w:pStyle w:val="Heading1"/>
        <w:keepNext/>
        <w:spacing w:after="6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Lámina 27 · Gracias</w:t>
      </w:r>
    </w:p>
    <w:p>
      <w:pPr>
        <w:keepNext/>
        <w:pBdr>
          <w:bottom w:val="single" w:color="1F3A5F" w:sz="6" w:space="2"/>
        </w:pBdr>
        <w:spacing w:after="120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⏱ 0:30 | acumulado 38:00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Gracias. A CREA, y sobre todo a las 18 empresas que pusieron los datos, sin los cuales nada de esto existiría.</w:t>
      </w:r>
    </w:p>
    <w:p>
      <w:pPr>
        <w:pStyle w:val="Heading1"/>
        <w:keepNext/>
        <w:spacing w:after="6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Lámina 28 · Para seguir trabajándolo (QR)</w:t>
      </w:r>
    </w:p>
    <w:p>
      <w:pPr>
        <w:keepNext/>
        <w:pBdr>
          <w:bottom w:val="single" w:color="1F3A5F" w:sz="6" w:space="2"/>
        </w:pBdr>
        <w:spacing w:after="120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⏱ 1:00 | acumulado 39:00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Para seguir trabajándolo, está el Grupo Digital CREA, "Liderando personas en el agro": reuniones virtuales entre pares, facilitación de especialistas y casos reales de aplicación práctica.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Escaneen el QR y les cuentan cómo sumarse.</w:t>
      </w:r>
    </w:p>
    <w:p>
      <w:pPr>
        <w:spacing w:after="120" w:line="300"/>
      </w:pPr>
      <w:r>
        <w:rPr>
          <w:rFonts w:ascii="Calibri" w:cs="Calibri" w:eastAsia="Calibri" w:hAnsi="Calibri"/>
          <w:i/>
          <w:iCs/>
          <w:color w:val="B45F06"/>
          <w:sz w:val="22"/>
          <w:szCs w:val="22"/>
        </w:rPr>
        <w:t xml:space="preserve">[Cierre.]</w:t>
      </w:r>
      <w:r>
        <w:rPr>
          <w:rFonts w:ascii="Calibri" w:cs="Calibri" w:eastAsia="Calibri" w:hAnsi="Calibri"/>
          <w:sz w:val="26"/>
          <w:szCs w:val="26"/>
        </w:rPr>
        <w:t xml:space="preserve"> La diferencia está en la gente. ¿Preguntas?</w:t>
      </w:r>
    </w:p>
    <w:sectPr>
      <w:footerReference w:type="default" r:id="rId7"/>
      <w:pgSz w:w="11906" w:h="16838" w:orient="portrait"/>
      <w:pgMar w:top="1304" w:right="1440" w:bottom="130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La diferencia está en la gente · Página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320"/>
      <w:outlineLvl w:val="0"/>
    </w:pPr>
    <w:rPr>
      <w:rFonts w:ascii="Calibri" w:cs="Calibri" w:eastAsia="Calibri" w:hAnsi="Calibri"/>
      <w:b/>
      <w:bCs/>
      <w:sz w:val="30"/>
      <w:szCs w:val="30"/>
    </w:rPr>
  </w:style>
  <w:style w:type="paragraph" w:styleId="Title">
    <w:name w:val="Title"/>
    <w:basedOn w:val="Normal"/>
    <w:pPr>
      <w:spacing w:after="80"/>
    </w:pPr>
    <w:rPr>
      <w:rFonts w:ascii="Calibri" w:cs="Calibri" w:eastAsia="Calibri" w:hAnsi="Calibri"/>
      <w:b/>
      <w:bCs/>
      <w:color w:val="1F3A5F"/>
      <w:sz w:val="48"/>
      <w:szCs w:val="4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2026-10-04T18:55:51.859Z</dcterms:created>
  <dcterms:modified xsi:type="dcterms:W3CDTF">2026-10-04T18:55:51.869Z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