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PER LA SCUOLA / ASL (3–6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Scuola: {{SCUOLA}}</w:t>
        <w:br/>
        <w:t>Data relazione: {{DATA_RELAZIONE}}</w:t>
        <w:br/>
        <w:br/>
        <w:t>Finalità</w:t>
        <w:br/>
        <w:t>Indicazioni educative per sostenere partecipazione, comunicazione e routine.</w:t>
        <w:br/>
        <w:br/>
        <w:t>Punti di attenzione</w:t>
        <w:br/>
        <w:t>- Linguaggio e comprensione consegne</w:t>
        <w:br/>
        <w:t>- Attenzione/partecipazione</w:t>
        <w:br/>
        <w:t>- Regolazione emotiva</w:t>
        <w:br/>
        <w:br/>
        <w:t>Indicazioni operative</w:t>
        <w:br/>
        <w:t>- Consegnare in step brevi</w:t>
        <w:br/>
        <w:t>- Supporti visivi</w:t>
        <w:br/>
        <w:t>- Tempi di pausa</w:t>
        <w:br/>
        <w:br/>
        <w:t>Note per la scuola</w:t>
        <w:br/>
        <w:t>{{NOTE_CLINICHE}}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