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DI FOLLOW-UP (3–6 anni)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Scuola: {{SCUOLA}}</w:t>
        <w:br/>
        <w:t>Periodo di riferimento: {{PERIODO_FOLLOWUP}}</w:t>
        <w:br/>
        <w:t>Data relazione: {{DATA_RELAZIONE}}</w:t>
        <w:br/>
        <w:br/>
        <w:t>Motivo</w:t>
        <w:br/>
        <w:t>Monitoraggio evolutivo nel periodo considerato.</w:t>
        <w:br/>
        <w:br/>
        <w:t>Aree</w:t>
        <w:br/>
        <w:t>- Linguaggio</w:t>
        <w:br/>
        <w:t>- Sensorimotorio</w:t>
        <w:br/>
        <w:t>- Regolazione</w:t>
        <w:br/>
        <w:br/>
        <w:t>Considerazioni</w:t>
        <w:br/>
        <w:t>Evoluzione in relazione al percorso terapeutico.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