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SENSORI-MOTORIA E NEURO-PSICO-MOTORIA (3–6 anni)</w:t>
      </w:r>
    </w:p>
    <w:p/>
    <w:p>
      <w:r>
        <w:t>BIBLIOGRAFIA E RIFERIMENTI CLINICO-SCIENTIFICI</w:t>
      </w:r>
    </w:p>
    <w:p>
      <w:r>
        <w:t>{{ BIBLIOGRAFIA }}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Scuola: {{SCUOLA}}</w:t>
        <w:br/>
        <w:t>Data valutazione: {{DATA_VALUTAZIONE}}</w:t>
        <w:br/>
        <w:t>Data relazione: {{DATA_RELAZIONE}}</w:t>
        <w:br/>
        <w:br/>
        <w:t>Profilo</w:t>
        <w:br/>
        <w:t>Integrazione sensori-motoria in fase di maturazione (propriocettivo/vestibolare).</w:t>
        <w:br/>
        <w:br/>
        <w:t>Motricità e prassie</w:t>
        <w:br/>
        <w:t>Coordinazione e sequenzialità in via di consolidamento.</w:t>
        <w:br/>
        <w:br/>
        <w:t>Indicazioni</w:t>
        <w:br/>
        <w:t>Valutazione TNPEE e presa in carico integrata.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