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NEUROEVOLUTIVA INTEGRATA (3–6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Profilo integrato</w:t>
        <w:br/>
        <w:t>Maturazione disomogenea tra linguaggio, sensorialità, motricità e regolazione.</w:t>
        <w:br/>
        <w:br/>
        <w:t>Linguaggio</w:t>
        <w:br/>
        <w:t>Fragilità espressive/recettive con variabilità nella comprensione di consegne.</w:t>
        <w:br/>
        <w:br/>
        <w:t>Sensorialità e motricità</w:t>
        <w:br/>
        <w:t>Modulazione sensoriale e pianificazione motoria in via di stabilizzazione.</w:t>
        <w:br/>
        <w:br/>
        <w:t>Regolazione</w:t>
        <w:br/>
        <w:t>Autoregolazione e attenzione variabili.</w:t>
        <w:br/>
        <w:br/>
        <w:t>Indicazioni</w:t>
        <w:br/>
        <w:t>Valutazione multidisciplinare e progetto integrato.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