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NEUROPSICOLOGICA – INVIO OSPEDALIERO (6–10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Motivo dell’invio</w:t>
        <w:br/>
        <w:t>Invio per difficoltà persistenti su attenzione/funzioni esecutive con impatto su apprendimento e adattamento scolastico.</w:t>
        <w:br/>
        <w:br/>
        <w:t>Osservazione clinica</w:t>
        <w:br/>
        <w:t>Affaticabilità, discontinuità, organizzazione del lavoro variabile.</w:t>
        <w:br/>
        <w:br/>
        <w:t>Funzioni esecutive</w:t>
        <w:br/>
        <w:t>Pianificazione, flessibilità e controllo inibitorio fragili.</w:t>
        <w:br/>
        <w:br/>
        <w:t>Indicazioni</w:t>
        <w:br/>
        <w:t>Valutazione NPI ospedaliera e presa in carico integrata.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