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PER LA SCUOLA / ASL (6–10 anni)</w:t>
      </w:r>
    </w:p>
    <w:p/>
    <w:p>
      <w:r>
        <w:t>BIBLIOGRAFIA E RIFERIMENTI CLINICO-SCIENTIFICI</w:t>
      </w:r>
    </w:p>
    <w:p>
      <w:r>
        <w:t>{{ BIBLIOGRAFIA }}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Classe/Scuola: {{SCUOLA}}</w:t>
        <w:br/>
        <w:t>Data relazione: {{DATA_RELAZIONE}}</w:t>
        <w:br/>
        <w:br/>
        <w:t>Finalità</w:t>
        <w:br/>
        <w:t>Indicazioni per supportare attenzione, organizzazione e adattamento scolastico.</w:t>
        <w:br/>
        <w:br/>
        <w:t>Indicazioni operative</w:t>
        <w:br/>
        <w:t>- Suddividere compiti</w:t>
        <w:br/>
        <w:t>- Tempi aggiuntivi</w:t>
        <w:br/>
        <w:t>- Rinforzi positivi</w:t>
        <w:br/>
        <w:br/>
        <w:t>Note per la scuola</w:t>
        <w:br/>
        <w:t>{{NOTE_CLINICHE}}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