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DI FOLLOW-UP (6–10 anni)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Classe/Scuola: {{SCUOLA}}</w:t>
        <w:br/>
        <w:t>Periodo di riferimento: {{PERIODO_FOLLOWUP}}</w:t>
        <w:br/>
        <w:t>Data relazione: {{DATA_RELAZIONE}}</w:t>
        <w:br/>
        <w:br/>
        <w:t>Motivo</w:t>
        <w:br/>
        <w:t>Monitoraggio dell’andamento neuropsicologico e funzionale.</w:t>
        <w:br/>
        <w:br/>
        <w:t>Aree</w:t>
        <w:br/>
        <w:t>- Linguaggio/apprendimento</w:t>
        <w:br/>
        <w:t>- Attenzione/esecutivo</w:t>
        <w:br/>
        <w:t>- Sensorimotorio</w:t>
        <w:br/>
        <w:br/>
        <w:t>Indicazioni</w:t>
        <w:br/>
        <w:t>Eventuale rimodulazione del progetto.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