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NEUROEVOLUTIVA INTEGRATA (6–10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valutazione: {{DATA_VALUTAZIONE}}</w:t>
        <w:br/>
        <w:t>Data relazione: {{DATA_RELAZIONE}}</w:t>
        <w:br/>
        <w:br/>
        <w:t>Profilo integrato</w:t>
        <w:br/>
        <w:t>Interazione tra linguaggio, funzioni esecutive, motricità e regolazione con ricadute scolastiche.</w:t>
        <w:br/>
        <w:br/>
        <w:t>Linguaggio/apprendimento</w:t>
        <w:br/>
        <w:t>Ricadute su comprensione, produzione e automatizzazione.</w:t>
        <w:br/>
        <w:br/>
        <w:t>Sensorimotorio</w:t>
        <w:br/>
        <w:t>Modulazione sensoriale e pianificazione motoria influenzano l’attenzione.</w:t>
        <w:br/>
        <w:br/>
        <w:t>Indicazioni</w:t>
        <w:br/>
        <w:t>Approfondimento specialistico e intervento integrato.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