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NEUROPSICOLOGICA – INVIO OSPEDALIERO (3–6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valutazione: {{DATA_VALUTAZIONE}}</w:t>
        <w:br/>
        <w:t>Data relazione: {{DATA_RELAZIONE}}</w:t>
        <w:br/>
        <w:br/>
        <w:t>Motivo dell’invio</w:t>
        <w:br/>
        <w:t>Invio per approfondimento NPI in presenza di difficoltà su attenzione, autoregolazione e funzionamento adattivo.</w:t>
        <w:br/>
        <w:br/>
        <w:t>Osservazione clinica</w:t>
        <w:br/>
        <w:t>Variabilità attentiva, organizzazione del compito disomogenea, necessità di mediazione adulta.</w:t>
        <w:br/>
        <w:br/>
        <w:t>Funzioni esecutive e regolazione</w:t>
        <w:br/>
        <w:t>Fragilità in controllo inibitorio, flessibilità e tolleranza alla frustrazione.</w:t>
        <w:br/>
        <w:br/>
        <w:t>Indicazioni</w:t>
        <w:br/>
        <w:t>Approfondimento NPI ospedaliero e definizione progetto multidisciplinare.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