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color w:val="595959"/>
          <w:sz w:val="24"/>
          <w:szCs w:val="24"/>
        </w:rPr>
        <w:t xml:space="preserve">Démonstration du cours</w:t>
      </w:r>
    </w:p>
    <w:p>
      <w:pPr>
        <w:spacing w:after="100"/>
        <w:jc w:val="center"/>
      </w:pPr>
      <w:r>
        <w:rPr>
          <w:b/>
          <w:bCs/>
          <w:color w:val="1F4E79"/>
          <w:sz w:val="52"/>
          <w:szCs w:val="52"/>
        </w:rPr>
        <w:t xml:space="preserve">PKG</w:t>
      </w:r>
    </w:p>
    <w:p>
      <w:pPr>
        <w:spacing w:after="300"/>
        <w:jc w:val="center"/>
      </w:pPr>
      <w:r>
        <w:rPr>
          <w:b/>
          <w:bCs/>
          <w:color w:val="1F4E79"/>
          <w:sz w:val="30"/>
          <w:szCs w:val="30"/>
        </w:rPr>
        <w:t xml:space="preserve">Déménager une classe, et voir ce qui casse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shd w:fill="DEEAF6" w:val="clear"/>
            <w:tcMar>
              <w:top w:type="dxa" w:w="55"/>
              <w:left w:type="dxa" w:w="100"/>
              <w:bottom w:type="dxa" w:w="55"/>
              <w:right w:type="dxa" w:w="100"/>
            </w:tcMar>
          </w:tcPr>
          <w:p>
            <w:pPr>
              <w:spacing w:after="0"/>
            </w:pPr>
            <w:r>
              <w:rPr>
                <w:b/>
                <w:bCs/>
                <w:sz w:val="20"/>
                <w:szCs w:val="20"/>
              </w:rPr>
              <w:t xml:space="preserve">Durée</w:t>
            </w:r>
          </w:p>
        </w:tc>
        <w:tc>
          <w:tcPr>
            <w:tcW w:type="dxa" w:w="4400"/>
            <w:shd w:fill="DEEAF6" w:val="clear"/>
            <w:tcMar>
              <w:top w:type="dxa" w:w="55"/>
              <w:left w:type="dxa" w:w="100"/>
              <w:bottom w:type="dxa" w:w="55"/>
              <w:right w:type="dxa" w:w="100"/>
            </w:tcMar>
          </w:tcPr>
          <w:p>
            <w:pPr>
              <w:spacing w:after="0"/>
            </w:pPr>
            <w:r>
              <w:rPr>
                <w:b/>
                <w:bCs/>
                <w:sz w:val="20"/>
                <w:szCs w:val="20"/>
              </w:rPr>
              <w:t xml:space="preserve">Quand la jouer</w:t>
            </w:r>
          </w:p>
        </w:tc>
        <w:tc>
          <w:tcPr>
            <w:tcW w:type="dxa" w:w="2960"/>
            <w:shd w:fill="DEEAF6" w:val="clear"/>
            <w:tcMar>
              <w:top w:type="dxa" w:w="55"/>
              <w:left w:type="dxa" w:w="100"/>
              <w:bottom w:type="dxa" w:w="55"/>
              <w:right w:type="dxa" w:w="100"/>
            </w:tcMar>
          </w:tcPr>
          <w:p>
            <w:pPr>
              <w:spacing w:after="0"/>
            </w:pPr>
            <w:r>
              <w:rPr>
                <w:b/>
                <w:bCs/>
                <w:sz w:val="20"/>
                <w:szCs w:val="20"/>
              </w:rPr>
              <w:t xml:space="preserve">Code final</w:t>
            </w:r>
          </w:p>
        </w:tc>
      </w:tr>
      <w:tr>
        <w:trPr>
          <w:cantSplit/>
        </w:trPr>
        <w:tc>
          <w:tcPr>
            <w:tcW w:type="dxa" w:w="2000"/>
            <w:tcMar>
              <w:top w:type="dxa" w:w="55"/>
              <w:left w:type="dxa" w:w="100"/>
              <w:bottom w:type="dxa" w:w="55"/>
              <w:right w:type="dxa" w:w="100"/>
            </w:tcMar>
          </w:tcPr>
          <w:p>
            <w:pPr>
              <w:spacing w:after="0"/>
            </w:pPr>
            <w:r>
              <w:rPr>
                <w:sz w:val="20"/>
                <w:szCs w:val="20"/>
              </w:rPr>
              <w:t xml:space="preserve">20 à 25 minutes</w:t>
            </w:r>
          </w:p>
        </w:tc>
        <w:tc>
          <w:tcPr>
            <w:tcW w:type="dxa" w:w="4400"/>
            <w:tcMar>
              <w:top w:type="dxa" w:w="55"/>
              <w:left w:type="dxa" w:w="100"/>
              <w:bottom w:type="dxa" w:w="55"/>
              <w:right w:type="dxa" w:w="100"/>
            </w:tcMar>
          </w:tcPr>
          <w:p>
            <w:pPr>
              <w:spacing w:after="0"/>
            </w:pPr>
            <w:r>
              <w:rPr>
                <w:sz w:val="20"/>
                <w:szCs w:val="20"/>
              </w:rPr>
              <w:t xml:space="preserve">Séance 5, avant les exercices PKG</w:t>
            </w:r>
          </w:p>
        </w:tc>
        <w:tc>
          <w:tcPr>
            <w:tcW w:type="dxa" w:w="2960"/>
            <w:tcMar>
              <w:top w:type="dxa" w:w="55"/>
              <w:left w:type="dxa" w:w="100"/>
              <w:bottom w:type="dxa" w:w="55"/>
              <w:right w:type="dxa" w:w="100"/>
            </w:tcMar>
          </w:tcPr>
          <w:p>
            <w:pPr>
              <w:spacing w:after="0"/>
            </w:pPr>
            <w:r>
              <w:rPr>
                <w:sz w:val="20"/>
                <w:szCs w:val="20"/>
              </w:rPr>
              <w:t xml:space="preserve">demos/…/demo/pkg/</w:t>
            </w:r>
          </w:p>
        </w:tc>
      </w:tr>
    </w:tbl>
    <w:p>
      <w:pPr>
        <w:spacing w:after="120"/>
      </w:pPr>
      <w:r>
        <w:rPr>
          <w:sz w:val="22"/>
          <w:szCs w:val="22"/>
        </w:rPr>
        <w:t xml:space="preserve"/>
      </w:r>
    </w:p>
    <w:p>
      <w:pPr>
        <w:spacing w:after="120"/>
        <w:jc w:val="center"/>
      </w:pPr>
      <w:r>
        <w:rPr>
          <w:i/>
          <w:iCs/>
          <w:color w:val="595959"/>
          <w:sz w:val="22"/>
          <w:szCs w:val="22"/>
        </w:rPr>
        <w:t xml:space="preserve">Document destiné au professeur — ne pas distribuer</w:t>
      </w:r>
    </w:p>
    <w:p>
      <w:pPr>
        <w:sectPr>
          <w:pgSz w:w="11906" w:h="16838" w:orient="portrait"/>
          <w:pgMar w:top="1440" w:right="1440" w:bottom="1440" w:left="1440" w:header="708" w:footer="708" w:gutter="0"/>
          <w:pgNumType/>
          <w:docGrid w:linePitch="360"/>
        </w:sectPr>
      </w:pPr>
    </w:p>
    <w:p>
      <w:pPr>
        <w:pStyle w:val="Heading2"/>
        <w:keepNext/>
        <w:spacing w:after="100" w:before="240"/>
      </w:pPr>
      <w:r>
        <w:rPr>
          <w:b/>
          <w:bCs/>
          <w:color w:val="595959"/>
          <w:sz w:val="24"/>
          <w:szCs w:val="24"/>
        </w:rPr>
        <w:t xml:space="preserve">L'idée</w:t>
      </w:r>
    </w:p>
    <w:p>
      <w:pPr>
        <w:spacing w:after="120"/>
      </w:pPr>
      <w:r>
        <w:rPr>
          <w:sz w:val="22"/>
          <w:szCs w:val="22"/>
        </w:rPr>
        <w:t xml:space="preserve">Un distributeur de boissons tient dans un seul package et fonctionne très bien. On le découpe en trois packages avec l'outil de refactoring, et la compilation se brise. Ce sont les erreurs qui enseignent : chacune désigne un endroit où le code s'appuyait sur une proximité qui vient de disparaître.</w:t>
      </w:r>
    </w:p>
    <w:p>
      <w:pPr>
        <w:spacing w:after="120"/>
      </w:pPr>
      <w:r>
        <w:rPr>
          <w:b/>
          <w:bCs/>
          <w:sz w:val="22"/>
          <w:szCs w:val="22"/>
        </w:rPr>
        <w:t xml:space="preserve">Le point à faire passer. </w:t>
      </w:r>
      <w:r>
        <w:rPr>
          <w:sz w:val="22"/>
          <w:szCs w:val="22"/>
        </w:rPr>
        <w:t xml:space="preserve">La visibilité « de package » — celle qu'on obtient en n'écrivant aucun modificateur — est un choix par défaut que personne ne fait consciemment. Elle tient tant que tout est au même endroit, et cède au premier déménagement.</w:t>
      </w:r>
    </w:p>
    <w:p>
      <w:pPr>
        <w:keepNext/>
        <w:spacing w:after="120" w:before="280"/>
      </w:pPr>
      <w:r>
        <w:rPr>
          <w:b/>
          <w:bCs/>
          <w:color w:val="7B9E4B"/>
          <w:sz w:val="26"/>
          <w:szCs w:val="26"/>
        </w:rPr>
        <w:t xml:space="preserve">Étape 1 · </w:t>
      </w:r>
      <w:r>
        <w:rPr>
          <w:b/>
          <w:bCs/>
          <w:color w:val="1F4E79"/>
          <w:sz w:val="26"/>
          <w:szCs w:val="26"/>
        </w:rPr>
        <w:t xml:space="preserve">Le code qui marche</w:t>
      </w:r>
      <w:r>
        <w:rPr>
          <w:color w:val="595959"/>
          <w:sz w:val="20"/>
          <w:szCs w:val="20"/>
        </w:rPr>
        <w:t xml:space="preserve">   3 min</w:t>
      </w:r>
    </w:p>
    <w:p>
      <w:pPr>
        <w:spacing w:after="120"/>
      </w:pPr>
      <w:r>
        <w:rPr>
          <w:sz w:val="22"/>
          <w:szCs w:val="22"/>
        </w:rPr>
        <w:t xml:space="preserve">Ouvrir les quatre classes. Lancer. Le café est servi, le thé est inconnu, l'eau manque de vingt centimes, la caisse affiche 0,80.</w:t>
      </w:r>
    </w:p>
    <w:p>
      <w:pPr>
        <w:spacing w:after="120"/>
      </w:pPr>
      <w:r>
        <w:rPr>
          <w:sz w:val="22"/>
          <w:szCs w:val="22"/>
        </w:rPr>
        <w:t xml:space="preserve">Montrer la ligne du </w:t>
      </w:r>
      <w:r>
        <w:rPr>
          <w:rFonts w:ascii="Consolas" w:cs="Consolas" w:eastAsia="Consolas" w:hAnsi="Consolas"/>
          <w:color w:val="8B2500"/>
          <w:sz w:val="22"/>
          <w:szCs w:val="22"/>
        </w:rPr>
        <w:t xml:space="preserve">Demo</w:t>
      </w:r>
      <w:r>
        <w:rPr>
          <w:sz w:val="22"/>
          <w:szCs w:val="22"/>
        </w:rPr>
        <w:t xml:space="preserve"> qui va poser problème :</w:t>
      </w:r>
    </w:p>
    <w:p>
      <w:pPr>
        <w:keepLines/>
        <w:shd w:fill="F2F2F2" w:val="clear"/>
        <w:spacing w:after="160" w:before="100"/>
        <w:ind w:left="220"/>
      </w:pPr>
      <w:r>
        <w:rPr>
          <w:rFonts w:ascii="Consolas" w:cs="Consolas" w:eastAsia="Consolas" w:hAnsi="Consolas"/>
          <w:sz w:val="19"/>
          <w:szCs w:val="19"/>
        </w:rPr>
        <w:t xml:space="preserve">distributeur.stock.ajouter(new Boisson("Eau", 1.20));</w:t>
      </w:r>
    </w:p>
    <w:tbl>
      <w:tblPr>
        <w:tblW w:type="dxa" w:w="9360"/>
        <w:tblBorders>
          <w:top w:val="single" w:color="A6A6A6" w:sz="2"/>
          <w:left w:val="single" w:color="7B9E4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0"/>
            </w:pPr>
            <w:r>
              <w:rPr>
                <w:b/>
                <w:bCs/>
                <w:sz w:val="22"/>
                <w:szCs w:val="22"/>
              </w:rPr>
              <w:t xml:space="preserve">À dire — </w:t>
            </w:r>
            <w:r>
              <w:rPr>
                <w:sz w:val="22"/>
                <w:szCs w:val="22"/>
              </w:rPr>
              <w:t xml:space="preserve">On atteint le stock du distributeur, et on lui parle directement. Personne ne nous en empêche. Est-ce que ça vous paraît normal ?</w:t>
            </w:r>
          </w:p>
        </w:tc>
      </w:tr>
    </w:tbl>
    <w:p>
      <w:pPr>
        <w:spacing w:after="120"/>
      </w:pPr>
      <w:r>
        <w:rPr>
          <w:sz w:val="22"/>
          <w:szCs w:val="22"/>
        </w:rPr>
        <w:t xml:space="preserve">Montrer aussi qu'aucun champ n'a de modificateur, dans les quatre classes. Poser la question : quelle est leur visibilité ? La réponse — « celle du package » — n'est presque jamais un choix délibéré.</w:t>
      </w:r>
    </w:p>
    <w:p>
      <w:pPr>
        <w:keepNext/>
        <w:spacing w:after="120" w:before="280"/>
      </w:pPr>
      <w:r>
        <w:rPr>
          <w:b/>
          <w:bCs/>
          <w:color w:val="7B9E4B"/>
          <w:sz w:val="26"/>
          <w:szCs w:val="26"/>
        </w:rPr>
        <w:t xml:space="preserve">Étape 2 · </w:t>
      </w:r>
      <w:r>
        <w:rPr>
          <w:b/>
          <w:bCs/>
          <w:color w:val="1F4E79"/>
          <w:sz w:val="26"/>
          <w:szCs w:val="26"/>
        </w:rPr>
        <w:t xml:space="preserve">Le déménagement</w:t>
      </w:r>
      <w:r>
        <w:rPr>
          <w:color w:val="595959"/>
          <w:sz w:val="20"/>
          <w:szCs w:val="20"/>
        </w:rPr>
        <w:t xml:space="preserve">   5 min</w:t>
      </w:r>
    </w:p>
    <w:p>
      <w:pPr>
        <w:spacing w:after="120"/>
      </w:pPr>
      <w:r>
        <w:rPr>
          <w:sz w:val="22"/>
          <w:szCs w:val="22"/>
        </w:rPr>
        <w:t xml:space="preserve">Créer deux packages sous le package de travail : produit et machine. Puis, en direct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EEAF6" w:val="clear"/>
            <w:tcMar>
              <w:top w:type="dxa" w:w="55"/>
              <w:left w:type="dxa" w:w="100"/>
              <w:bottom w:type="dxa" w:w="55"/>
              <w:right w:type="dxa" w:w="100"/>
            </w:tcMar>
          </w:tcPr>
          <w:p>
            <w:pPr>
              <w:spacing w:after="0"/>
            </w:pPr>
            <w:r>
              <w:rPr>
                <w:b/>
                <w:bCs/>
                <w:sz w:val="20"/>
                <w:szCs w:val="20"/>
              </w:rPr>
              <w:t xml:space="preserve">Classe</w:t>
            </w:r>
          </w:p>
        </w:tc>
        <w:tc>
          <w:tcPr>
            <w:tcW w:type="dxa" w:w="6360"/>
            <w:shd w:fill="DEEAF6" w:val="clear"/>
            <w:tcMar>
              <w:top w:type="dxa" w:w="55"/>
              <w:left w:type="dxa" w:w="100"/>
              <w:bottom w:type="dxa" w:w="55"/>
              <w:right w:type="dxa" w:w="100"/>
            </w:tcMar>
          </w:tcPr>
          <w:p>
            <w:pPr>
              <w:spacing w:after="0"/>
            </w:pPr>
            <w:r>
              <w:rPr>
                <w:b/>
                <w:bCs/>
                <w:sz w:val="20"/>
                <w:szCs w:val="20"/>
              </w:rPr>
              <w:t xml:space="preserve">Vers</w:t>
            </w:r>
          </w:p>
        </w:tc>
      </w:tr>
      <w:tr>
        <w:trPr>
          <w:cantSplit/>
        </w:trPr>
        <w:tc>
          <w:tcPr>
            <w:tcW w:type="dxa" w:w="3000"/>
            <w:tcMar>
              <w:top w:type="dxa" w:w="55"/>
              <w:left w:type="dxa" w:w="100"/>
              <w:bottom w:type="dxa" w:w="55"/>
              <w:right w:type="dxa" w:w="100"/>
            </w:tcMar>
          </w:tcPr>
          <w:p>
            <w:pPr>
              <w:spacing w:after="0"/>
            </w:pPr>
            <w:r>
              <w:rPr>
                <w:rFonts w:ascii="Consolas" w:cs="Consolas" w:eastAsia="Consolas" w:hAnsi="Consolas"/>
                <w:sz w:val="18"/>
                <w:szCs w:val="18"/>
              </w:rPr>
              <w:t xml:space="preserve">Boisson</w:t>
            </w:r>
          </w:p>
        </w:tc>
        <w:tc>
          <w:tcPr>
            <w:tcW w:type="dxa" w:w="6360"/>
            <w:tcMar>
              <w:top w:type="dxa" w:w="55"/>
              <w:left w:type="dxa" w:w="100"/>
              <w:bottom w:type="dxa" w:w="55"/>
              <w:right w:type="dxa" w:w="100"/>
            </w:tcMar>
          </w:tcPr>
          <w:p>
            <w:pPr>
              <w:spacing w:after="0"/>
            </w:pPr>
            <w:r>
              <w:rPr>
                <w:sz w:val="20"/>
                <w:szCs w:val="20"/>
              </w:rPr>
              <w:t xml:space="preserve">produit</w:t>
            </w:r>
          </w:p>
        </w:tc>
      </w:tr>
      <w:tr>
        <w:trPr>
          <w:cantSplit/>
        </w:trPr>
        <w:tc>
          <w:tcPr>
            <w:tcW w:type="dxa" w:w="3000"/>
            <w:tcMar>
              <w:top w:type="dxa" w:w="55"/>
              <w:left w:type="dxa" w:w="100"/>
              <w:bottom w:type="dxa" w:w="55"/>
              <w:right w:type="dxa" w:w="100"/>
            </w:tcMar>
          </w:tcPr>
          <w:p>
            <w:pPr>
              <w:spacing w:after="0"/>
            </w:pPr>
            <w:r>
              <w:rPr>
                <w:rFonts w:ascii="Consolas" w:cs="Consolas" w:eastAsia="Consolas" w:hAnsi="Consolas"/>
                <w:sz w:val="18"/>
                <w:szCs w:val="18"/>
              </w:rPr>
              <w:t xml:space="preserve">Stock</w:t>
            </w:r>
          </w:p>
        </w:tc>
        <w:tc>
          <w:tcPr>
            <w:tcW w:type="dxa" w:w="6360"/>
            <w:tcMar>
              <w:top w:type="dxa" w:w="55"/>
              <w:left w:type="dxa" w:w="100"/>
              <w:bottom w:type="dxa" w:w="55"/>
              <w:right w:type="dxa" w:w="100"/>
            </w:tcMar>
          </w:tcPr>
          <w:p>
            <w:pPr>
              <w:spacing w:after="0"/>
            </w:pPr>
            <w:r>
              <w:rPr>
                <w:sz w:val="20"/>
                <w:szCs w:val="20"/>
              </w:rPr>
              <w:t xml:space="preserve">produit</w:t>
            </w:r>
          </w:p>
        </w:tc>
      </w:tr>
      <w:tr>
        <w:trPr>
          <w:cantSplit/>
        </w:trPr>
        <w:tc>
          <w:tcPr>
            <w:tcW w:type="dxa" w:w="3000"/>
            <w:tcMar>
              <w:top w:type="dxa" w:w="55"/>
              <w:left w:type="dxa" w:w="100"/>
              <w:bottom w:type="dxa" w:w="55"/>
              <w:right w:type="dxa" w:w="100"/>
            </w:tcMar>
          </w:tcPr>
          <w:p>
            <w:pPr>
              <w:spacing w:after="0"/>
            </w:pPr>
            <w:r>
              <w:rPr>
                <w:rFonts w:ascii="Consolas" w:cs="Consolas" w:eastAsia="Consolas" w:hAnsi="Consolas"/>
                <w:sz w:val="18"/>
                <w:szCs w:val="18"/>
              </w:rPr>
              <w:t xml:space="preserve">Distributeur</w:t>
            </w:r>
          </w:p>
        </w:tc>
        <w:tc>
          <w:tcPr>
            <w:tcW w:type="dxa" w:w="6360"/>
            <w:tcMar>
              <w:top w:type="dxa" w:w="55"/>
              <w:left w:type="dxa" w:w="100"/>
              <w:bottom w:type="dxa" w:w="55"/>
              <w:right w:type="dxa" w:w="100"/>
            </w:tcMar>
          </w:tcPr>
          <w:p>
            <w:pPr>
              <w:spacing w:after="0"/>
            </w:pPr>
            <w:r>
              <w:rPr>
                <w:sz w:val="20"/>
                <w:szCs w:val="20"/>
              </w:rPr>
              <w:t xml:space="preserve">machine</w:t>
            </w:r>
          </w:p>
        </w:tc>
      </w:tr>
      <w:tr>
        <w:trPr>
          <w:cantSplit/>
        </w:trPr>
        <w:tc>
          <w:tcPr>
            <w:tcW w:type="dxa" w:w="3000"/>
            <w:tcMar>
              <w:top w:type="dxa" w:w="55"/>
              <w:left w:type="dxa" w:w="100"/>
              <w:bottom w:type="dxa" w:w="55"/>
              <w:right w:type="dxa" w:w="100"/>
            </w:tcMar>
          </w:tcPr>
          <w:p>
            <w:pPr>
              <w:spacing w:after="0"/>
            </w:pPr>
            <w:r>
              <w:rPr>
                <w:rFonts w:ascii="Consolas" w:cs="Consolas" w:eastAsia="Consolas" w:hAnsi="Consolas"/>
                <w:sz w:val="18"/>
                <w:szCs w:val="18"/>
              </w:rPr>
              <w:t xml:space="preserve">Demo</w:t>
            </w:r>
          </w:p>
        </w:tc>
        <w:tc>
          <w:tcPr>
            <w:tcW w:type="dxa" w:w="6360"/>
            <w:tcMar>
              <w:top w:type="dxa" w:w="55"/>
              <w:left w:type="dxa" w:w="100"/>
              <w:bottom w:type="dxa" w:w="55"/>
              <w:right w:type="dxa" w:w="100"/>
            </w:tcMar>
          </w:tcPr>
          <w:p>
            <w:pPr>
              <w:spacing w:after="0"/>
            </w:pPr>
            <w:r>
              <w:rPr>
                <w:sz w:val="20"/>
                <w:szCs w:val="20"/>
              </w:rPr>
              <w:t xml:space="preserve">elle ne bouge pas</w:t>
            </w:r>
          </w:p>
        </w:tc>
      </w:tr>
    </w:tbl>
    <w:p>
      <w:pPr>
        <w:spacing w:after="120"/>
      </w:pPr>
      <w:r>
        <w:rPr>
          <w:b/>
          <w:bCs/>
          <w:sz w:val="22"/>
          <w:szCs w:val="22"/>
        </w:rPr>
        <w:t xml:space="preserve">Le faire avec l'outil : </w:t>
      </w:r>
      <w:r>
        <w:rPr>
          <w:sz w:val="22"/>
          <w:szCs w:val="22"/>
        </w:rPr>
        <w:t xml:space="preserve">clic droit sur la classe, </w:t>
      </w:r>
      <w:r>
        <w:rPr>
          <w:rFonts w:ascii="Consolas" w:cs="Consolas" w:eastAsia="Consolas" w:hAnsi="Consolas"/>
          <w:color w:val="8B2500"/>
          <w:sz w:val="22"/>
          <w:szCs w:val="22"/>
        </w:rPr>
        <w:t xml:space="preserve">Refactor &gt; Move Class</w:t>
      </w:r>
      <w:r>
        <w:rPr>
          <w:sz w:val="22"/>
          <w:szCs w:val="22"/>
        </w:rPr>
        <w:t xml:space="preserve">, ou </w:t>
      </w:r>
      <w:r>
        <w:rPr>
          <w:rFonts w:ascii="Consolas" w:cs="Consolas" w:eastAsia="Consolas" w:hAnsi="Consolas"/>
          <w:color w:val="8B2500"/>
          <w:sz w:val="22"/>
          <w:szCs w:val="22"/>
        </w:rPr>
        <w:t xml:space="preserve">F6</w:t>
      </w:r>
      <w:r>
        <w:rPr>
          <w:sz w:val="22"/>
          <w:szCs w:val="22"/>
        </w:rPr>
        <w:t xml:space="preserve">. Pas de glisser-déposer, pas de couper-coller — le guide IntelliJ détaille la manœuvre.</w:t>
      </w:r>
    </w:p>
    <w:tbl>
      <w:tblPr>
        <w:tblW w:type="dxa" w:w="9360"/>
        <w:tblBorders>
          <w:top w:val="single" w:color="A6A6A6" w:sz="2"/>
          <w:left w:val="single" w:color="7B9E4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0"/>
            </w:pPr>
            <w:r>
              <w:rPr>
                <w:b/>
                <w:bCs/>
                <w:sz w:val="22"/>
                <w:szCs w:val="22"/>
              </w:rPr>
              <w:t xml:space="preserve">À dire — </w:t>
            </w:r>
            <w:r>
              <w:rPr>
                <w:sz w:val="22"/>
                <w:szCs w:val="22"/>
              </w:rPr>
              <w:t xml:space="preserve">Regardez ce qu'IntelliJ vient de faire tout seul : il a changé la ligne package en haut du fichier, et il a ajouté les imports partout où il fallait. C'est exactement ce qu'on ferait à la main, en oubliant un endroit sur trois.</w:t>
            </w:r>
          </w:p>
        </w:tc>
      </w:tr>
    </w:tbl>
    <w:p>
      <w:pPr>
        <w:keepNext/>
        <w:spacing w:after="120" w:before="280"/>
      </w:pPr>
      <w:r>
        <w:rPr>
          <w:b/>
          <w:bCs/>
          <w:color w:val="7B9E4B"/>
          <w:sz w:val="26"/>
          <w:szCs w:val="26"/>
        </w:rPr>
        <w:t xml:space="preserve">Étape 3 · </w:t>
      </w:r>
      <w:r>
        <w:rPr>
          <w:b/>
          <w:bCs/>
          <w:color w:val="1F4E79"/>
          <w:sz w:val="26"/>
          <w:szCs w:val="26"/>
        </w:rPr>
        <w:t xml:space="preserve">Les erreurs, une par une</w:t>
      </w:r>
      <w:r>
        <w:rPr>
          <w:color w:val="595959"/>
          <w:sz w:val="20"/>
          <w:szCs w:val="20"/>
        </w:rPr>
        <w:t xml:space="preserve">   8 min</w:t>
      </w:r>
    </w:p>
    <w:p>
      <w:pPr>
        <w:spacing w:after="120"/>
      </w:pPr>
      <w:r>
        <w:rPr>
          <w:sz w:val="22"/>
          <w:szCs w:val="22"/>
        </w:rPr>
        <w:t xml:space="preserve">La compilation est maintenant cassée. Ouvrir la liste des erreurs et les traiter dans l'ordre, en lisant chaque message à voix haute avant de corriger.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DEEAF6" w:val="clear"/>
            <w:tcMar>
              <w:top w:type="dxa" w:w="55"/>
              <w:left w:type="dxa" w:w="100"/>
              <w:bottom w:type="dxa" w:w="55"/>
              <w:right w:type="dxa" w:w="100"/>
            </w:tcMar>
          </w:tcPr>
          <w:p>
            <w:pPr>
              <w:spacing w:after="0"/>
            </w:pPr>
            <w:r>
              <w:rPr>
                <w:b/>
                <w:bCs/>
                <w:sz w:val="20"/>
                <w:szCs w:val="20"/>
              </w:rPr>
              <w:t xml:space="preserve">Ce qui casse</w:t>
            </w:r>
          </w:p>
        </w:tc>
        <w:tc>
          <w:tcPr>
            <w:tcW w:type="dxa" w:w="3200"/>
            <w:shd w:fill="DEEAF6" w:val="clear"/>
            <w:tcMar>
              <w:top w:type="dxa" w:w="55"/>
              <w:left w:type="dxa" w:w="100"/>
              <w:bottom w:type="dxa" w:w="55"/>
              <w:right w:type="dxa" w:w="100"/>
            </w:tcMar>
          </w:tcPr>
          <w:p>
            <w:pPr>
              <w:spacing w:after="0"/>
            </w:pPr>
            <w:r>
              <w:rPr>
                <w:b/>
                <w:bCs/>
                <w:sz w:val="20"/>
                <w:szCs w:val="20"/>
              </w:rPr>
              <w:t xml:space="preserve">Pourquoi</w:t>
            </w:r>
          </w:p>
        </w:tc>
        <w:tc>
          <w:tcPr>
            <w:tcW w:type="dxa" w:w="3560"/>
            <w:shd w:fill="DEEAF6" w:val="clear"/>
            <w:tcMar>
              <w:top w:type="dxa" w:w="55"/>
              <w:left w:type="dxa" w:w="100"/>
              <w:bottom w:type="dxa" w:w="55"/>
              <w:right w:type="dxa" w:w="100"/>
            </w:tcMar>
          </w:tcPr>
          <w:p>
            <w:pPr>
              <w:spacing w:after="0"/>
            </w:pPr>
            <w:r>
              <w:rPr>
                <w:b/>
                <w:bCs/>
                <w:sz w:val="20"/>
                <w:szCs w:val="20"/>
              </w:rPr>
              <w:t xml:space="preserve">Ce qu'on en fait</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Boisson n'est plus visible</w:t>
            </w:r>
          </w:p>
        </w:tc>
        <w:tc>
          <w:tcPr>
            <w:tcW w:type="dxa" w:w="3200"/>
            <w:tcMar>
              <w:top w:type="dxa" w:w="55"/>
              <w:left w:type="dxa" w:w="100"/>
              <w:bottom w:type="dxa" w:w="55"/>
              <w:right w:type="dxa" w:w="100"/>
            </w:tcMar>
          </w:tcPr>
          <w:p>
            <w:pPr>
              <w:spacing w:after="0"/>
            </w:pPr>
            <w:r>
              <w:rPr>
                <w:sz w:val="20"/>
                <w:szCs w:val="20"/>
              </w:rPr>
              <w:t xml:space="preserve">la classe elle-même n'était pas publique</w:t>
            </w:r>
          </w:p>
        </w:tc>
        <w:tc>
          <w:tcPr>
            <w:tcW w:type="dxa" w:w="3560"/>
            <w:tcMar>
              <w:top w:type="dxa" w:w="55"/>
              <w:left w:type="dxa" w:w="100"/>
              <w:bottom w:type="dxa" w:w="55"/>
              <w:right w:type="dxa" w:w="100"/>
            </w:tcMar>
          </w:tcPr>
          <w:p>
            <w:pPr>
              <w:spacing w:after="0"/>
            </w:pPr>
            <w:r>
              <w:rPr>
                <w:sz w:val="20"/>
                <w:szCs w:val="20"/>
              </w:rPr>
              <w:t xml:space="preserve">la rendre publique</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son constructeur non plus</w:t>
            </w:r>
          </w:p>
        </w:tc>
        <w:tc>
          <w:tcPr>
            <w:tcW w:type="dxa" w:w="3200"/>
            <w:tcMar>
              <w:top w:type="dxa" w:w="55"/>
              <w:left w:type="dxa" w:w="100"/>
              <w:bottom w:type="dxa" w:w="55"/>
              <w:right w:type="dxa" w:w="100"/>
            </w:tcMar>
          </w:tcPr>
          <w:p>
            <w:pPr>
              <w:spacing w:after="0"/>
            </w:pPr>
            <w:r>
              <w:rPr>
                <w:sz w:val="20"/>
                <w:szCs w:val="20"/>
              </w:rPr>
              <w:t xml:space="preserve">même raison</w:t>
            </w:r>
          </w:p>
        </w:tc>
        <w:tc>
          <w:tcPr>
            <w:tcW w:type="dxa" w:w="3560"/>
            <w:tcMar>
              <w:top w:type="dxa" w:w="55"/>
              <w:left w:type="dxa" w:w="100"/>
              <w:bottom w:type="dxa" w:w="55"/>
              <w:right w:type="dxa" w:w="100"/>
            </w:tcMar>
          </w:tcPr>
          <w:p>
            <w:pPr>
              <w:spacing w:after="0"/>
            </w:pPr>
            <w:r>
              <w:rPr>
                <w:sz w:val="20"/>
                <w:szCs w:val="20"/>
              </w:rPr>
              <w:t xml:space="preserve">le rendre public</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boisson.nom, boisson.prix</w:t>
            </w:r>
          </w:p>
        </w:tc>
        <w:tc>
          <w:tcPr>
            <w:tcW w:type="dxa" w:w="3200"/>
            <w:tcMar>
              <w:top w:type="dxa" w:w="55"/>
              <w:left w:type="dxa" w:w="100"/>
              <w:bottom w:type="dxa" w:w="55"/>
              <w:right w:type="dxa" w:w="100"/>
            </w:tcMar>
          </w:tcPr>
          <w:p>
            <w:pPr>
              <w:spacing w:after="0"/>
            </w:pPr>
            <w:r>
              <w:rPr>
                <w:sz w:val="20"/>
                <w:szCs w:val="20"/>
              </w:rPr>
              <w:t xml:space="preserve">champs sans modificateur, autre package</w:t>
            </w:r>
          </w:p>
        </w:tc>
        <w:tc>
          <w:tcPr>
            <w:tcW w:type="dxa" w:w="3560"/>
            <w:tcMar>
              <w:top w:type="dxa" w:w="55"/>
              <w:left w:type="dxa" w:w="100"/>
              <w:bottom w:type="dxa" w:w="55"/>
              <w:right w:type="dxa" w:w="100"/>
            </w:tcMar>
          </w:tcPr>
          <w:p>
            <w:pPr>
              <w:spacing w:after="0"/>
            </w:pPr>
            <w:r>
              <w:rPr>
                <w:sz w:val="20"/>
                <w:szCs w:val="20"/>
              </w:rPr>
              <w:t xml:space="preserve">les passer en privé, ajouter deux accesseurs</w:t>
            </w:r>
          </w:p>
        </w:tc>
      </w:tr>
      <w:tr>
        <w:trPr>
          <w:cantSplit/>
        </w:trPr>
        <w:tc>
          <w:tcPr>
            <w:tcW w:type="dxa" w:w="2600"/>
            <w:tcMar>
              <w:top w:type="dxa" w:w="55"/>
              <w:left w:type="dxa" w:w="100"/>
              <w:bottom w:type="dxa" w:w="55"/>
              <w:right w:type="dxa" w:w="100"/>
            </w:tcMar>
          </w:tcPr>
          <w:p>
            <w:pPr>
              <w:spacing w:after="0"/>
            </w:pPr>
            <w:r>
              <w:rPr>
                <w:rFonts w:ascii="Consolas" w:cs="Consolas" w:eastAsia="Consolas" w:hAnsi="Consolas"/>
                <w:sz w:val="18"/>
                <w:szCs w:val="18"/>
              </w:rPr>
              <w:t xml:space="preserve">stock.ajouter(...) depuis Demo</w:t>
            </w:r>
          </w:p>
        </w:tc>
        <w:tc>
          <w:tcPr>
            <w:tcW w:type="dxa" w:w="3200"/>
            <w:tcMar>
              <w:top w:type="dxa" w:w="55"/>
              <w:left w:type="dxa" w:w="100"/>
              <w:bottom w:type="dxa" w:w="55"/>
              <w:right w:type="dxa" w:w="100"/>
            </w:tcMar>
          </w:tcPr>
          <w:p>
            <w:pPr>
              <w:spacing w:after="0"/>
            </w:pPr>
            <w:r>
              <w:rPr>
                <w:sz w:val="20"/>
                <w:szCs w:val="20"/>
              </w:rPr>
              <w:t xml:space="preserve">méthode sans modificateur</w:t>
            </w:r>
          </w:p>
        </w:tc>
        <w:tc>
          <w:tcPr>
            <w:tcW w:type="dxa" w:w="3560"/>
            <w:tcMar>
              <w:top w:type="dxa" w:w="55"/>
              <w:left w:type="dxa" w:w="100"/>
              <w:bottom w:type="dxa" w:w="55"/>
              <w:right w:type="dxa" w:w="100"/>
            </w:tcMar>
          </w:tcPr>
          <w:p>
            <w:pPr>
              <w:spacing w:after="0"/>
            </w:pPr>
            <w:r>
              <w:rPr>
                <w:sz w:val="20"/>
                <w:szCs w:val="20"/>
              </w:rPr>
              <w:t xml:space="preserve">voir l'étape 4</w:t>
            </w:r>
          </w:p>
        </w:tc>
      </w:tr>
    </w:tbl>
    <w:p>
      <w:pPr>
        <w:spacing w:after="120"/>
      </w:pPr>
      <w:r>
        <w:rPr>
          <w:b/>
          <w:bCs/>
          <w:sz w:val="22"/>
          <w:szCs w:val="22"/>
        </w:rPr>
        <w:t xml:space="preserve">Sur le troisième point, ne pas prendre le raccourci. </w:t>
      </w:r>
      <w:r>
        <w:rPr>
          <w:sz w:val="22"/>
          <w:szCs w:val="22"/>
        </w:rPr>
        <w:t xml:space="preserve">Le réflexe est de rendre les champs publics : deux clics, et ça compile. Faire remarquer que c'est un engagement définitif — un champ public ne peut plus changer de type ni disparaître — alors qu'un accesseur peut être réécrit sans que personne le sache.</w:t>
      </w:r>
    </w:p>
    <w:tbl>
      <w:tblPr>
        <w:tblW w:type="dxa" w:w="9360"/>
        <w:tblBorders>
          <w:top w:val="single" w:color="A6A6A6" w:sz="2"/>
          <w:left w:val="single" w:color="7B9E4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0"/>
            </w:pPr>
            <w:r>
              <w:rPr>
                <w:b/>
                <w:bCs/>
                <w:sz w:val="22"/>
                <w:szCs w:val="22"/>
              </w:rPr>
              <w:t xml:space="preserve">À dire — </w:t>
            </w:r>
            <w:r>
              <w:rPr>
                <w:sz w:val="22"/>
                <w:szCs w:val="22"/>
              </w:rPr>
              <w:t xml:space="preserve">On vient de transformer une contrainte technique en décision de conception. C'est toujours comme ça que ça se passe : le compilateur pose la question, et c'est vous qui répondez.</w:t>
            </w:r>
          </w:p>
        </w:tc>
      </w:tr>
    </w:tbl>
    <w:p>
      <w:pPr>
        <w:keepNext/>
        <w:spacing w:after="120" w:before="280"/>
      </w:pPr>
      <w:r>
        <w:rPr>
          <w:b/>
          <w:bCs/>
          <w:color w:val="7B9E4B"/>
          <w:sz w:val="26"/>
          <w:szCs w:val="26"/>
        </w:rPr>
        <w:t xml:space="preserve">Étape 4 · </w:t>
      </w:r>
      <w:r>
        <w:rPr>
          <w:b/>
          <w:bCs/>
          <w:color w:val="1F4E79"/>
          <w:sz w:val="26"/>
          <w:szCs w:val="26"/>
        </w:rPr>
        <w:t xml:space="preserve">La ligne qu'on ne peut plus écrire</w:t>
      </w:r>
      <w:r>
        <w:rPr>
          <w:color w:val="595959"/>
          <w:sz w:val="20"/>
          <w:szCs w:val="20"/>
        </w:rPr>
        <w:t xml:space="preserve">   5 min</w:t>
      </w:r>
    </w:p>
    <w:p>
      <w:pPr>
        <w:spacing w:after="120"/>
      </w:pPr>
      <w:r>
        <w:rPr>
          <w:sz w:val="22"/>
          <w:szCs w:val="22"/>
        </w:rPr>
        <w:t xml:space="preserve">Revenir au </w:t>
      </w:r>
      <w:r>
        <w:rPr>
          <w:rFonts w:ascii="Consolas" w:cs="Consolas" w:eastAsia="Consolas" w:hAnsi="Consolas"/>
          <w:color w:val="8B2500"/>
          <w:sz w:val="22"/>
          <w:szCs w:val="22"/>
        </w:rPr>
        <w:t xml:space="preserve">Demo</w:t>
      </w:r>
      <w:r>
        <w:rPr>
          <w:sz w:val="22"/>
          <w:szCs w:val="22"/>
        </w:rPr>
        <w:t xml:space="preserve">. La ligne de l'étape 1 ne compile plus, et il n'y a pas de bonne façon de la faire compiler.</w:t>
      </w:r>
    </w:p>
    <w:p>
      <w:pPr>
        <w:spacing w:after="120"/>
      </w:pPr>
      <w:r>
        <w:rPr>
          <w:sz w:val="22"/>
          <w:szCs w:val="22"/>
        </w:rPr>
        <w:t xml:space="preserve">Laisser un silence, puis proposer la vraie solution : ce n'est pas au programme d'atteindre le stock, c'est au distributeur de s'approvisionner.</w:t>
      </w:r>
    </w:p>
    <w:p>
      <w:pPr>
        <w:keepLines/>
        <w:shd w:fill="F2F2F2" w:val="clear"/>
        <w:spacing w:after="0" w:before="100"/>
        <w:ind w:left="220"/>
      </w:pPr>
      <w:r>
        <w:rPr>
          <w:rFonts w:ascii="Consolas" w:cs="Consolas" w:eastAsia="Consolas" w:hAnsi="Consolas"/>
          <w:sz w:val="19"/>
          <w:szCs w:val="19"/>
        </w:rPr>
        <w:t xml:space="preserve">// avant</w:t>
      </w:r>
    </w:p>
    <w:p>
      <w:pPr>
        <w:keepLines/>
        <w:shd w:fill="F2F2F2" w:val="clear"/>
        <w:spacing w:after="0" w:before="0"/>
        <w:ind w:left="220"/>
      </w:pPr>
      <w:r>
        <w:rPr>
          <w:rFonts w:ascii="Consolas" w:cs="Consolas" w:eastAsia="Consolas" w:hAnsi="Consolas"/>
          <w:sz w:val="19"/>
          <w:szCs w:val="19"/>
        </w:rPr>
        <w:t xml:space="preserve">distributeur.stock.ajouter(new Boisson("Eau", 1.20));</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apres</w:t>
      </w:r>
    </w:p>
    <w:p>
      <w:pPr>
        <w:keepLines/>
        <w:shd w:fill="F2F2F2" w:val="clear"/>
        <w:spacing w:after="160" w:before="0"/>
        <w:ind w:left="220"/>
      </w:pPr>
      <w:r>
        <w:rPr>
          <w:rFonts w:ascii="Consolas" w:cs="Consolas" w:eastAsia="Consolas" w:hAnsi="Consolas"/>
          <w:sz w:val="19"/>
          <w:szCs w:val="19"/>
        </w:rPr>
        <w:t xml:space="preserve">distributeur.approvisionner(new Boisson("Eau", 1.20));</w:t>
      </w:r>
    </w:p>
    <w:tbl>
      <w:tblPr>
        <w:tblW w:type="dxa" w:w="9360"/>
        <w:tblBorders>
          <w:top w:val="single" w:color="A6A6A6" w:sz="2"/>
          <w:left w:val="single" w:color="7B9E4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0"/>
            </w:pPr>
            <w:r>
              <w:rPr>
                <w:b/>
                <w:bCs/>
                <w:sz w:val="22"/>
                <w:szCs w:val="22"/>
              </w:rPr>
              <w:t xml:space="preserve">À dire — </w:t>
            </w:r>
            <w:r>
              <w:rPr>
                <w:sz w:val="22"/>
                <w:szCs w:val="22"/>
              </w:rPr>
              <w:t xml:space="preserve">Le découpage en packages vient de nous forcer à écrire une meilleure API. On ne l'aurait jamais fait spontanément : tant que tout était au même endroit, rien ne nous dérangeait.</w:t>
            </w:r>
          </w:p>
        </w:tc>
      </w:tr>
    </w:tbl>
    <w:p>
      <w:pPr>
        <w:keepNext/>
        <w:spacing w:after="120" w:before="280"/>
      </w:pPr>
      <w:r>
        <w:rPr>
          <w:b/>
          <w:bCs/>
          <w:color w:val="7B9E4B"/>
          <w:sz w:val="26"/>
          <w:szCs w:val="26"/>
        </w:rPr>
        <w:t xml:space="preserve">Étape 5 · </w:t>
      </w:r>
      <w:r>
        <w:rPr>
          <w:b/>
          <w:bCs/>
          <w:color w:val="1F4E79"/>
          <w:sz w:val="26"/>
          <w:szCs w:val="26"/>
        </w:rPr>
        <w:t xml:space="preserve">Ce que les imports racontent</w:t>
      </w:r>
      <w:r>
        <w:rPr>
          <w:color w:val="595959"/>
          <w:sz w:val="20"/>
          <w:szCs w:val="20"/>
        </w:rPr>
        <w:t xml:space="preserve">   3 min</w:t>
      </w:r>
    </w:p>
    <w:p>
      <w:pPr>
        <w:spacing w:after="120"/>
      </w:pPr>
      <w:r>
        <w:rPr>
          <w:sz w:val="22"/>
          <w:szCs w:val="22"/>
        </w:rPr>
        <w:t xml:space="preserve">Ouvrir </w:t>
      </w:r>
      <w:r>
        <w:rPr>
          <w:rFonts w:ascii="Consolas" w:cs="Consolas" w:eastAsia="Consolas" w:hAnsi="Consolas"/>
          <w:color w:val="8B2500"/>
          <w:sz w:val="22"/>
          <w:szCs w:val="22"/>
        </w:rPr>
        <w:t xml:space="preserve">Distributeur</w:t>
      </w:r>
      <w:r>
        <w:rPr>
          <w:sz w:val="22"/>
          <w:szCs w:val="22"/>
        </w:rPr>
        <w:t xml:space="preserve"> et montrer les deux imports en haut.</w:t>
      </w:r>
    </w:p>
    <w:tbl>
      <w:tblPr>
        <w:tblW w:type="dxa" w:w="9360"/>
        <w:tblBorders>
          <w:top w:val="single" w:color="A6A6A6" w:sz="2"/>
          <w:left w:val="single" w:color="7B9E4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0"/>
            </w:pPr>
            <w:r>
              <w:rPr>
                <w:b/>
                <w:bCs/>
                <w:sz w:val="22"/>
                <w:szCs w:val="22"/>
              </w:rPr>
              <w:t xml:space="preserve">À dire — </w:t>
            </w:r>
            <w:r>
              <w:rPr>
                <w:sz w:val="22"/>
                <w:szCs w:val="22"/>
              </w:rPr>
              <w:t xml:space="preserve">Cette liste, c'est la liste des choses dont cette classe dépend. Au début de la démonstration, elle était vide — pas parce qu'il n'y avait pas de dépendances, mais parce qu'on ne les voyait pas.</w:t>
            </w:r>
          </w:p>
        </w:tc>
      </w:tr>
    </w:tbl>
    <w:p>
      <w:pPr>
        <w:spacing w:after="120"/>
      </w:pPr>
      <w:r>
        <w:rPr>
          <w:sz w:val="22"/>
          <w:szCs w:val="22"/>
        </w:rPr>
        <w:t xml:space="preserve">Conclure sur le lien avec la suite : protected n'a pas servi ici, parce qu'il ne sert à rien sans héritage. Il faudra y revenir après les classes abstraites.</w:t>
      </w:r>
    </w:p>
    <w:p>
      <w:pPr>
        <w:pStyle w:val="Heading2"/>
        <w:keepNext/>
        <w:spacing w:after="100" w:before="240"/>
      </w:pPr>
      <w:r>
        <w:rPr>
          <w:b/>
          <w:bCs/>
          <w:color w:val="595959"/>
          <w:sz w:val="24"/>
          <w:szCs w:val="24"/>
        </w:rPr>
        <w:t xml:space="preserve">Ce qu'il faut rater exprès</w:t>
      </w:r>
    </w:p>
    <w:tbl>
      <w:tblPr>
        <w:tblW w:type="dxa" w:w="9360"/>
        <w:tblBorders>
          <w:top w:val="single" w:color="A6A6A6" w:sz="2"/>
          <w:left w:val="single" w:color="9C2B2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Le déplacement à la main. </w:t>
            </w:r>
            <w:r>
              <w:rPr>
                <w:sz w:val="22"/>
                <w:szCs w:val="22"/>
              </w:rPr>
              <w:t xml:space="preserve">À l'étape 2, faire exprès de déplacer un fichier en le glissant dans l'arborescence plutôt qu'avec F6. IntelliJ demande alors s'il faut refactoriser — répondre non, et constater que la ligne package est restée fausse. Annuler, et recommencer avec F6.</w:t>
            </w:r>
          </w:p>
          <w:p>
            <w:pPr>
              <w:spacing w:after="80"/>
            </w:pPr>
            <w:r>
              <w:rPr>
                <w:b/>
                <w:bCs/>
                <w:sz w:val="22"/>
                <w:szCs w:val="22"/>
              </w:rPr>
              <w:t xml:space="preserve">Le réflexe « tout en public ». </w:t>
            </w:r>
            <w:r>
              <w:rPr>
                <w:sz w:val="22"/>
                <w:szCs w:val="22"/>
              </w:rPr>
              <w:t xml:space="preserve">À l'étape 3, corriger d'abord un champ en le passant public, sans commentaire. Puis revenir dessus deux minutes plus tard : « au fait, qu'est-ce qu'on vient de promettre en faisant ça ? »</w:t>
            </w:r>
          </w:p>
          <w:p>
            <w:pPr>
              <w:spacing w:after="0"/>
            </w:pPr>
            <w:r>
              <w:rPr>
                <w:b/>
                <w:bCs/>
                <w:sz w:val="22"/>
                <w:szCs w:val="22"/>
              </w:rPr>
              <w:t xml:space="preserve">protected, pour rien. </w:t>
            </w:r>
            <w:r>
              <w:rPr>
                <w:sz w:val="22"/>
                <w:szCs w:val="22"/>
              </w:rPr>
              <w:t xml:space="preserve">Si un étudiant propose protected pour les champs de Boisson, l'essayer. Ça ne compile toujours pas, et le message le dit.</w:t>
            </w:r>
          </w:p>
        </w:tc>
      </w:tr>
    </w:tbl>
    <w:p>
      <w:pPr>
        <w:pStyle w:val="Heading2"/>
        <w:keepNext/>
        <w:spacing w:after="100" w:before="240"/>
      </w:pPr>
      <w:r>
        <w:rPr>
          <w:b/>
          <w:bCs/>
          <w:color w:val="595959"/>
          <w:sz w:val="24"/>
          <w:szCs w:val="24"/>
        </w:rPr>
        <w:t xml:space="preserve">Renvois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EEAF6" w:val="clear"/>
            <w:tcMar>
              <w:top w:type="dxa" w:w="55"/>
              <w:left w:type="dxa" w:w="100"/>
              <w:bottom w:type="dxa" w:w="55"/>
              <w:right w:type="dxa" w:w="100"/>
            </w:tcMar>
          </w:tcPr>
          <w:p>
            <w:pPr>
              <w:spacing w:after="0"/>
            </w:pPr>
            <w:r>
              <w:rPr>
                <w:b/>
                <w:bCs/>
                <w:sz w:val="20"/>
                <w:szCs w:val="20"/>
              </w:rPr>
              <w:t xml:space="preserve">Code</w:t>
            </w:r>
          </w:p>
        </w:tc>
        <w:tc>
          <w:tcPr>
            <w:tcW w:type="dxa" w:w="7660"/>
            <w:shd w:fill="DEEAF6" w:val="clear"/>
            <w:tcMar>
              <w:top w:type="dxa" w:w="55"/>
              <w:left w:type="dxa" w:w="100"/>
              <w:bottom w:type="dxa" w:w="55"/>
              <w:right w:type="dxa" w:w="100"/>
            </w:tcMar>
          </w:tcPr>
          <w:p>
            <w:pPr>
              <w:spacing w:after="0"/>
            </w:pPr>
            <w:r>
              <w:rPr>
                <w:b/>
                <w:bCs/>
                <w:sz w:val="20"/>
                <w:szCs w:val="20"/>
              </w:rPr>
              <w:t xml:space="preserve">Ce qu'il dit</w:t>
            </w:r>
          </w:p>
        </w:tc>
      </w:tr>
      <w:tr>
        <w:trPr>
          <w:cantSplit/>
        </w:trPr>
        <w:tc>
          <w:tcPr>
            <w:tcW w:type="dxa" w:w="1700"/>
            <w:tcMar>
              <w:top w:type="dxa" w:w="55"/>
              <w:left w:type="dxa" w:w="100"/>
              <w:bottom w:type="dxa" w:w="55"/>
              <w:right w:type="dxa" w:w="100"/>
            </w:tcMar>
          </w:tcPr>
          <w:p>
            <w:pPr>
              <w:spacing w:after="0"/>
            </w:pPr>
            <w:r>
              <w:rPr>
                <w:rFonts w:ascii="Consolas" w:cs="Consolas" w:eastAsia="Consolas" w:hAnsi="Consolas"/>
                <w:sz w:val="18"/>
                <w:szCs w:val="18"/>
              </w:rPr>
              <w:t xml:space="preserve">CC-CLS.1</w:t>
            </w:r>
          </w:p>
        </w:tc>
        <w:tc>
          <w:tcPr>
            <w:tcW w:type="dxa" w:w="7660"/>
            <w:tcMar>
              <w:top w:type="dxa" w:w="55"/>
              <w:left w:type="dxa" w:w="100"/>
              <w:bottom w:type="dxa" w:w="55"/>
              <w:right w:type="dxa" w:w="100"/>
            </w:tcMar>
          </w:tcPr>
          <w:p>
            <w:pPr>
              <w:spacing w:after="0"/>
            </w:pPr>
            <w:r>
              <w:rPr>
                <w:sz w:val="20"/>
                <w:szCs w:val="20"/>
              </w:rPr>
              <w:t xml:space="preserve">une classe fait une chose ; un package aussi</w:t>
            </w:r>
          </w:p>
        </w:tc>
      </w:tr>
      <w:tr>
        <w:trPr>
          <w:cantSplit/>
        </w:trPr>
        <w:tc>
          <w:tcPr>
            <w:tcW w:type="dxa" w:w="1700"/>
            <w:tcMar>
              <w:top w:type="dxa" w:w="55"/>
              <w:left w:type="dxa" w:w="100"/>
              <w:bottom w:type="dxa" w:w="55"/>
              <w:right w:type="dxa" w:w="100"/>
            </w:tcMar>
          </w:tcPr>
          <w:p>
            <w:pPr>
              <w:spacing w:after="0"/>
            </w:pPr>
            <w:r>
              <w:rPr>
                <w:rFonts w:ascii="Consolas" w:cs="Consolas" w:eastAsia="Consolas" w:hAnsi="Consolas"/>
                <w:sz w:val="18"/>
                <w:szCs w:val="18"/>
              </w:rPr>
              <w:t xml:space="preserve">CC-OBJ.1</w:t>
            </w:r>
          </w:p>
        </w:tc>
        <w:tc>
          <w:tcPr>
            <w:tcW w:type="dxa" w:w="7660"/>
            <w:tcMar>
              <w:top w:type="dxa" w:w="55"/>
              <w:left w:type="dxa" w:w="100"/>
              <w:bottom w:type="dxa" w:w="55"/>
              <w:right w:type="dxa" w:w="100"/>
            </w:tcMar>
          </w:tcPr>
          <w:p>
            <w:pPr>
              <w:spacing w:after="0"/>
            </w:pPr>
            <w:r>
              <w:rPr>
                <w:sz w:val="20"/>
                <w:szCs w:val="20"/>
              </w:rPr>
              <w:t xml:space="preserve">exposer des méthodes, pas des champs</w:t>
            </w:r>
          </w:p>
        </w:tc>
      </w:tr>
      <w:tr>
        <w:trPr>
          <w:cantSplit/>
        </w:trPr>
        <w:tc>
          <w:tcPr>
            <w:tcW w:type="dxa" w:w="1700"/>
            <w:tcMar>
              <w:top w:type="dxa" w:w="55"/>
              <w:left w:type="dxa" w:w="100"/>
              <w:bottom w:type="dxa" w:w="55"/>
              <w:right w:type="dxa" w:w="100"/>
            </w:tcMar>
          </w:tcPr>
          <w:p>
            <w:pPr>
              <w:spacing w:after="0"/>
            </w:pPr>
            <w:r>
              <w:rPr>
                <w:rFonts w:ascii="Consolas" w:cs="Consolas" w:eastAsia="Consolas" w:hAnsi="Consolas"/>
                <w:sz w:val="18"/>
                <w:szCs w:val="18"/>
              </w:rPr>
              <w:t xml:space="preserve">CC-NOM.6</w:t>
            </w:r>
          </w:p>
        </w:tc>
        <w:tc>
          <w:tcPr>
            <w:tcW w:type="dxa" w:w="7660"/>
            <w:tcMar>
              <w:top w:type="dxa" w:w="55"/>
              <w:left w:type="dxa" w:w="100"/>
              <w:bottom w:type="dxa" w:w="55"/>
              <w:right w:type="dxa" w:w="100"/>
            </w:tcMar>
          </w:tcPr>
          <w:p>
            <w:pPr>
              <w:spacing w:after="0"/>
            </w:pPr>
            <w:r>
              <w:rPr>
                <w:sz w:val="20"/>
                <w:szCs w:val="20"/>
              </w:rPr>
              <w:t xml:space="preserve">la longueur du nom suit la portée ; un package est une portée</w:t>
            </w:r>
          </w:p>
        </w:tc>
      </w:tr>
      <w:tr>
        <w:trPr>
          <w:cantSplit/>
        </w:trPr>
        <w:tc>
          <w:tcPr>
            <w:tcW w:type="dxa" w:w="1700"/>
            <w:tcMar>
              <w:top w:type="dxa" w:w="55"/>
              <w:left w:type="dxa" w:w="100"/>
              <w:bottom w:type="dxa" w:w="55"/>
              <w:right w:type="dxa" w:w="100"/>
            </w:tcMar>
          </w:tcPr>
          <w:p>
            <w:pPr>
              <w:spacing w:after="0"/>
            </w:pPr>
            <w:r>
              <w:rPr>
                <w:rFonts w:ascii="Consolas" w:cs="Consolas" w:eastAsia="Consolas" w:hAnsi="Consolas"/>
                <w:sz w:val="18"/>
                <w:szCs w:val="18"/>
              </w:rPr>
              <w:t xml:space="preserve">PKG.5</w:t>
            </w:r>
          </w:p>
        </w:tc>
        <w:tc>
          <w:tcPr>
            <w:tcW w:type="dxa" w:w="7660"/>
            <w:tcMar>
              <w:top w:type="dxa" w:w="55"/>
              <w:left w:type="dxa" w:w="100"/>
              <w:bottom w:type="dxa" w:w="55"/>
              <w:right w:type="dxa" w:w="100"/>
            </w:tcMar>
          </w:tcPr>
          <w:p>
            <w:pPr>
              <w:spacing w:after="0"/>
            </w:pPr>
            <w:r>
              <w:rPr>
                <w:sz w:val="20"/>
                <w:szCs w:val="20"/>
              </w:rPr>
              <w:t xml:space="preserve">l'exercice qui reprend protected, une fois l'héritage connu</w:t>
            </w:r>
          </w:p>
        </w:tc>
      </w:tr>
    </w:tbl>
    <w:p>
      <w:pPr>
        <w:pStyle w:val="Heading2"/>
        <w:keepNext/>
        <w:spacing w:after="100" w:before="240"/>
      </w:pPr>
      <w:r>
        <w:rPr>
          <w:b/>
          <w:bCs/>
          <w:color w:val="595959"/>
          <w:sz w:val="24"/>
          <w:szCs w:val="24"/>
        </w:rPr>
        <w:t xml:space="preserve">Pour rejouer</w:t>
      </w:r>
    </w:p>
    <w:p>
      <w:pPr>
        <w:spacing w:after="120"/>
      </w:pPr>
      <w:r>
        <w:rPr>
          <w:sz w:val="22"/>
          <w:szCs w:val="22"/>
        </w:rPr>
        <w:t xml:space="preserve">Charger l'état de départ : </w:t>
      </w:r>
      <w:r>
        <w:rPr>
          <w:rFonts w:ascii="Consolas" w:cs="Consolas" w:eastAsia="Consolas" w:hAnsi="Consolas"/>
          <w:color w:val="8B2500"/>
          <w:sz w:val="22"/>
          <w:szCs w:val="22"/>
        </w:rPr>
        <w:t xml:space="preserve">python3 _outils/preparer_demo.py pkg</w:t>
      </w:r>
      <w:r>
        <w:rPr>
          <w:sz w:val="22"/>
          <w:szCs w:val="22"/>
        </w:rPr>
        <w:t xml:space="preserve">. </w:t>
      </w:r>
      <w:r>
        <w:rPr>
          <w:sz w:val="22"/>
          <w:szCs w:val="22"/>
        </w:rPr>
        <w:t xml:space="preserve"/>
      </w:r>
    </w:p>
    <w:sectPr>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Demo_PKG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Démonstration PKG</dc:title>
  <dc:creator>Frédéric Ferrant — EPHEC</dc:creator>
  <cp:lastModifiedBy>Un-named</cp:lastModifiedBy>
  <cp:revision>1</cp:revision>
  <dcterms:created xsi:type="dcterms:W3CDTF">2026-09-15T12:44:33.647Z</dcterms:created>
  <dcterms:modified xsi:type="dcterms:W3CDTF">2026-09-15T12:44:33.647Z</dcterms:modified>
</cp:coreProperties>
</file>

<file path=docProps/custom.xml><?xml version="1.0" encoding="utf-8"?>
<Properties xmlns="http://schemas.openxmlformats.org/officeDocument/2006/custom-properties" xmlns:vt="http://schemas.openxmlformats.org/officeDocument/2006/docPropsVTypes"/>
</file>