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right" w:pos="9026"/>
        </w:tabs>
      </w:pPr>
      <w:r>
        <w:drawing>
          <wp:inline distT="0" distB="0" distL="0" distR="0">
            <wp:extent cx="1514475" cy="723900"/>
            <wp:effectExtent t="0" r="0" b="0" l="0"/>
            <wp:docPr id="1" name="logo" descr="Logo de l'EPHEC" title="EPH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447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cs="Calibri" w:eastAsia="Calibri" w:hAnsi="Calibri"/>
          <w:sz w:val="36"/>
          <w:szCs w:val="36"/>
        </w:rPr>
        <w:tab/>
      </w:r>
      <w:r>
        <w:rPr>
          <w:rFonts w:ascii="Calibri" w:cs="Calibri" w:eastAsia="Calibri" w:hAnsi="Calibri"/>
          <w:color w:val="000000"/>
          <w:sz w:val="36"/>
          <w:szCs w:val="36"/>
        </w:rPr>
        <w:t xml:space="preserve">Année académique </w:t>
      </w:r>
      <w:r>
        <w:rPr>
          <w:rFonts w:ascii="Calibri" w:cs="Calibri" w:eastAsia="Calibri" w:hAnsi="Calibri"/>
          <w:b/>
          <w:bCs/>
          <w:color w:val="000000"/>
          <w:sz w:val="36"/>
          <w:szCs w:val="36"/>
        </w:rPr>
        <w:t xml:space="preserve">2026-2027</w:t>
      </w:r>
    </w:p>
    <w:p>
      <w:pPr>
        <w:spacing w:after="120" w:before="3900"/>
        <w:jc w:val="center"/>
      </w:pPr>
      <w:r>
        <w:rPr>
          <w:rFonts w:ascii="Calibri" w:cs="Calibri" w:eastAsia="Calibri" w:hAnsi="Calibri"/>
          <w:color w:val="000000"/>
          <w:sz w:val="36"/>
          <w:szCs w:val="36"/>
        </w:rPr>
        <w:t xml:space="preserve">Démonstration du cours</w:t>
      </w:r>
    </w:p>
    <w:p>
      <w:pPr>
        <w:spacing w:after="100" w:before="0"/>
        <w:jc w:val="center"/>
      </w:pPr>
      <w:r>
        <w:rPr>
          <w:rFonts w:ascii="Calibri" w:cs="Calibri" w:eastAsia="Calibri" w:hAnsi="Calibri"/>
          <w:b/>
          <w:bCs/>
          <w:color w:val="000000"/>
          <w:sz w:val="72"/>
          <w:szCs w:val="72"/>
        </w:rPr>
        <w:t xml:space="preserve">JUN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000000"/>
          <w:sz w:val="40"/>
          <w:szCs w:val="40"/>
        </w:rPr>
        <w:t xml:space="preserve">Rouge, vert, puis nettoyer</w:t>
      </w:r>
    </w:p>
    <w:p>
      <w:pPr>
        <w:spacing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00"/>
        <w:gridCol w:w="2960"/>
      </w:tblGrid>
      <w:tr>
        <w:trPr>
          <w:tblHeader/>
        </w:trPr>
        <w:tc>
          <w:tcPr>
            <w:tcW w:type="dxa" w:w="20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Durée</w:t>
            </w:r>
          </w:p>
        </w:tc>
        <w:tc>
          <w:tcPr>
            <w:tcW w:type="dxa" w:w="44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Quand la jouer</w:t>
            </w:r>
          </w:p>
        </w:tc>
        <w:tc>
          <w:tcPr>
            <w:tcW w:type="dxa" w:w="296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Code final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15 minutes</w:t>
            </w:r>
          </w:p>
        </w:tc>
        <w:tc>
          <w:tcPr>
            <w:tcW w:type="dxa" w:w="4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avant JUN.1</w:t>
            </w:r>
          </w:p>
        </w:tc>
        <w:tc>
          <w:tcPr>
            <w:tcW w:type="dxa" w:w="29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demos/…/demo/jun/</w:t>
            </w:r>
          </w:p>
        </w:tc>
      </w:tr>
    </w:tbl>
    <w:p>
      <w:pPr>
        <w:spacing w:after="120" w:before="300"/>
        <w:jc w:val="center"/>
      </w:pPr>
      <w:r>
        <w:rPr>
          <w:rFonts w:ascii="Calibri" w:cs="Calibri" w:eastAsia="Calibri" w:hAnsi="Calibri"/>
          <w:i/>
          <w:iCs/>
          <w:color w:val="000000"/>
          <w:sz w:val="28"/>
          <w:szCs w:val="28"/>
        </w:rPr>
        <w:t xml:space="preserve">Document destiné au professeur — ne pas distribuer</w:t>
      </w:r>
    </w:p>
    <w:p>
      <w:pPr>
        <w:spacing w:after="120" w:before="4000"/>
        <w:jc w:val="center"/>
      </w:pPr>
      <w:r>
        <w:rPr>
          <w:rFonts w:ascii="Calibri" w:cs="Calibri" w:eastAsia="Calibri" w:hAnsi="Calibri"/>
          <w:color w:val="000000"/>
          <w:sz w:val="36"/>
          <w:szCs w:val="36"/>
        </w:rPr>
        <w:t xml:space="preserve">EPHEC — Bachelier en informatique, niveau 2</w:t>
      </w:r>
    </w:p>
    <w:p>
      <w:r>
        <w:br w:type="page"/>
      </w:r>
    </w:p>
    <w:p>
      <w:pPr>
        <w:keepNext w:val="false"/>
        <w:spacing w:after="120"/>
      </w:pPr>
      <w:r>
        <w:rPr>
          <w:sz w:val="22"/>
          <w:szCs w:val="22"/>
        </w:rPr>
        <w:t xml:space="preserve">C'est la démonstration qu'on ne peut pas remplacer par des slides : le cycle du développement piloté par les tests ne se comprend qu'en le voyant, avec la barre qui passe du rouge au vert.</w:t>
      </w:r>
    </w:p>
    <w:p>
      <w:pPr>
        <w:keepNext/>
        <w:spacing w:after="120" w:before="280"/>
      </w:pPr>
      <w:r>
        <w:rPr>
          <w:b/>
          <w:bCs/>
          <w:color w:val="7B9E4B"/>
          <w:sz w:val="26"/>
          <w:szCs w:val="26"/>
        </w:rPr>
        <w:t xml:space="preserve">Étape 1 · </w:t>
      </w:r>
      <w:r>
        <w:rPr>
          <w:b/>
          <w:bCs/>
          <w:color w:val="1F4E79"/>
          <w:sz w:val="26"/>
          <w:szCs w:val="26"/>
        </w:rPr>
        <w:t xml:space="preserve">Écrire le test d'abord</w:t>
      </w:r>
      <w:r>
        <w:rPr>
          <w:color w:val="595959"/>
          <w:sz w:val="20"/>
          <w:szCs w:val="20"/>
        </w:rPr>
        <w:t xml:space="preserve">   3 min</w:t>
      </w:r>
    </w:p>
    <w:p>
      <w:pPr>
        <w:spacing w:after="120"/>
      </w:pPr>
      <w:r>
        <w:rPr>
          <w:sz w:val="22"/>
          <w:szCs w:val="22"/>
        </w:rPr>
        <w:t xml:space="preserve">Package vide. Créer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RomainTest</w:t>
      </w:r>
      <w:r>
        <w:rPr>
          <w:sz w:val="22"/>
          <w:szCs w:val="22"/>
        </w:rPr>
        <w:t xml:space="preserve"> dans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src/test</w:t>
      </w:r>
      <w:r>
        <w:rPr>
          <w:sz w:val="22"/>
          <w:szCs w:val="22"/>
        </w:rPr>
        <w:t xml:space="preserve">, et écrire :</w:t>
      </w:r>
    </w:p>
    <w:p>
      <w:pPr>
        <w:keepLines/>
        <w:shd w:fill="F2F2F2" w:val="clear"/>
        <w:spacing w:after="0" w:before="10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@Test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void unVaut1()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   assertEquals(1, Romain.enChiffres("I"));</w:t>
      </w:r>
    </w:p>
    <w:p>
      <w:pPr>
        <w:keepLines/>
        <w:shd w:fill="F2F2F2" w:val="clear"/>
        <w:spacing w:after="16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}</w:t>
      </w:r>
    </w:p>
    <w:p>
      <w:pPr>
        <w:spacing w:after="120"/>
      </w:pPr>
      <w:r>
        <w:rPr>
          <w:sz w:val="22"/>
          <w:szCs w:val="22"/>
        </w:rPr>
        <w:t xml:space="preserve">La classe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Romain</w:t>
      </w:r>
      <w:r>
        <w:rPr>
          <w:sz w:val="22"/>
          <w:szCs w:val="22"/>
        </w:rPr>
        <w:t xml:space="preserve"> n'existe pas : tout est rouge dans l'éditeur.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Alt+Entrée</w:t>
      </w:r>
      <w:r>
        <w:rPr>
          <w:sz w:val="22"/>
          <w:szCs w:val="22"/>
        </w:rPr>
        <w:t xml:space="preserve">, « Create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class</w:t>
      </w:r>
      <w:r>
        <w:rPr>
          <w:sz w:val="22"/>
          <w:szCs w:val="22"/>
        </w:rPr>
        <w:t xml:space="preserve"> Romain ». Puis « Create method ».</w:t>
      </w:r>
    </w:p>
    <w:tbl>
      <w:tblPr>
        <w:tblW w:type="dxa" w:w="9360"/>
        <w:tblBorders>
          <w:top w:val="single" w:color="A6A6A6" w:sz="2"/>
          <w:left w:val="single" w:color="7B9E4B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À dire — </w:t>
            </w:r>
            <w:r>
              <w:rPr>
                <w:sz w:val="22"/>
                <w:szCs w:val="22"/>
              </w:rPr>
              <w:t xml:space="preserve">le test vient d'écrire la signature à ma place. Il ne vérifie rien encore, il DÉCRIT ce que je veux.</w:t>
            </w:r>
          </w:p>
        </w:tc>
      </w:tr>
    </w:tbl>
    <w:p>
      <w:pPr>
        <w:keepNext/>
        <w:spacing w:after="120" w:before="280"/>
      </w:pPr>
      <w:r>
        <w:rPr>
          <w:b/>
          <w:bCs/>
          <w:color w:val="7B9E4B"/>
          <w:sz w:val="26"/>
          <w:szCs w:val="26"/>
        </w:rPr>
        <w:t xml:space="preserve">Étape 2 · </w:t>
      </w:r>
      <w:r>
        <w:rPr>
          <w:b/>
          <w:bCs/>
          <w:color w:val="1F4E79"/>
          <w:sz w:val="26"/>
          <w:szCs w:val="26"/>
        </w:rPr>
        <w:t xml:space="preserve">Le voir échouer</w:t>
      </w:r>
      <w:r>
        <w:rPr>
          <w:color w:val="595959"/>
          <w:sz w:val="20"/>
          <w:szCs w:val="20"/>
        </w:rPr>
        <w:t xml:space="preserve">   2 min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Lancer. Rouge.</w:t>
      </w:r>
    </w:p>
    <w:tbl>
      <w:tblPr>
        <w:tblW w:type="dxa" w:w="9360"/>
        <w:tblBorders>
          <w:top w:val="single" w:color="A6A6A6" w:sz="2"/>
          <w:left w:val="single" w:color="7B9E4B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À dire — </w:t>
            </w:r>
            <w:r>
              <w:rPr>
                <w:sz w:val="22"/>
                <w:szCs w:val="22"/>
              </w:rPr>
              <w:t xml:space="preserve">c'est une étape, pas un accident. Un test qu'on n'a jamais vu échouer ne prouve rien : il pourrait être vert par erreur.</w:t>
            </w:r>
          </w:p>
        </w:tc>
      </w:tr>
    </w:tbl>
    <w:p>
      <w:pPr>
        <w:keepNext/>
        <w:spacing w:after="120" w:before="280"/>
      </w:pPr>
      <w:r>
        <w:rPr>
          <w:b/>
          <w:bCs/>
          <w:color w:val="7B9E4B"/>
          <w:sz w:val="26"/>
          <w:szCs w:val="26"/>
        </w:rPr>
        <w:t xml:space="preserve">Étape 3 · </w:t>
      </w:r>
      <w:r>
        <w:rPr>
          <w:b/>
          <w:bCs/>
          <w:color w:val="1F4E79"/>
          <w:sz w:val="26"/>
          <w:szCs w:val="26"/>
        </w:rPr>
        <w:t xml:space="preserve">La plus petite chose qui passe</w:t>
      </w:r>
      <w:r>
        <w:rPr>
          <w:color w:val="595959"/>
          <w:sz w:val="20"/>
          <w:szCs w:val="20"/>
        </w:rPr>
        <w:t xml:space="preserve">   2 min</w:t>
      </w:r>
    </w:p>
    <w:p>
      <w:pPr>
        <w:spacing w:after="120"/>
      </w:pPr>
      <w:r>
        <w:rPr>
          <w:sz w:val="22"/>
          <w:szCs w:val="22"/>
        </w:rPr>
        <w:t xml:space="preserve">Écrire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return 1;</w:t>
      </w:r>
      <w:r>
        <w:rPr>
          <w:sz w:val="22"/>
          <w:szCs w:val="22"/>
        </w:rPr>
        <w:t xml:space="preserve">. Lancer. Vert.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Les étudiants protestent. Les laisser protester.</w:t>
      </w:r>
    </w:p>
    <w:tbl>
      <w:tblPr>
        <w:tblW w:type="dxa" w:w="9360"/>
        <w:tblBorders>
          <w:top w:val="single" w:color="A6A6A6" w:sz="2"/>
          <w:left w:val="single" w:color="7B9E4B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À dire — </w:t>
            </w:r>
            <w:r>
              <w:rPr>
                <w:sz w:val="22"/>
                <w:szCs w:val="22"/>
              </w:rPr>
              <w:t xml:space="preserve">vous avez raison, c'est ridicule. Mais mon test ne demande rien de plus. Si je veux mieux, j'écris un meilleur test.</w:t>
            </w:r>
          </w:p>
        </w:tc>
      </w:tr>
    </w:tbl>
    <w:p>
      <w:pPr>
        <w:keepNext/>
        <w:spacing w:after="120" w:before="280"/>
      </w:pPr>
      <w:r>
        <w:rPr>
          <w:b/>
          <w:bCs/>
          <w:color w:val="7B9E4B"/>
          <w:sz w:val="26"/>
          <w:szCs w:val="26"/>
        </w:rPr>
        <w:t xml:space="preserve">Étape 4 · </w:t>
      </w:r>
      <w:r>
        <w:rPr>
          <w:b/>
          <w:bCs/>
          <w:color w:val="1F4E79"/>
          <w:sz w:val="26"/>
          <w:szCs w:val="26"/>
        </w:rPr>
        <w:t xml:space="preserve">Un deuxième test force le vrai code</w:t>
      </w:r>
      <w:r>
        <w:rPr>
          <w:color w:val="595959"/>
          <w:sz w:val="20"/>
          <w:szCs w:val="20"/>
        </w:rPr>
        <w:t xml:space="preserve">   4 min</w:t>
      </w:r>
    </w:p>
    <w:p>
      <w:pPr>
        <w:keepLines/>
        <w:shd w:fill="F2F2F2" w:val="clear"/>
        <w:spacing w:after="0" w:before="10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assertEquals(5, Romain.enChiffres("V"));    rouge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   -&gt; ecrire la table de correspondance      vert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assertEquals(2, Romain.enChiffres("II"));   rouge</w:t>
      </w:r>
    </w:p>
    <w:p>
      <w:pPr>
        <w:keepLines/>
        <w:shd w:fill="F2F2F2" w:val="clear"/>
        <w:spacing w:after="16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   -&gt; ajouter la boucle                      vert</w:t>
      </w:r>
    </w:p>
    <w:tbl>
      <w:tblPr>
        <w:tblW w:type="dxa" w:w="9360"/>
        <w:tblBorders>
          <w:top w:val="single" w:color="A6A6A6" w:sz="2"/>
          <w:left w:val="single" w:color="7B9E4B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À dire — </w:t>
            </w:r>
            <w:r>
              <w:rPr>
                <w:sz w:val="22"/>
                <w:szCs w:val="22"/>
              </w:rPr>
              <w:t xml:space="preserve">à chaque tour, le test tire le code d'un cran. Je n'ai jamais écrit de code que rien ne demandait.</w:t>
            </w:r>
          </w:p>
        </w:tc>
      </w:tr>
    </w:tbl>
    <w:p>
      <w:pPr>
        <w:keepNext/>
        <w:spacing w:after="120" w:before="280"/>
      </w:pPr>
      <w:r>
        <w:rPr>
          <w:b/>
          <w:bCs/>
          <w:color w:val="7B9E4B"/>
          <w:sz w:val="26"/>
          <w:szCs w:val="26"/>
        </w:rPr>
        <w:t xml:space="preserve">Étape 5 · </w:t>
      </w:r>
      <w:r>
        <w:rPr>
          <w:b/>
          <w:bCs/>
          <w:color w:val="1F4E79"/>
          <w:sz w:val="26"/>
          <w:szCs w:val="26"/>
        </w:rPr>
        <w:t xml:space="preserve">Le cas qui fait tout basculer</w:t>
      </w:r>
      <w:r>
        <w:rPr>
          <w:color w:val="595959"/>
          <w:sz w:val="20"/>
          <w:szCs w:val="20"/>
        </w:rPr>
        <w:t xml:space="preserve">   3 min</w:t>
      </w:r>
    </w:p>
    <w:p>
      <w:pPr>
        <w:spacing w:after="120"/>
      </w:pPr>
      <w:r>
        <w:rPr>
          <w:sz w:val="22"/>
          <w:szCs w:val="22"/>
        </w:rPr>
        <w:t xml:space="preserve">Ajouter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assertEquals(4, Romain.enChiffres("IV"));</w:t>
      </w:r>
      <w:r>
        <w:rPr>
          <w:sz w:val="22"/>
          <w:szCs w:val="22"/>
        </w:rPr>
        <w:t xml:space="preserve"> : rouge, la somme naïve donne 6.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Laisser chercher. Puis montrer la règle soustractive.</w:t>
      </w:r>
    </w:p>
    <w:tbl>
      <w:tblPr>
        <w:tblW w:type="dxa" w:w="9360"/>
        <w:tblBorders>
          <w:top w:val="single" w:color="A6A6A6" w:sz="2"/>
          <w:left w:val="single" w:color="7B9E4B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À dire — </w:t>
            </w:r>
            <w:r>
              <w:rPr>
                <w:sz w:val="22"/>
                <w:szCs w:val="22"/>
              </w:rPr>
              <w:t xml:space="preserve">ce cas-là, je ne l'aurais pas vu en écrivant le code d'abord. C'est en cherchant quoi tester que je l'ai trouvé.</w:t>
            </w:r>
          </w:p>
        </w:tc>
      </w:tr>
    </w:tbl>
    <w:p>
      <w:pPr>
        <w:keepNext/>
        <w:spacing w:after="120" w:before="280"/>
      </w:pPr>
      <w:r>
        <w:rPr>
          <w:b/>
          <w:bCs/>
          <w:color w:val="7B9E4B"/>
          <w:sz w:val="26"/>
          <w:szCs w:val="26"/>
        </w:rPr>
        <w:t xml:space="preserve">Étape 6 · </w:t>
      </w:r>
      <w:r>
        <w:rPr>
          <w:b/>
          <w:bCs/>
          <w:color w:val="1F4E79"/>
          <w:sz w:val="26"/>
          <w:szCs w:val="26"/>
        </w:rPr>
        <w:t xml:space="preserve">Nettoyer sans crainte</w:t>
      </w:r>
      <w:r>
        <w:rPr>
          <w:color w:val="595959"/>
          <w:sz w:val="20"/>
          <w:szCs w:val="20"/>
        </w:rPr>
        <w:t xml:space="preserve">   1 min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Renommer une variable, extraire une méthode, reformater. Relancer après chaque geste : vert, vert, vert.</w:t>
      </w:r>
    </w:p>
    <w:tbl>
      <w:tblPr>
        <w:tblW w:type="dxa" w:w="9360"/>
        <w:tblBorders>
          <w:top w:val="single" w:color="A6A6A6" w:sz="2"/>
          <w:left w:val="single" w:color="7B9E4B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À dire — </w:t>
            </w:r>
            <w:r>
              <w:rPr>
                <w:sz w:val="22"/>
                <w:szCs w:val="22"/>
              </w:rPr>
              <w:t xml:space="preserve">voilà ce que les tests achètent vraiment. Pas la preuve que le code marche : le droit de le modifier sans trembler.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Ce qu'il faut rater exprès</w:t>
      </w:r>
    </w:p>
    <w:tbl>
      <w:tblPr>
        <w:tblW w:type="dxa" w:w="9360"/>
        <w:tblBorders>
          <w:top w:val="single" w:color="A6A6A6" w:sz="2"/>
          <w:left w:val="single" w:color="9C2B2B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À l'étape 2</w:t>
            </w:r>
            <w:r>
              <w:rPr>
                <w:sz w:val="22"/>
                <w:szCs w:val="22"/>
              </w:rPr>
              <w:t xml:space="preserve"> — écrire un test sans assertion :</w:t>
            </w:r>
          </w:p>
          <w:p>
            <w:pPr>
              <w:spacing w:after="8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@Test  void cinqVaut5() { Romain.enChiffres("V"); }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Le lancer : vert, immédiatement, alors que rien n'est écrit.</w:t>
            </w:r>
          </w:p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À dire — </w:t>
            </w:r>
            <w:r>
              <w:rPr>
                <w:sz w:val="22"/>
                <w:szCs w:val="22"/>
              </w:rPr>
              <w:t xml:space="preserve">ce test ne vérifie rien et ne le dira jamais. C'est le défaut le plus fréquent dans les classes de test rendues à l'examen. Voir CC-TST.2.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Renvois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Code</w:t>
            </w:r>
          </w:p>
        </w:tc>
        <w:tc>
          <w:tcPr>
            <w:tcW w:type="dxa" w:w="776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Ce qu'il dit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CC-TST.1</w:t>
            </w:r>
          </w:p>
        </w:tc>
        <w:tc>
          <w:tcPr>
            <w:tcW w:type="dxa" w:w="77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 test doit être lisible avant d'être malin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CC-TST.2</w:t>
            </w:r>
          </w:p>
        </w:tc>
        <w:tc>
          <w:tcPr>
            <w:tcW w:type="dxa" w:w="77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une assertion par test, et au moins une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IDE.17</w:t>
            </w:r>
          </w:p>
        </w:tc>
        <w:tc>
          <w:tcPr>
            <w:tcW w:type="dxa" w:w="77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lancer les tests et lire le rapport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Où se trouve l'état final</w:t>
      </w:r>
    </w:p>
    <w:p>
      <w:pPr>
        <w:spacing w:after="120"/>
      </w:pPr>
      <w:r>
        <w:rPr>
          <w:sz w:val="22"/>
          <w:szCs w:val="22"/>
        </w:rPr>
        <w:t xml:space="preserve">La classe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Romain</w:t>
      </w:r>
      <w:r>
        <w:rPr>
          <w:sz w:val="22"/>
          <w:szCs w:val="22"/>
        </w:rPr>
        <w:t xml:space="preserve"> est dans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demos/src/main/java/…/demo/jun/</w:t>
      </w:r>
      <w:r>
        <w:rPr>
          <w:sz w:val="22"/>
          <w:szCs w:val="22"/>
        </w:rPr>
        <w:t xml:space="preserve">, et sa classe de test dans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demos/src/test/java/…/demo/jun/</w:t>
      </w:r>
      <w:r>
        <w:rPr>
          <w:sz w:val="22"/>
          <w:szCs w:val="22"/>
        </w:rPr>
        <w:t xml:space="preserve">. Les deux sont publiées avec les corrigés de la séance.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L'ordre des méthodes de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RomainTest</w:t>
      </w:r>
      <w:r>
        <w:rPr>
          <w:sz w:val="22"/>
          <w:szCs w:val="22"/>
        </w:rPr>
        <w:t xml:space="preserve"> raconte l'ordre dans lequel le code est né : chacune était rouge avant que la ligne correspondante ne soit écrite.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Pour rejouer</w:t>
      </w:r>
    </w:p>
    <w:p>
      <w:pPr>
        <w:spacing w:after="120"/>
      </w:pPr>
      <w:r>
        <w:rPr>
          <w:sz w:val="22"/>
          <w:szCs w:val="22"/>
        </w:rPr>
        <w:t xml:space="preserve">Repartir d'un package vide : l'intérêt est dans le chemin.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_demos/sources_initiales/jun/</w:t>
      </w:r>
      <w:r>
        <w:rPr>
          <w:sz w:val="22"/>
          <w:szCs w:val="22"/>
        </w:rPr>
        <w:t xml:space="preserve"> contient l'état de l'étape 3 — le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return 1;</w:t>
      </w:r>
      <w:r>
        <w:rPr>
          <w:sz w:val="22"/>
          <w:szCs w:val="22"/>
        </w:rPr>
        <w:t xml:space="preserve"> — parce qu'aucun état antérieur ne compile, ce qui est précisément le sujet des deux premières étapes.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rmorant Garamond" w:hAnsi="Cormorant Garamond" w:eastAsia="Cormorant Garamond" w:cs="Cormorant Garamon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rFonts w:ascii="Cormorant Garamond" w:hAnsi="Cormorant Garamond" w:eastAsia="Cormorant Garamond" w:cs="Cormorant Garamond"/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ormorant Garamond" w:hAnsi="Cormorant Garamond" w:eastAsia="Cormorant Garamond" w:cs="Cormorant Garamond"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ormorant Garamond" w:hAnsi="Cormorant Garamond" w:eastAsia="Cormorant Garamond" w:cs="Cormorant Garamond"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Cormorant Garamond" w:hAnsi="Cormorant Garamond" w:eastAsia="Cormorant Garamond" w:cs="Cormorant Garamond"/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rFonts w:ascii="Cormorant Garamond" w:hAnsi="Cormorant Garamond" w:eastAsia="Cormorant Garamond" w:cs="Cormorant Garamond"/>
      <w:i/>
      <w:iCs/>
      <w:color w:val="2E74B5"/>
    </w:rPr>
  </w:style>
  <w:style w:type="paragraph" w:styleId="Heading5">
    <w:name w:val="Heading 5"/>
    <w:basedOn w:val="Normal"/>
    <w:next w:val="Normal"/>
    <w:qFormat/>
    <w:rPr>
      <w:rFonts w:ascii="Cormorant Garamond" w:hAnsi="Cormorant Garamond" w:eastAsia="Cormorant Garamond" w:cs="Cormorant Garamond"/>
      <w:color w:val="2E74B5"/>
    </w:rPr>
  </w:style>
  <w:style w:type="paragraph" w:styleId="Heading6">
    <w:name w:val="Heading 6"/>
    <w:basedOn w:val="Normal"/>
    <w:next w:val="Normal"/>
    <w:qFormat/>
    <w:rPr>
      <w:rFonts w:ascii="Cormorant Garamond" w:hAnsi="Cormorant Garamond" w:eastAsia="Cormorant Garamond" w:cs="Cormorant Garamond"/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b4872db769415494ed6ea89507b8b7fac67184e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Démo JUN</dc:title>
  <dc:creator>Frédéric Ferrant — EPHEC</dc:creator>
  <cp:lastModifiedBy>Un-named</cp:lastModifiedBy>
  <cp:revision>1</cp:revision>
  <dcterms:created xsi:type="dcterms:W3CDTF">2026-10-17T09:27:42.590Z</dcterms:created>
  <dcterms:modified xsi:type="dcterms:W3CDTF">2026-10-17T09:27:42.590Z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