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tabs>
          <w:tab w:val="right" w:pos="9026"/>
        </w:tabs>
      </w:pPr>
      <w:r>
        <w:drawing>
          <wp:inline distT="0" distB="0" distL="0" distR="0">
            <wp:extent cx="1514475" cy="723900"/>
            <wp:effectExtent t="0" r="0" b="0" l="0"/>
            <wp:docPr id="1" name="logo" descr="Logo de l'EPHEC" title="EPHE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4475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cs="Calibri" w:eastAsia="Calibri" w:hAnsi="Calibri"/>
          <w:sz w:val="36"/>
          <w:szCs w:val="36"/>
        </w:rPr>
        <w:tab/>
      </w:r>
      <w:r>
        <w:rPr>
          <w:rFonts w:ascii="Calibri" w:cs="Calibri" w:eastAsia="Calibri" w:hAnsi="Calibri"/>
          <w:color w:val="000000"/>
          <w:sz w:val="36"/>
          <w:szCs w:val="36"/>
        </w:rPr>
        <w:t xml:space="preserve">Année académique </w:t>
      </w:r>
      <w:r>
        <w:rPr>
          <w:rFonts w:ascii="Calibri" w:cs="Calibri" w:eastAsia="Calibri" w:hAnsi="Calibri"/>
          <w:b/>
          <w:bCs/>
          <w:color w:val="000000"/>
          <w:sz w:val="36"/>
          <w:szCs w:val="36"/>
        </w:rPr>
        <w:t xml:space="preserve">2026-2027</w:t>
      </w:r>
    </w:p>
    <w:p>
      <w:pPr>
        <w:spacing w:after="120" w:before="3900"/>
        <w:jc w:val="center"/>
      </w:pPr>
      <w:r>
        <w:rPr>
          <w:rFonts w:ascii="Calibri" w:cs="Calibri" w:eastAsia="Calibri" w:hAnsi="Calibri"/>
          <w:color w:val="000000"/>
          <w:sz w:val="36"/>
          <w:szCs w:val="36"/>
        </w:rPr>
        <w:t xml:space="preserve">Démonstration du cours</w:t>
      </w:r>
    </w:p>
    <w:p>
      <w:pPr>
        <w:spacing w:after="100" w:before="0"/>
        <w:jc w:val="center"/>
      </w:pPr>
      <w:r>
        <w:rPr>
          <w:rFonts w:ascii="Calibri" w:cs="Calibri" w:eastAsia="Calibri" w:hAnsi="Calibri"/>
          <w:b/>
          <w:bCs/>
          <w:color w:val="000000"/>
          <w:sz w:val="72"/>
          <w:szCs w:val="72"/>
        </w:rPr>
        <w:t xml:space="preserve">COL</w:t>
      </w:r>
    </w:p>
    <w:p>
      <w:pPr>
        <w:spacing w:after="200" w:before="0"/>
        <w:jc w:val="center"/>
      </w:pPr>
      <w:r>
        <w:rPr>
          <w:rFonts w:ascii="Calibri" w:cs="Calibri" w:eastAsia="Calibri" w:hAnsi="Calibri"/>
          <w:b/>
          <w:bCs/>
          <w:color w:val="000000"/>
          <w:sz w:val="40"/>
          <w:szCs w:val="40"/>
        </w:rPr>
        <w:t xml:space="preserve">Choisir une collection en se trompant d'abord</w:t>
      </w:r>
    </w:p>
    <w:p>
      <w:pPr>
        <w:spacing w:before="4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400"/>
        <w:gridCol w:w="2960"/>
      </w:tblGrid>
      <w:tr>
        <w:trPr>
          <w:tblHeader/>
        </w:trPr>
        <w:tc>
          <w:tcPr>
            <w:tcW w:type="dxa" w:w="20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Durée</w:t>
            </w:r>
          </w:p>
        </w:tc>
        <w:tc>
          <w:tcPr>
            <w:tcW w:type="dxa" w:w="4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Quand la jouer</w:t>
            </w:r>
          </w:p>
        </w:tc>
        <w:tc>
          <w:tcPr>
            <w:tcW w:type="dxa" w:w="29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Code final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12 minutes</w:t>
            </w:r>
          </w:p>
        </w:tc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avant COL.1</w:t>
            </w:r>
          </w:p>
        </w:tc>
        <w:tc>
          <w:tcPr>
            <w:tcW w:type="dxa" w:w="2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demos/…/demo/col/</w:t>
            </w:r>
          </w:p>
        </w:tc>
      </w:tr>
    </w:tbl>
    <w:p>
      <w:pPr>
        <w:spacing w:after="120" w:before="300"/>
        <w:jc w:val="center"/>
      </w:pPr>
      <w:r>
        <w:rPr>
          <w:rFonts w:ascii="Calibri" w:cs="Calibri" w:eastAsia="Calibri" w:hAnsi="Calibri"/>
          <w:i/>
          <w:iCs/>
          <w:color w:val="000000"/>
          <w:sz w:val="28"/>
          <w:szCs w:val="28"/>
        </w:rPr>
        <w:t xml:space="preserve">Document destiné au professeur — ne pas distribuer</w:t>
      </w:r>
    </w:p>
    <w:p>
      <w:pPr>
        <w:spacing w:after="120" w:before="4000"/>
        <w:jc w:val="center"/>
      </w:pPr>
      <w:r>
        <w:rPr>
          <w:rFonts w:ascii="Calibri" w:cs="Calibri" w:eastAsia="Calibri" w:hAnsi="Calibri"/>
          <w:color w:val="000000"/>
          <w:sz w:val="36"/>
          <w:szCs w:val="36"/>
        </w:rPr>
        <w:t xml:space="preserve">EPHEC — Bachelier en informatique, niveau 2</w:t>
      </w:r>
    </w:p>
    <w:p>
      <w:r>
        <w:br w:type="page"/>
      </w:r>
    </w:p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1 · </w:t>
      </w:r>
      <w:r>
        <w:rPr>
          <w:b/>
          <w:bCs/>
          <w:color w:val="1F4E79"/>
          <w:sz w:val="26"/>
          <w:szCs w:val="26"/>
        </w:rPr>
        <w:t xml:space="preserve">Une liste, parce que c'est le réflexe</w:t>
      </w:r>
      <w:r>
        <w:rPr>
          <w:color w:val="595959"/>
          <w:sz w:val="20"/>
          <w:szCs w:val="20"/>
        </w:rPr>
        <w:t xml:space="preserve">   2 min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Lancer l'état de départ : une liste d'invités. Turing y est deux fois, et l'ordre est celui des insertions.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quatre invités pour trois personnes. Qui corrige ça, et où ?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2 · </w:t>
      </w:r>
      <w:r>
        <w:rPr>
          <w:b/>
          <w:bCs/>
          <w:color w:val="1F4E79"/>
          <w:sz w:val="26"/>
          <w:szCs w:val="26"/>
        </w:rPr>
        <w:t xml:space="preserve">La mauvaise réponse</w:t>
      </w:r>
      <w:r>
        <w:rPr>
          <w:color w:val="595959"/>
          <w:sz w:val="20"/>
          <w:szCs w:val="20"/>
        </w:rPr>
        <w:t xml:space="preserve">   3 min</w:t>
      </w:r>
    </w:p>
    <w:p>
      <w:pPr>
        <w:spacing w:after="120"/>
      </w:pPr>
      <w:r>
        <w:rPr>
          <w:sz w:val="22"/>
          <w:szCs w:val="22"/>
        </w:rPr>
        <w:t xml:space="preserve">Laisser proposer un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if (!invites.contains(nom))</w:t>
      </w:r>
      <w:r>
        <w:rPr>
          <w:sz w:val="22"/>
          <w:szCs w:val="22"/>
        </w:rPr>
        <w:t xml:space="preserve"> dans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inviter</w:t>
      </w:r>
      <w:r>
        <w:rPr>
          <w:sz w:val="22"/>
          <w:szCs w:val="22"/>
        </w:rPr>
        <w:t xml:space="preserve">. L'écrire. Ça marche.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ça marche, et pourtant c'est fragile. La règle vit dans une méthode ; le jour où quelqu'un ajoute une seconde façon d'inviter, il faudra y penser à nouveau.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3 · </w:t>
      </w:r>
      <w:r>
        <w:rPr>
          <w:b/>
          <w:bCs/>
          <w:color w:val="1F4E79"/>
          <w:sz w:val="26"/>
          <w:szCs w:val="26"/>
        </w:rPr>
        <w:t xml:space="preserve">La bonne réponse tient en un mot</w:t>
      </w:r>
      <w:r>
        <w:rPr>
          <w:color w:val="595959"/>
          <w:sz w:val="20"/>
          <w:szCs w:val="20"/>
        </w:rPr>
        <w:t xml:space="preserve">   3 min</w:t>
      </w:r>
    </w:p>
    <w:p>
      <w:pPr>
        <w:spacing w:after="120"/>
      </w:pPr>
      <w:r>
        <w:rPr>
          <w:sz w:val="22"/>
          <w:szCs w:val="22"/>
        </w:rPr>
        <w:t xml:space="preserve">Supprimer le test. Remplacer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ArrayList</w:t>
      </w:r>
      <w:r>
        <w:rPr>
          <w:sz w:val="22"/>
          <w:szCs w:val="22"/>
        </w:rPr>
        <w:t xml:space="preserve"> par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HashSet</w:t>
      </w:r>
      <w:r>
        <w:rPr>
          <w:sz w:val="22"/>
          <w:szCs w:val="22"/>
        </w:rPr>
        <w:t xml:space="preserve">, et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List</w:t>
      </w:r>
      <w:r>
        <w:rPr>
          <w:sz w:val="22"/>
          <w:szCs w:val="22"/>
        </w:rPr>
        <w:t xml:space="preserve"> par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Set</w:t>
      </w:r>
      <w:r>
        <w:rPr>
          <w:sz w:val="22"/>
          <w:szCs w:val="22"/>
        </w:rPr>
        <w:t xml:space="preserve">. Relancer : trois invités.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la règle n'est plus dans le code, elle est dans la structure. Personne ne peut plus l'oublier, parce qu'il n'y a plus rien à ne pas oublier.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4 · </w:t>
      </w:r>
      <w:r>
        <w:rPr>
          <w:b/>
          <w:bCs/>
          <w:color w:val="1F4E79"/>
          <w:sz w:val="26"/>
          <w:szCs w:val="26"/>
        </w:rPr>
        <w:t xml:space="preserve">Le deuxième problème, même remède</w:t>
      </w:r>
      <w:r>
        <w:rPr>
          <w:color w:val="595959"/>
          <w:sz w:val="20"/>
          <w:szCs w:val="20"/>
        </w:rPr>
        <w:t xml:space="preserve">   3 min</w:t>
      </w:r>
    </w:p>
    <w:p>
      <w:pPr>
        <w:spacing w:after="120"/>
      </w:pPr>
      <w:r>
        <w:rPr>
          <w:sz w:val="22"/>
          <w:szCs w:val="22"/>
        </w:rPr>
        <w:t xml:space="preserve">Faire remarquer l'ordre, imprévisible. Laisser proposer un tri à l'affichage. Puis remplacer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HashSet</w:t>
      </w:r>
      <w:r>
        <w:rPr>
          <w:sz w:val="22"/>
          <w:szCs w:val="22"/>
        </w:rPr>
        <w:t xml:space="preserve"> par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TreeSet</w:t>
      </w:r>
      <w:r>
        <w:rPr>
          <w:sz w:val="22"/>
          <w:szCs w:val="22"/>
        </w:rPr>
        <w:t xml:space="preserve"> : un mot, et l'ordre est permanent.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il n'y a plus un seul instant où la liste ne soit pas triée. Trier à l'affichage laisse toujours une fenêtre où elle ne l'est pas.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5 · </w:t>
      </w:r>
      <w:r>
        <w:rPr>
          <w:b/>
          <w:bCs/>
          <w:color w:val="1F4E79"/>
          <w:sz w:val="26"/>
          <w:szCs w:val="26"/>
        </w:rPr>
        <w:t xml:space="preserve">Récapituler</w:t>
      </w:r>
      <w:r>
        <w:rPr>
          <w:color w:val="595959"/>
          <w:sz w:val="20"/>
          <w:szCs w:val="20"/>
        </w:rPr>
        <w:t xml:space="preserve">   1 min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4960"/>
      </w:tblGrid>
      <w:tr>
        <w:trPr>
          <w:tblHeader/>
        </w:trPr>
        <w:tc>
          <w:tcPr>
            <w:tcW w:type="dxa" w:w="4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Ce qu'on veut</w:t>
            </w:r>
          </w:p>
        </w:tc>
        <w:tc>
          <w:tcPr>
            <w:tcW w:type="dxa" w:w="49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Ce qu'on choisit</w:t>
            </w:r>
          </w:p>
        </w:tc>
      </w:tr>
      <w:tr>
        <w:trPr>
          <w:cantSplit/>
        </w:trPr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ordre, des doublons permis</w:t>
            </w:r>
          </w:p>
        </w:tc>
        <w:tc>
          <w:tcPr>
            <w:tcW w:type="dxa" w:w="4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List</w:t>
            </w:r>
          </w:p>
        </w:tc>
      </w:tr>
      <w:tr>
        <w:trPr>
          <w:cantSplit/>
        </w:trPr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aucun doublon</w:t>
            </w:r>
          </w:p>
        </w:tc>
        <w:tc>
          <w:tcPr>
            <w:tcW w:type="dxa" w:w="4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Set</w:t>
            </w:r>
          </w:p>
        </w:tc>
      </w:tr>
      <w:tr>
        <w:trPr>
          <w:cantSplit/>
        </w:trPr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aucun doublon, et trié en permanence</w:t>
            </w:r>
          </w:p>
        </w:tc>
        <w:tc>
          <w:tcPr>
            <w:tcW w:type="dxa" w:w="4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TreeSet</w:t>
            </w:r>
          </w:p>
        </w:tc>
      </w:tr>
      <w:tr>
        <w:trPr>
          <w:cantSplit/>
        </w:trPr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une valeur par clé</w:t>
            </w:r>
          </w:p>
        </w:tc>
        <w:tc>
          <w:tcPr>
            <w:tcW w:type="dxa" w:w="4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Map</w:t>
            </w:r>
          </w:p>
        </w:tc>
      </w:tr>
    </w:tbl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on ne choisit pas une collection par habitude, on la choisit sur la promesse qu'elle tient.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Ce qu'il faut rater exprès</w:t>
      </w:r>
    </w:p>
    <w:tbl>
      <w:tblPr>
        <w:tblW w:type="dxa" w:w="9360"/>
        <w:tblBorders>
          <w:top w:val="single" w:color="A6A6A6" w:sz="2"/>
          <w:left w:val="single" w:color="9C2B2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À l'étape 3</w:t>
            </w:r>
            <w:r>
              <w:rPr>
                <w:sz w:val="22"/>
                <w:szCs w:val="22"/>
              </w:rPr>
              <w:t xml:space="preserve"> — ne changer que le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new</w:t>
            </w:r>
            <w:r>
              <w:rPr>
                <w:sz w:val="22"/>
                <w:szCs w:val="22"/>
              </w:rPr>
              <w:t xml:space="preserve"> et laisser la déclaration en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List</w:t>
            </w:r>
            <w:r>
              <w:rPr>
                <w:sz w:val="22"/>
                <w:szCs w:val="22"/>
              </w:rPr>
              <w:t xml:space="preserve">.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Le compilateur refuse : un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HashSet</w:t>
            </w:r>
            <w:r>
              <w:rPr>
                <w:sz w:val="22"/>
                <w:szCs w:val="22"/>
              </w:rPr>
              <w:t xml:space="preserve"> n'est pas une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List</w:t>
            </w:r>
            <w:r>
              <w:rPr>
                <w:sz w:val="22"/>
                <w:szCs w:val="22"/>
              </w:rPr>
              <w:t xml:space="preserve">. Profiter du message.</w:t>
            </w:r>
          </w:p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le type de la variable est une promesse faite au reste du programme. La changer, c'est changer cette promesse, et le compilateur vérifie que tout le monde suit.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Renvois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rPr>
          <w:tblHeader/>
        </w:trPr>
        <w:tc>
          <w:tcPr>
            <w:tcW w:type="dxa" w:w="17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Code</w:t>
            </w:r>
          </w:p>
        </w:tc>
        <w:tc>
          <w:tcPr>
            <w:tcW w:type="dxa" w:w="76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Ce qu'il dit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  <w:u w:val="none"/>
              </w:rPr>
              <w:t xml:space="preserve">CC-OBJ.2</w:t>
            </w:r>
          </w:p>
        </w:tc>
        <w:tc>
          <w:tcPr>
            <w:tcW w:type="dxa" w:w="76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objet expose des comportements, pas ses données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  <w:u w:val="none"/>
              </w:rPr>
              <w:t xml:space="preserve">CC-CLS.4</w:t>
            </w:r>
          </w:p>
        </w:tc>
        <w:tc>
          <w:tcPr>
            <w:tcW w:type="dxa" w:w="76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confier une règle à la structure plutôt qu'à la vigilance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Pour rejouer</w:t>
      </w:r>
    </w:p>
    <w:p>
      <w:pPr>
        <w:spacing w:after="120"/>
      </w:pPr>
      <w:r>
        <w:rPr>
          <w:sz w:val="22"/>
          <w:szCs w:val="22"/>
        </w:rPr>
        <w:t xml:space="preserve">Charger l'état de départ :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python3 _outils/preparer_demo.py col</w:t>
      </w:r>
      <w:r>
        <w:rPr>
          <w:sz w:val="22"/>
          <w:szCs w:val="22"/>
        </w:rPr>
        <w:t xml:space="preserve">. </w:t>
      </w:r>
      <w:r>
        <w:rPr>
          <w:sz w:val="22"/>
          <w:szCs w:val="22"/>
        </w:rPr>
        <w:t xml:space="preserve">L'état d'arrivée utilise un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TreeSet</w:t>
      </w:r>
      <w:r>
        <w:rPr>
          <w:sz w:val="22"/>
          <w:szCs w:val="22"/>
        </w:rPr>
        <w:t xml:space="preserve"> et retourne une vue non modifiable.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59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ormorant Garamond" w:hAnsi="Cormorant Garamond" w:eastAsia="Cormorant Garamond" w:cs="Cormorant Garamond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rFonts w:ascii="Cormorant Garamond" w:hAnsi="Cormorant Garamond" w:eastAsia="Cormorant Garamond" w:cs="Cormorant Garamond"/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ormorant Garamond" w:hAnsi="Cormorant Garamond" w:eastAsia="Cormorant Garamond" w:cs="Cormorant Garamond"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rFonts w:ascii="Cormorant Garamond" w:hAnsi="Cormorant Garamond" w:eastAsia="Cormorant Garamond" w:cs="Cormorant Garamond"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rFonts w:ascii="Cormorant Garamond" w:hAnsi="Cormorant Garamond" w:eastAsia="Cormorant Garamond" w:cs="Cormorant Garamond"/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rFonts w:ascii="Cormorant Garamond" w:hAnsi="Cormorant Garamond" w:eastAsia="Cormorant Garamond" w:cs="Cormorant Garamond"/>
      <w:i/>
      <w:iCs/>
      <w:color w:val="2E74B5"/>
    </w:rPr>
  </w:style>
  <w:style w:type="paragraph" w:styleId="Heading5">
    <w:name w:val="Heading 5"/>
    <w:basedOn w:val="Normal"/>
    <w:next w:val="Normal"/>
    <w:qFormat/>
    <w:rPr>
      <w:rFonts w:ascii="Cormorant Garamond" w:hAnsi="Cormorant Garamond" w:eastAsia="Cormorant Garamond" w:cs="Cormorant Garamond"/>
      <w:color w:val="2E74B5"/>
    </w:rPr>
  </w:style>
  <w:style w:type="paragraph" w:styleId="Heading6">
    <w:name w:val="Heading 6"/>
    <w:basedOn w:val="Normal"/>
    <w:next w:val="Normal"/>
    <w:qFormat/>
    <w:rPr>
      <w:rFonts w:ascii="Cormorant Garamond" w:hAnsi="Cormorant Garamond" w:eastAsia="Cormorant Garamond" w:cs="Cormorant Garamond"/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b4872db769415494ed6ea89507b8b7fac67184e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Démo COL</dc:title>
  <dc:creator>Frédéric Ferrant — EPHEC</dc:creator>
  <cp:lastModifiedBy>Un-named</cp:lastModifiedBy>
  <cp:revision>1</cp:revision>
  <dcterms:created xsi:type="dcterms:W3CDTF">2026-10-17T12:42:10.871Z</dcterms:created>
  <dcterms:modified xsi:type="dcterms:W3CDTF">2026-10-17T12:42:10.871Z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