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ITF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Décrire ce qu'on attend, sans dire qui le fera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porter.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effectueCalcul</w:t>
            </w:r>
            <w:r>
              <w:rPr>
                <w:sz w:val="22"/>
                <w:szCs w:val="22"/>
              </w:rPr>
              <w:t xml:space="preserve">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</w:t>
      </w:r>
      <w:r>
        <w:rPr>
          <w:sz w:val="22"/>
          <w:szCs w:val="22"/>
        </w:rPr>
        <w:t xml:space="preserve">. Chacune rend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rendre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rendant le compte-rendu, elle laisse l'appelant décider quoi en faire — l'afficher, l'enregistrer, l'envoyer par courriel. C'est la règle CC-MET.7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Locale.US</w:t>
            </w:r>
            <w:r>
              <w:rPr>
                <w:sz w:val="22"/>
                <w:szCs w:val="22"/>
              </w:rPr>
              <w:t xml:space="preserve">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rendu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nouveauProduit</w:t>
      </w:r>
      <w:r>
        <w:rPr>
          <w:sz w:val="22"/>
          <w:szCs w:val="22"/>
        </w:rPr>
        <w:t xml:space="preserve">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2026-10-16T21:19:39.773Z</dcterms:created>
  <dcterms:modified xsi:type="dcterms:W3CDTF">2026-10-16T21:19:39.773Z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