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garde.xml" ContentType="application/vnd.openxmlformats-officedocument.wordprocessingml.header+xml"/>
  <Override PartName="/word/footer_garde.xml" ContentType="application/vnd.openxmlformats-officedocument.wordprocessingml.footer+xml"/>
  <Override PartName="/word/header_vide.xml" ContentType="application/vnd.openxmlformats-officedocument.wordprocessingml.header+xml"/>
  <Override PartName="/word/footer_vide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40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Démonstration du cours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72"/>
          <w:szCs w:val="72"/>
        </w:rPr>
        <w:t xml:space="preserve">COL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Choisir une collection en se trompant d'abord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Durée</w:t>
            </w:r>
          </w:p>
        </w:tc>
        <w:tc>
          <w:tcPr>
            <w:tcW w:type="dxa" w:w="4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Quand la jouer</w:t>
            </w:r>
          </w:p>
        </w:tc>
        <w:tc>
          <w:tcPr>
            <w:tcW w:type="dxa" w:w="29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 final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 minutes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avant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COL.1</w:t>
            </w:r>
          </w:p>
        </w:tc>
        <w:tc>
          <w:tcPr>
            <w:tcW w:type="dxa" w:w="2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demos/…/demo/col/</w:t>
            </w:r>
          </w:p>
        </w:tc>
      </w:tr>
    </w:tbl>
    <w:p>
      <w:pPr>
        <w:spacing w:after="120" w:before="300"/>
        <w:jc w:val="center"/>
      </w:pPr>
      <w:r>
        <w:rPr>
          <w:rFonts w:ascii="Calibri" w:cs="Calibri" w:eastAsia="Calibri" w:hAnsi="Calibri"/>
          <w:i/>
          <w:iCs/>
          <w:color w:val="000000"/>
          <w:sz w:val="28"/>
          <w:szCs w:val="28"/>
        </w:rPr>
        <w:t xml:space="preserve">Document destiné au professeur — ne pas distribuer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docGrid w:linePitch="360"/>
        </w:sectPr>
      </w:pPr>
    </w:p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1 · </w:t>
      </w:r>
      <w:r>
        <w:rPr>
          <w:b/>
          <w:bCs/>
          <w:color w:val="1F4E79"/>
          <w:sz w:val="26"/>
          <w:szCs w:val="26"/>
        </w:rPr>
        <w:t xml:space="preserve">Une liste, parce que c'est le réflexe</w:t>
      </w:r>
      <w:r>
        <w:rPr>
          <w:color w:val="595959"/>
          <w:sz w:val="20"/>
          <w:szCs w:val="20"/>
        </w:rPr>
        <w:t xml:space="preserve">   2 min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Lancer l'état de départ : une liste d'invités. Turing y est deux fois, et l'ordre est celui des insertions.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quatre invités pour trois personnes. Qui corrige ça, et où ?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2 · </w:t>
      </w:r>
      <w:r>
        <w:rPr>
          <w:b/>
          <w:bCs/>
          <w:color w:val="1F4E79"/>
          <w:sz w:val="26"/>
          <w:szCs w:val="26"/>
        </w:rPr>
        <w:t xml:space="preserve">La mauvaise réponse</w:t>
      </w:r>
      <w:r>
        <w:rPr>
          <w:color w:val="595959"/>
          <w:sz w:val="20"/>
          <w:szCs w:val="20"/>
        </w:rPr>
        <w:t xml:space="preserve">   3 min</w:t>
      </w:r>
    </w:p>
    <w:p>
      <w:pPr>
        <w:spacing w:after="120"/>
      </w:pPr>
      <w:r>
        <w:rPr>
          <w:sz w:val="22"/>
          <w:szCs w:val="22"/>
        </w:rPr>
        <w:t xml:space="preserve">Laisser proposer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if (!invites.contains(nom))</w:t>
      </w:r>
      <w:r>
        <w:rPr>
          <w:sz w:val="22"/>
          <w:szCs w:val="22"/>
        </w:rPr>
        <w:t xml:space="preserve"> dans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inviter</w:t>
      </w:r>
      <w:r>
        <w:rPr>
          <w:sz w:val="22"/>
          <w:szCs w:val="22"/>
        </w:rPr>
        <w:t xml:space="preserve">. L'écrire. Ça marche.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ça marche, et pourtant c'est fragile. La règle vit dans une méthode ; le jour où quelqu'un ajoute une seconde façon d'inviter, il faudra y penser à nouveau.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3 · </w:t>
      </w:r>
      <w:r>
        <w:rPr>
          <w:b/>
          <w:bCs/>
          <w:color w:val="1F4E79"/>
          <w:sz w:val="26"/>
          <w:szCs w:val="26"/>
        </w:rPr>
        <w:t xml:space="preserve">La bonne réponse tient en un mot</w:t>
      </w:r>
      <w:r>
        <w:rPr>
          <w:color w:val="595959"/>
          <w:sz w:val="20"/>
          <w:szCs w:val="20"/>
        </w:rPr>
        <w:t xml:space="preserve">   3 min</w:t>
      </w:r>
    </w:p>
    <w:p>
      <w:pPr>
        <w:spacing w:after="120"/>
      </w:pPr>
      <w:r>
        <w:rPr>
          <w:sz w:val="22"/>
          <w:szCs w:val="22"/>
        </w:rPr>
        <w:t xml:space="preserve">Supprimer le test. Remplacer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ArrayList</w:t>
      </w:r>
      <w:r>
        <w:rPr>
          <w:sz w:val="22"/>
          <w:szCs w:val="22"/>
        </w:rPr>
        <w:t xml:space="preserve"> par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HashSet</w:t>
      </w:r>
      <w:r>
        <w:rPr>
          <w:sz w:val="22"/>
          <w:szCs w:val="22"/>
        </w:rPr>
        <w:t xml:space="preserve">,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List</w:t>
      </w:r>
      <w:r>
        <w:rPr>
          <w:sz w:val="22"/>
          <w:szCs w:val="22"/>
        </w:rPr>
        <w:t xml:space="preserve"> par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Set</w:t>
      </w:r>
      <w:r>
        <w:rPr>
          <w:sz w:val="22"/>
          <w:szCs w:val="22"/>
        </w:rPr>
        <w:t xml:space="preserve">. Relancer : trois invités.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la règle n'est plus dans le code, elle est dans la structure. Personne ne peut plus l'oublier, parce qu'il n'y a plus rien à ne pas oublier.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4 · </w:t>
      </w:r>
      <w:r>
        <w:rPr>
          <w:b/>
          <w:bCs/>
          <w:color w:val="1F4E79"/>
          <w:sz w:val="26"/>
          <w:szCs w:val="26"/>
        </w:rPr>
        <w:t xml:space="preserve">Le deuxième problème, même remède</w:t>
      </w:r>
      <w:r>
        <w:rPr>
          <w:color w:val="595959"/>
          <w:sz w:val="20"/>
          <w:szCs w:val="20"/>
        </w:rPr>
        <w:t xml:space="preserve">   3 min</w:t>
      </w:r>
    </w:p>
    <w:p>
      <w:pPr>
        <w:spacing w:after="120"/>
      </w:pPr>
      <w:r>
        <w:rPr>
          <w:sz w:val="22"/>
          <w:szCs w:val="22"/>
        </w:rPr>
        <w:t xml:space="preserve">Faire remarquer l'ordre, imprévisible. Laisser proposer un tri à l'affichage. Puis remplacer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HashSet</w:t>
      </w:r>
      <w:r>
        <w:rPr>
          <w:sz w:val="22"/>
          <w:szCs w:val="22"/>
        </w:rPr>
        <w:t xml:space="preserve"> par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TreeSet</w:t>
      </w:r>
      <w:r>
        <w:rPr>
          <w:sz w:val="22"/>
          <w:szCs w:val="22"/>
        </w:rPr>
        <w:t xml:space="preserve"> : un mot, et l'ordre est permanent.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il n'y a plus un seul instant où la liste ne soit pas triée. Trier à l'affichage laisse toujours une fenêtre où elle ne l'est pas.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5 · </w:t>
      </w:r>
      <w:r>
        <w:rPr>
          <w:b/>
          <w:bCs/>
          <w:color w:val="1F4E79"/>
          <w:sz w:val="26"/>
          <w:szCs w:val="26"/>
        </w:rPr>
        <w:t xml:space="preserve">Récapituler</w:t>
      </w:r>
      <w:r>
        <w:rPr>
          <w:color w:val="595959"/>
          <w:sz w:val="20"/>
          <w:szCs w:val="20"/>
        </w:rPr>
        <w:t xml:space="preserve">   1 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qu'on veut</w:t>
            </w:r>
          </w:p>
        </w:tc>
        <w:tc>
          <w:tcPr>
            <w:tcW w:type="dxa" w:w="49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qu'on choisit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ordre, des doublons permis</w:t>
            </w:r>
          </w:p>
        </w:tc>
        <w:tc>
          <w:tcPr>
            <w:tcW w:type="dxa" w:w="4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List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aucun doublon</w:t>
            </w:r>
          </w:p>
        </w:tc>
        <w:tc>
          <w:tcPr>
            <w:tcW w:type="dxa" w:w="4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Set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aucun doublon, et trié en permanence</w:t>
            </w:r>
          </w:p>
        </w:tc>
        <w:tc>
          <w:tcPr>
            <w:tcW w:type="dxa" w:w="4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TreeSet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valeur par clé</w:t>
            </w:r>
          </w:p>
        </w:tc>
        <w:tc>
          <w:tcPr>
            <w:tcW w:type="dxa" w:w="4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Map</w:t>
            </w:r>
          </w:p>
        </w:tc>
      </w:tr>
    </w:tbl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on ne choisit pas une collection par habitude, on la choisit sur la promesse qu'elle tient.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qu'il faut rater exprès</w:t>
      </w:r>
    </w:p>
    <w:tbl>
      <w:tblPr>
        <w:tblW w:type="dxa" w:w="9360"/>
        <w:tblBorders>
          <w:top w:val="single" w:color="A6A6A6" w:sz="2"/>
          <w:left w:val="single" w:color="9C2B2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À l'étape 3</w:t>
            </w:r>
            <w:r>
              <w:rPr>
                <w:sz w:val="22"/>
                <w:szCs w:val="22"/>
              </w:rPr>
              <w:t xml:space="preserve"> — ne changer que le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new</w:t>
            </w:r>
            <w:r>
              <w:rPr>
                <w:sz w:val="22"/>
                <w:szCs w:val="22"/>
              </w:rPr>
              <w:t xml:space="preserve"> et laisser la déclaration en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List</w:t>
            </w:r>
            <w:r>
              <w:rPr>
                <w:sz w:val="22"/>
                <w:szCs w:val="22"/>
              </w:rPr>
              <w:t xml:space="preserve">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Le compilateur refuse : un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HashSet</w:t>
            </w:r>
            <w:r>
              <w:rPr>
                <w:sz w:val="22"/>
                <w:szCs w:val="22"/>
              </w:rPr>
              <w:t xml:space="preserve"> n'est pas une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List</w:t>
            </w:r>
            <w:r>
              <w:rPr>
                <w:sz w:val="22"/>
                <w:szCs w:val="22"/>
              </w:rPr>
              <w:t xml:space="preserve">. Profiter du message.</w:t>
            </w:r>
          </w:p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le type de la variable est une promesse faite au reste du programme. La changer, c'est changer cette promesse, et le compilateur vérifie que tout le monde suit.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Renvois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76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qu'il dit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  <w:u w:val="none"/>
              </w:rPr>
              <w:t xml:space="preserve">CC-OBJ.2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objet expose des comportements, pas ses données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  <w:u w:val="none"/>
              </w:rPr>
              <w:t xml:space="preserve">CC-CLS.4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confier une règle à la structure plutôt qu'à la vigilance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Pour rejouer</w:t>
      </w:r>
    </w:p>
    <w:p>
      <w:pPr>
        <w:spacing w:after="120"/>
      </w:pPr>
      <w:r>
        <w:rPr>
          <w:sz w:val="22"/>
          <w:szCs w:val="22"/>
        </w:rPr>
        <w:t xml:space="preserve">Charger l'état de départ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python3 _outils/preparer_demo.py col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L'état d'arrivée utilise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TreeSet</w:t>
      </w:r>
      <w:r>
        <w:rPr>
          <w:sz w:val="22"/>
          <w:szCs w:val="22"/>
        </w:rPr>
        <w:t xml:space="preserve"> et retourne une vue non modifiable.</w:t>
      </w:r>
    </w:p>
    <w:sectPr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_gar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jc w:val="center"/>
    </w:pPr>
    <w:r>
      <w:rPr>
        <w:rFonts w:ascii="Calibri" w:cs="Calibri" w:eastAsia="Calibri" w:hAnsi="Calibri"/>
        <w:color w:val="000000"/>
        <w:sz w:val="36"/>
        <w:szCs w:val="36"/>
      </w:rPr>
      <w:t xml:space="preserve">EPHEC — Bachelier en informatique, niveau 2</w:t>
    </w:r>
  </w:p>
</w:ftr>
</file>

<file path=word/footer_vi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gar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1514475" cy="723900"/>
          <wp:effectExtent t="0" r="0" b="0" l="0"/>
          <wp:docPr id="1" name="logo" descr="Logo de l'EPHEC" title="EPHE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7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47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36"/>
        <w:szCs w:val="36"/>
      </w:rPr>
      <w:tab/>
    </w:r>
    <w:r>
      <w:rPr>
        <w:rFonts w:ascii="Calibri" w:cs="Calibri" w:eastAsia="Calibri" w:hAnsi="Calibri"/>
        <w:color w:val="000000"/>
        <w:sz w:val="36"/>
        <w:szCs w:val="36"/>
      </w:rPr>
      <w:t xml:space="preserve">Année académique </w:t>
    </w:r>
    <w:r>
      <w:rPr>
        <w:rFonts w:ascii="Calibri" w:cs="Calibri" w:eastAsia="Calibri" w:hAnsi="Calibri"/>
        <w:b/>
        <w:bCs/>
        <w:color w:val="000000"/>
        <w:sz w:val="36"/>
        <w:szCs w:val="36"/>
      </w:rPr>
      <w:t xml:space="preserve">2026-2027</w:t>
    </w:r>
  </w:p>
</w:hdr>
</file>

<file path=word/header_vi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Garamond" w:hAnsi="Cormorant Garamond" w:eastAsia="Cormorant Garamond" w:cs="Cormorant 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ormorant Garamond" w:hAnsi="Cormorant Garamond" w:eastAsia="Cormorant Garamond" w:cs="Cormorant Garamond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ormorant Garamond" w:hAnsi="Cormorant Garamond" w:eastAsia="Cormorant Garamond" w:cs="Cormorant Garamond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ormorant Garamond" w:hAnsi="Cormorant Garamond" w:eastAsia="Cormorant Garamond" w:cs="Cormorant Garamond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ormorant Garamond" w:hAnsi="Cormorant Garamond" w:eastAsia="Cormorant Garamond" w:cs="Cormorant Garamond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ormorant Garamond" w:hAnsi="Cormorant Garamond" w:eastAsia="Cormorant Garamond" w:cs="Cormorant Garamond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Cormorant Garamond" w:hAnsi="Cormorant Garamond" w:eastAsia="Cormorant Garamond" w:cs="Cormorant Garamond"/>
      <w:color w:val="2E74B5"/>
    </w:rPr>
  </w:style>
  <w:style w:type="paragraph" w:styleId="Heading6">
    <w:name w:val="Heading 6"/>
    <w:basedOn w:val="Normal"/>
    <w:next w:val="Normal"/>
    <w:qFormat/>
    <w:rPr>
      <w:rFonts w:ascii="Cormorant Garamond" w:hAnsi="Cormorant Garamond" w:eastAsia="Cormorant Garamond" w:cs="Cormorant Garamond"/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4872db769415494ed6ea89507b8b7fac67184e.png"/><Relationship Id="rId8" Type="http://schemas.openxmlformats.org/officeDocument/2006/relationships/fontTable" Target="fontTable.xml"/><Relationship Id="rId9" Type="http://schemas.openxmlformats.org/officeDocument/2006/relationships/header" Target="header_garde.xml"/><Relationship Id="rId10" Type="http://schemas.openxmlformats.org/officeDocument/2006/relationships/footer" Target="footer_garde.xml"/><Relationship Id="rId11" Type="http://schemas.openxmlformats.org/officeDocument/2006/relationships/header" Target="header_vide.xml"/><Relationship Id="rId12" Type="http://schemas.openxmlformats.org/officeDocument/2006/relationships/footer" Target="footer_vid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_garde.xml.rels><?xml version="1.0" encoding="UTF-8" standalone="yes"?>
<Relationships xmlns="http://schemas.openxmlformats.org/package/2006/relationships"><Relationship Id="rId7" Type="http://schemas.openxmlformats.org/officeDocument/2006/relationships/image" Target="media/3b4872db769415494ed6ea89507b8b7fac67184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Démo COL</dc:title>
  <dc:creator>Frédéric Ferrant — EPHEC</dc:creator>
  <cp:lastModifiedBy>Un-named</cp:lastModifiedBy>
  <cp:revision>1</cp:revision>
  <dcterms:created xsi:type="dcterms:W3CDTF">2026-10-20T22:38:51.334Z</dcterms:created>
  <dcterms:modified xsi:type="dcterms:W3CDTF">2026-10-20T22:38:51.334Z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