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PartName="/word/header_garde.xml" ContentType="application/vnd.openxmlformats-officedocument.wordprocessingml.header+xml"/>
  <Override PartName="/word/footer_garde.xml" ContentType="application/vnd.openxmlformats-officedocument.wordprocessingml.footer+xml"/>
  <Override PartName="/word/header_vide.xml" ContentType="application/vnd.openxmlformats-officedocument.wordprocessingml.header+xml"/>
  <Override PartName="/word/footer_vide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4400"/>
        <w:jc w:val="center"/>
      </w:pPr>
      <w:r>
        <w:rPr>
          <w:rFonts w:ascii="Calibri" w:cs="Calibri" w:eastAsia="Calibri" w:hAnsi="Calibri"/>
          <w:color w:val="000000"/>
          <w:sz w:val="36"/>
          <w:szCs w:val="36"/>
        </w:rPr>
        <w:t xml:space="preserve">Démonstration du cours</w:t>
      </w:r>
    </w:p>
    <w:p>
      <w:pPr>
        <w:spacing w:after="1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72"/>
          <w:szCs w:val="72"/>
        </w:rPr>
        <w:t xml:space="preserve">GEN</w:t>
      </w:r>
    </w:p>
    <w:p>
      <w:pPr>
        <w:spacing w:after="200" w:before="0"/>
        <w:jc w:val="center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L'erreur qui change de camp</w:t>
      </w:r>
    </w:p>
    <w:p>
      <w:pPr>
        <w:spacing w:before="4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960"/>
      </w:tblGrid>
      <w:tr>
        <w:trPr>
          <w:tblHeader/>
        </w:trPr>
        <w:tc>
          <w:tcPr>
            <w:tcW w:type="dxa" w:w="20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Durée</w:t>
            </w:r>
          </w:p>
        </w:tc>
        <w:tc>
          <w:tcPr>
            <w:tcW w:type="dxa" w:w="44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Quand la jouer</w:t>
            </w:r>
          </w:p>
        </w:tc>
        <w:tc>
          <w:tcPr>
            <w:tcW w:type="dxa" w:w="29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 final</w:t>
            </w:r>
          </w:p>
        </w:tc>
      </w:tr>
      <w:tr>
        <w:trPr>
          <w:cantSplit/>
        </w:trPr>
        <w:tc>
          <w:tcPr>
            <w:tcW w:type="dxa" w:w="20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12 minutes</w:t>
            </w:r>
          </w:p>
        </w:tc>
        <w:tc>
          <w:tcPr>
            <w:tcW w:type="dxa" w:w="44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avant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GEN.1</w:t>
            </w:r>
          </w:p>
        </w:tc>
        <w:tc>
          <w:tcPr>
            <w:tcW w:type="dxa" w:w="29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demos/…/demo/gen/</w:t>
            </w:r>
          </w:p>
        </w:tc>
      </w:tr>
    </w:tbl>
    <w:p>
      <w:pPr>
        <w:spacing w:after="120" w:before="300"/>
        <w:jc w:val="center"/>
      </w:pPr>
      <w:r>
        <w:rPr>
          <w:rFonts w:ascii="Calibri" w:cs="Calibri" w:eastAsia="Calibri" w:hAnsi="Calibri"/>
          <w:i/>
          <w:iCs/>
          <w:color w:val="000000"/>
          <w:sz w:val="28"/>
          <w:szCs w:val="28"/>
        </w:rPr>
        <w:t xml:space="preserve">Document destiné au professeur — ne pas distribuer</w:t>
      </w:r>
    </w:p>
    <w:p>
      <w:pPr>
        <w:sectPr>
          <w:headerReference w:type="default" r:id="rId9"/>
          <w:footerReference w:type="default" r:id="rId10"/>
          <w:pgSz w:w="11906" w:h="16838" w:orient="portrait"/>
          <w:pgMar w:top="1440" w:right="1440" w:bottom="1440" w:left="1440" w:header="708" w:footer="708" w:gutter="0"/>
          <w:docGrid w:linePitch="360"/>
        </w:sectPr>
      </w:pPr>
    </w:p>
    <w:p>
      <w:pPr>
        <w:keepNext w:val="false"/>
        <w:spacing w:after="120"/>
      </w:pPr>
      <w:r>
        <w:rPr>
          <w:sz w:val="22"/>
          <w:szCs w:val="22"/>
        </w:rPr>
        <w:t xml:space="preserve">La généricité ne rend rien possible qui ne l'était pas. Elle déplace le moment où l'erreur apparaît — et ce déplacement vaut une soirée de débogage.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1 · </w:t>
      </w:r>
      <w:r>
        <w:rPr>
          <w:b/>
          <w:bCs/>
          <w:color w:val="1F4E79"/>
          <w:sz w:val="26"/>
          <w:szCs w:val="26"/>
        </w:rPr>
        <w:t xml:space="preserve">Une pile qui accepte tout</w:t>
      </w:r>
      <w:r>
        <w:rPr>
          <w:color w:val="595959"/>
          <w:sz w:val="20"/>
          <w:szCs w:val="20"/>
        </w:rPr>
        <w:t xml:space="preserve">   3 min</w:t>
      </w:r>
    </w:p>
    <w:p>
      <w:pPr>
        <w:spacing w:after="120"/>
      </w:pPr>
      <w:r>
        <w:rPr>
          <w:sz w:val="22"/>
          <w:szCs w:val="22"/>
        </w:rPr>
        <w:t xml:space="preserve">Lancer l'état de départ :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</w:t>
      </w:r>
      <w:r>
        <w:rPr>
          <w:sz w:val="22"/>
          <w:szCs w:val="22"/>
        </w:rPr>
        <w:t xml:space="preserve"> d'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. On y empile 10, 20, puis « trente ». Ça compile sans le moindre avertissement.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Puis lancer.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ClassCastException</w:t>
      </w:r>
      <w:r>
        <w:rPr>
          <w:sz w:val="22"/>
          <w:szCs w:val="22"/>
        </w:rPr>
        <w:t xml:space="preserve">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où est l'erreur ? Pas là où ça plante. Le programme s'arrête sur la ligne qui dépile, alors que la faute a été commise trois lignes plus haut.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2 · </w:t>
      </w:r>
      <w:r>
        <w:rPr>
          <w:b/>
          <w:bCs/>
          <w:color w:val="1F4E79"/>
          <w:sz w:val="26"/>
          <w:szCs w:val="26"/>
        </w:rPr>
        <w:t xml:space="preserve">Chercher la faute dans la trace</w:t>
      </w:r>
      <w:r>
        <w:rPr>
          <w:color w:val="595959"/>
          <w:sz w:val="20"/>
          <w:szCs w:val="20"/>
        </w:rPr>
        <w:t xml:space="preserve">   2 min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Lire la trace ensemble. Elle désigne le transtypage, pas l'empilement.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dans un vrai programme, ces trois lignes seraient dans trois classes différentes, écrites par trois personnes, à trois mois d'intervalle.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3 · </w:t>
      </w:r>
      <w:r>
        <w:rPr>
          <w:b/>
          <w:bCs/>
          <w:color w:val="1F4E79"/>
          <w:sz w:val="26"/>
          <w:szCs w:val="26"/>
        </w:rPr>
        <w:t xml:space="preserve">Un caractère de plus</w:t>
      </w:r>
      <w:r>
        <w:rPr>
          <w:color w:val="595959"/>
          <w:sz w:val="20"/>
          <w:szCs w:val="20"/>
        </w:rPr>
        <w:t xml:space="preserve">   4 min</w:t>
      </w:r>
    </w:p>
    <w:p>
      <w:pPr>
        <w:spacing w:after="120"/>
      </w:pPr>
      <w:r>
        <w:rPr>
          <w:sz w:val="22"/>
          <w:szCs w:val="22"/>
        </w:rPr>
        <w:t xml:space="preserve">Ajouter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&lt;T&gt;</w:t>
      </w:r>
      <w:r>
        <w:rPr>
          <w:sz w:val="22"/>
          <w:szCs w:val="22"/>
        </w:rPr>
        <w:t xml:space="preserve"> à la classe, remplacer les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Object</w:t>
      </w:r>
      <w:r>
        <w:rPr>
          <w:sz w:val="22"/>
          <w:szCs w:val="22"/>
        </w:rPr>
        <w:t xml:space="preserve"> des signatures par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T</w:t>
      </w:r>
      <w:r>
        <w:rPr>
          <w:sz w:val="22"/>
          <w:szCs w:val="22"/>
        </w:rPr>
        <w:t xml:space="preserve">. Déclarer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Pile&lt;Integer&gt;</w:t>
      </w:r>
      <w:r>
        <w:rPr>
          <w:sz w:val="22"/>
          <w:szCs w:val="22"/>
        </w:rPr>
        <w:t xml:space="preserve"> dans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La ligne qui empile « trente » devient rouge dans l'éditeur, avant tout lancement.</w:t>
      </w:r>
    </w:p>
    <w:tbl>
      <w:tblPr>
        <w:tblW w:type="dxa" w:w="9360"/>
        <w:tblBorders>
          <w:top w:val="single" w:color="A6A6A6" w:sz="2"/>
          <w:left w:val="single" w:color="7B9E4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la même faute, refusée avant que le programme ne démarre. Voilà tout ce que la généricité apporte, et c'est énorme.</w:t>
            </w:r>
          </w:p>
        </w:tc>
      </w:tr>
    </w:tbl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4 · </w:t>
      </w:r>
      <w:r>
        <w:rPr>
          <w:b/>
          <w:bCs/>
          <w:color w:val="1F4E79"/>
          <w:sz w:val="26"/>
          <w:szCs w:val="26"/>
        </w:rPr>
        <w:t xml:space="preserve">Le transtypage disparaît</w:t>
      </w:r>
      <w:r>
        <w:rPr>
          <w:color w:val="595959"/>
          <w:sz w:val="20"/>
          <w:szCs w:val="20"/>
        </w:rPr>
        <w:t xml:space="preserve">   2 min</w:t>
      </w:r>
    </w:p>
    <w:p>
      <w:pPr>
        <w:spacing w:after="120"/>
      </w:pPr>
      <w:r>
        <w:rPr>
          <w:sz w:val="22"/>
          <w:szCs w:val="22"/>
        </w:rPr>
        <w:t xml:space="preserve">Supprimer le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(Integer)</w:t>
      </w:r>
      <w:r>
        <w:rPr>
          <w:sz w:val="22"/>
          <w:szCs w:val="22"/>
        </w:rPr>
        <w:t xml:space="preserve"> du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main</w:t>
      </w:r>
      <w:r>
        <w:rPr>
          <w:sz w:val="22"/>
          <w:szCs w:val="22"/>
        </w:rPr>
        <w:t xml:space="preserve">. Il n'est plus nécessaire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depiler()</w:t>
      </w:r>
      <w:r>
        <w:rPr>
          <w:sz w:val="22"/>
          <w:szCs w:val="22"/>
        </w:rPr>
        <w:t xml:space="preserve"> retourne un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Integer</w:t>
      </w:r>
      <w:r>
        <w:rPr>
          <w:sz w:val="22"/>
          <w:szCs w:val="22"/>
        </w:rPr>
        <w:t xml:space="preserve">.</w:t>
      </w:r>
    </w:p>
    <w:p>
      <w:pPr>
        <w:keepNext w:val="false"/>
        <w:spacing w:after="120"/>
      </w:pPr>
      <w:r>
        <w:rPr>
          <w:sz w:val="22"/>
          <w:szCs w:val="22"/>
        </w:rPr>
        <w:t xml:space="preserve">Montrer qu'il reste UN transtypage, dans la classe. Il n'a pas disparu, il a été rangé au seul endroit où il soit sûr.</w:t>
      </w:r>
    </w:p>
    <w:p>
      <w:pPr>
        <w:keepNext/>
        <w:spacing w:after="120" w:before="280"/>
      </w:pPr>
      <w:r>
        <w:rPr>
          <w:b/>
          <w:bCs/>
          <w:color w:val="7B9E4B"/>
          <w:sz w:val="26"/>
          <w:szCs w:val="26"/>
        </w:rPr>
        <w:t xml:space="preserve">Étape 5 · </w:t>
      </w:r>
      <w:r>
        <w:rPr>
          <w:b/>
          <w:bCs/>
          <w:color w:val="1F4E79"/>
          <w:sz w:val="26"/>
          <w:szCs w:val="26"/>
        </w:rPr>
        <w:t xml:space="preserve">La même classe, un autre type</w:t>
      </w:r>
      <w:r>
        <w:rPr>
          <w:color w:val="595959"/>
          <w:sz w:val="20"/>
          <w:szCs w:val="20"/>
        </w:rPr>
        <w:t xml:space="preserve">   1 min</w:t>
      </w:r>
    </w:p>
    <w:p>
      <w:pPr>
        <w:spacing w:after="120"/>
      </w:pPr>
      <w:r>
        <w:rPr>
          <w:sz w:val="22"/>
          <w:szCs w:val="22"/>
        </w:rPr>
        <w:t xml:space="preserve">Créer une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Pile&lt;String&gt;</w:t>
      </w:r>
      <w:r>
        <w:rPr>
          <w:sz w:val="22"/>
          <w:szCs w:val="22"/>
        </w:rPr>
        <w:t xml:space="preserve"> juste à côté. Aucune ligne de plus.</w:t>
      </w:r>
    </w:p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Ce qu'il faut rater exprès</w:t>
      </w:r>
    </w:p>
    <w:tbl>
      <w:tblPr>
        <w:tblW w:type="dxa" w:w="9360"/>
        <w:tblBorders>
          <w:top w:val="single" w:color="A6A6A6" w:sz="2"/>
          <w:left w:val="single" w:color="9C2B2B" w:sz="12"/>
          <w:bottom w:val="single" w:color="A6A6A6" w:sz="2"/>
          <w:right w:val="single" w:color="A6A6A6" w:sz="2"/>
          <w:insideH w:val="none"/>
          <w:insideV w:val="none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shd w:fill="F7F9FC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pPr>
              <w:spacing w:after="80"/>
            </w:pPr>
            <w:r>
              <w:rPr>
                <w:b/>
                <w:bCs/>
                <w:sz w:val="22"/>
                <w:szCs w:val="22"/>
              </w:rPr>
              <w:t xml:space="preserve">À l'étape 3</w:t>
            </w:r>
            <w:r>
              <w:rPr>
                <w:sz w:val="22"/>
                <w:szCs w:val="22"/>
              </w:rPr>
              <w:t xml:space="preserve"> — oublier de paramétrer la déclaration : écrire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Pile pile = new Pile&lt;&gt;();</w:t>
            </w:r>
          </w:p>
          <w:p>
            <w:pPr>
              <w:spacing w:after="80"/>
            </w:pPr>
            <w:r>
              <w:rPr>
                <w:sz w:val="22"/>
                <w:szCs w:val="22"/>
              </w:rPr>
              <w:t xml:space="preserve">Ça compile, avec un avertissement jaune : « raw use of parameterized </w:t>
            </w: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class</w:t>
            </w:r>
            <w:r>
              <w:rPr>
                <w:sz w:val="22"/>
                <w:szCs w:val="22"/>
              </w:rPr>
              <w:t xml:space="preserve"> ».</w:t>
            </w:r>
          </w:p>
          <w:p>
            <w:pPr>
              <w:spacing w:after="0"/>
            </w:pPr>
            <w:r>
              <w:rPr>
                <w:b/>
                <w:bCs/>
                <w:sz w:val="22"/>
                <w:szCs w:val="22"/>
              </w:rPr>
              <w:t xml:space="preserve">À dire — </w:t>
            </w:r>
            <w:r>
              <w:rPr>
                <w:sz w:val="22"/>
                <w:szCs w:val="22"/>
              </w:rPr>
              <w:t xml:space="preserve">on vient de renoncer à tout ce qu'on a gagné. Le type brut existe pour la compatibilité avec le code d'avant 2004, et c'est la seule raison.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Renvois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660"/>
      </w:tblGrid>
      <w:tr>
        <w:trPr>
          <w:tblHeader/>
        </w:trPr>
        <w:tc>
          <w:tcPr>
            <w:tcW w:type="dxa" w:w="170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Code</w:t>
            </w:r>
          </w:p>
        </w:tc>
        <w:tc>
          <w:tcPr>
            <w:tcW w:type="dxa" w:w="7660"/>
            <w:shd w:fill="DEEAF6" w:val="clear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b/>
                <w:bCs/>
                <w:sz w:val="20"/>
                <w:szCs w:val="20"/>
              </w:rPr>
              <w:t xml:space="preserve">Ce qu'il dit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  <w:u w:val="none"/>
              </w:rPr>
              <w:t xml:space="preserve">CC-NOM.1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un nom répond à la question qu'on se pose en le lisant</w:t>
            </w:r>
          </w:p>
        </w:tc>
      </w:tr>
      <w:tr>
        <w:trPr>
          <w:cantSplit/>
        </w:trPr>
        <w:tc>
          <w:tcPr>
            <w:tcW w:type="dxa" w:w="170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rFonts w:ascii="Consolas" w:hAnsi="Consolas" w:cs="Consolas"/>
                <w:color w:val="E97132" w:themeColor="accent2"/>
                <w:sz w:val="18"/>
                <w:szCs w:val="18"/>
              </w:rPr>
              <w:t xml:space="preserve">IDE.15</w:t>
            </w:r>
          </w:p>
        </w:tc>
        <w:tc>
          <w:tcPr>
            <w:tcW w:type="dxa" w:w="7660"/>
            <w:tcMar>
              <w:top w:type="dxa" w:w="55"/>
              <w:left w:type="dxa" w:w="100"/>
              <w:bottom w:type="dxa" w:w="55"/>
              <w:right w:type="dxa" w:w="100"/>
            </w:tcMar>
          </w:tcPr>
          <w:p>
            <w:pPr>
              <w:spacing w:after="0"/>
            </w:pPr>
            <w:r>
              <w:rPr>
                <w:sz w:val="20"/>
                <w:szCs w:val="20"/>
              </w:rPr>
              <w:t xml:space="preserve">lire les avertissements et leurs corrections</w:t>
            </w:r>
          </w:p>
        </w:tc>
      </w:tr>
    </w:tbl>
    <w:p>
      <w:pPr>
        <w:pStyle w:val="Heading2"/>
        <w:keepNext/>
        <w:spacing w:after="100" w:before="240"/>
      </w:pPr>
      <w:r>
        <w:rPr>
          <w:b/>
          <w:bCs/>
          <w:color w:val="595959"/>
          <w:sz w:val="24"/>
          <w:szCs w:val="24"/>
        </w:rPr>
        <w:t xml:space="preserve">Pour rejouer</w:t>
      </w:r>
    </w:p>
    <w:p>
      <w:pPr>
        <w:spacing w:after="120"/>
      </w:pPr>
      <w:r>
        <w:rPr>
          <w:sz w:val="22"/>
          <w:szCs w:val="22"/>
        </w:rPr>
        <w:t xml:space="preserve">Charger l'état de départ : </w:t>
      </w:r>
      <w:r>
        <w:rPr>
          <w:rFonts w:ascii="Consolas" w:hAnsi="Consolas" w:cs="Consolas"/>
          <w:color w:val="E97132" w:themeColor="accent2"/>
          <w:sz w:val="18"/>
          <w:szCs w:val="18"/>
        </w:rPr>
        <w:t xml:space="preserve">python3 _outils/preparer_demo.py gen</w:t>
      </w:r>
      <w:r>
        <w:rPr>
          <w:sz w:val="22"/>
          <w:szCs w:val="22"/>
        </w:rPr>
        <w:t xml:space="preserve">. </w:t>
      </w:r>
      <w:r>
        <w:rPr>
          <w:sz w:val="22"/>
          <w:szCs w:val="22"/>
        </w:rPr>
        <w:t xml:space="preserve">L'état d'arrivée est la version générique, avec la ligne fautive laissée en commentaire.</w:t>
      </w:r>
    </w:p>
    <w:sectPr>
      <w:headerReference w:type="default" r:id="rId11"/>
      <w:footerReference w:type="default" r:id="rId12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_gar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jc w:val="center"/>
    </w:pPr>
    <w:r>
      <w:rPr>
        <w:rFonts w:ascii="Calibri" w:cs="Calibri" w:eastAsia="Calibri" w:hAnsi="Calibri"/>
        <w:color w:val="000000"/>
        <w:sz w:val="36"/>
        <w:szCs w:val="36"/>
      </w:rPr>
      <w:t xml:space="preserve">EPHEC — Bachelier en informatique, niveau 2</w:t>
    </w:r>
  </w:p>
</w:ftr>
</file>

<file path=word/footer_vide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_gar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tabs>
        <w:tab w:val="right" w:pos="9026"/>
      </w:tabs>
    </w:pPr>
    <w:r>
      <w:drawing>
        <wp:inline distT="0" distB="0" distL="0" distR="0">
          <wp:extent cx="1514475" cy="723900"/>
          <wp:effectExtent t="0" r="0" b="0" l="0"/>
          <wp:docPr id="1" name="logo" descr="Logo de l'EPHEC" title="EPHEC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7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14475" cy="723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Calibri" w:cs="Calibri" w:eastAsia="Calibri" w:hAnsi="Calibri"/>
        <w:sz w:val="36"/>
        <w:szCs w:val="36"/>
      </w:rPr>
      <w:tab/>
    </w:r>
    <w:r>
      <w:rPr>
        <w:rFonts w:ascii="Calibri" w:cs="Calibri" w:eastAsia="Calibri" w:hAnsi="Calibri"/>
        <w:color w:val="000000"/>
        <w:sz w:val="36"/>
        <w:szCs w:val="36"/>
      </w:rPr>
      <w:t xml:space="preserve">Année académique </w:t>
    </w:r>
    <w:r>
      <w:rPr>
        <w:rFonts w:ascii="Calibri" w:cs="Calibri" w:eastAsia="Calibri" w:hAnsi="Calibri"/>
        <w:b/>
        <w:bCs/>
        <w:color w:val="000000"/>
        <w:sz w:val="36"/>
        <w:szCs w:val="36"/>
      </w:rPr>
      <w:t xml:space="preserve">2026-2027</w:t>
    </w:r>
  </w:p>
</w:hdr>
</file>

<file path=word/header_vide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p>
    <w:pPr>
      <w:spacing w:before="0"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ormorant Garamond" w:hAnsi="Cormorant Garamond" w:eastAsia="Cormorant Garamond" w:cs="Cormorant Garamond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rFonts w:ascii="Cormorant Garamond" w:hAnsi="Cormorant Garamond" w:eastAsia="Cormorant Garamond" w:cs="Cormorant Garamond"/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ormorant Garamond" w:hAnsi="Cormorant Garamond" w:eastAsia="Cormorant Garamond" w:cs="Cormorant Garamond"/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ormorant Garamond" w:hAnsi="Cormorant Garamond" w:eastAsia="Cormorant Garamond" w:cs="Cormorant Garamond"/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rFonts w:ascii="Cormorant Garamond" w:hAnsi="Cormorant Garamond" w:eastAsia="Cormorant Garamond" w:cs="Cormorant Garamond"/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rFonts w:ascii="Cormorant Garamond" w:hAnsi="Cormorant Garamond" w:eastAsia="Cormorant Garamond" w:cs="Cormorant Garamond"/>
      <w:i/>
      <w:iCs/>
      <w:color w:val="2E74B5"/>
    </w:rPr>
  </w:style>
  <w:style w:type="paragraph" w:styleId="Heading5">
    <w:name w:val="Heading 5"/>
    <w:basedOn w:val="Normal"/>
    <w:next w:val="Normal"/>
    <w:qFormat/>
    <w:rPr>
      <w:rFonts w:ascii="Cormorant Garamond" w:hAnsi="Cormorant Garamond" w:eastAsia="Cormorant Garamond" w:cs="Cormorant Garamond"/>
      <w:color w:val="2E74B5"/>
    </w:rPr>
  </w:style>
  <w:style w:type="paragraph" w:styleId="Heading6">
    <w:name w:val="Heading 6"/>
    <w:basedOn w:val="Normal"/>
    <w:next w:val="Normal"/>
    <w:qFormat/>
    <w:rPr>
      <w:rFonts w:ascii="Cormorant Garamond" w:hAnsi="Cormorant Garamond" w:eastAsia="Cormorant Garamond" w:cs="Cormorant Garamond"/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3b4872db769415494ed6ea89507b8b7fac67184e.png"/><Relationship Id="rId8" Type="http://schemas.openxmlformats.org/officeDocument/2006/relationships/fontTable" Target="fontTable.xml"/><Relationship Id="rId9" Type="http://schemas.openxmlformats.org/officeDocument/2006/relationships/header" Target="header_garde.xml"/><Relationship Id="rId10" Type="http://schemas.openxmlformats.org/officeDocument/2006/relationships/footer" Target="footer_garde.xml"/><Relationship Id="rId11" Type="http://schemas.openxmlformats.org/officeDocument/2006/relationships/header" Target="header_vide.xml"/><Relationship Id="rId12" Type="http://schemas.openxmlformats.org/officeDocument/2006/relationships/footer" Target="footer_vid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_garde.xml.rels><?xml version="1.0" encoding="UTF-8" standalone="yes"?>
<Relationships xmlns="http://schemas.openxmlformats.org/package/2006/relationships"><Relationship Id="rId7" Type="http://schemas.openxmlformats.org/officeDocument/2006/relationships/image" Target="media/3b4872db769415494ed6ea89507b8b7fac67184e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Démo GEN</dc:title>
  <dc:creator>Frédéric Ferrant — EPHEC</dc:creator>
  <cp:lastModifiedBy>Un-named</cp:lastModifiedBy>
  <cp:revision>1</cp:revision>
  <dcterms:created xsi:type="dcterms:W3CDTF">2026-10-20T22:38:52.455Z</dcterms:created>
  <dcterms:modified xsi:type="dcterms:W3CDTF">2026-10-20T22:38:52.455Z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