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INI</w:t>
      </w:r>
    </w:p>
    <w:p>
      <w:pPr>
        <w:spacing w:after="200" w:before="0"/>
        <w:jc w:val="center"/>
      </w:pPr>
      <w:r>
        <w:rPr>
          <w:rFonts w:ascii="Calibri" w:cs="Calibri" w:eastAsia="Calibri" w:hAnsi="Calibri"/>
          <w:b/>
          <w:bCs/>
          <w:color w:val="000000"/>
          <w:sz w:val="40"/>
          <w:szCs w:val="40"/>
        </w:rPr>
        <w:t xml:space="preserve">Introduction au cours</w:t>
      </w:r>
    </w:p>
    <w:p>
      <w:pPr>
        <w:spacing w:after="800" w:before="0"/>
        <w:jc w:val="center"/>
      </w:pPr>
      <w:r>
        <w:rPr>
          <w:rFonts w:ascii="Calibri" w:cs="Calibri" w:eastAsia="Calibri" w:hAnsi="Calibri"/>
          <w:color w:val="000000"/>
          <w:sz w:val="36"/>
          <w:szCs w:val="36"/>
        </w:rPr>
        <w:t xml:space="preserve">Ce que couvre le cours, comment il s'organise, et comment travailler</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p>
    <w:p>
      <w:pPr>
        <w:pStyle w:val="Heading1"/>
        <w:keepNext/>
        <w:spacing w:after="160" w:before="360"/>
      </w:pPr>
      <w:r>
        <w:rPr>
          <w:b/>
          <w:bCs/>
          <w:color w:val="1F4E79"/>
          <w:sz w:val="30"/>
          <w:szCs w:val="30"/>
        </w:rPr>
        <w:t xml:space="preserve">INI §1 — Le cours</w:t>
      </w:r>
    </w:p>
    <w:p>
      <w:pPr>
        <w:pStyle w:val="Heading2"/>
        <w:keepNext/>
        <w:spacing w:after="100" w:before="240"/>
      </w:pPr>
      <w:r>
        <w:rPr>
          <w:b/>
          <w:bCs/>
          <w:color w:val="595959"/>
          <w:sz w:val="24"/>
          <w:szCs w:val="24"/>
        </w:rPr>
        <w:t xml:space="preserve">Qui suis-je ?</w:t>
      </w:r>
    </w:p>
    <w:p>
      <w:pPr>
        <w:spacing w:after="120"/>
      </w:pPr>
      <w:r>
        <w:rPr>
          <w:sz w:val="22"/>
          <w:szCs w:val="22"/>
        </w:rPr>
        <w:t xml:space="preserve">Avant d'entrer dans le cours, quelques mots sur celui qui le donne.</w:t>
      </w:r>
    </w:p>
    <w:p>
      <w:pPr>
        <w:spacing w:after="120"/>
      </w:pPr>
      <w:r>
        <w:rPr>
          <w:sz w:val="22"/>
          <w:szCs w:val="22"/>
        </w:rPr>
        <w:t xml:space="preserve">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pPr>
        <w:spacing w:after="120"/>
      </w:pPr>
      <w:r>
        <w:rPr>
          <w:sz w:val="22"/>
          <w:szCs w:val="22"/>
        </w:rPr>
        <w:t xml:space="preserve">Ce qui m'a d'abord attiré vers l'informatique, c'est sa capacité à rendre visibles certains objets mathématiques, comme l'ensemble de Mandelbrot ou le jeu de la vie de Conway.</w:t>
      </w:r>
    </w:p>
    <w:p>
      <w:pPr>
        <w:spacing w:after="120"/>
      </w:pPr>
      <w:r>
        <w:rPr>
          <w:sz w:val="22"/>
          <w:szCs w:val="22"/>
        </w:rPr>
        <w:t xml:space="preserve">J'aime les années 80, qui ont bercé mon adolescence : Simple Minds, Depeche Mode, le film </w:t>
      </w:r>
      <w:r>
        <w:rPr>
          <w:i/>
          <w:iCs/>
          <w:sz w:val="22"/>
          <w:szCs w:val="22"/>
        </w:rPr>
        <w:t xml:space="preserve">Blade Runner</w:t>
      </w:r>
      <w:r>
        <w:rPr>
          <w:sz w:val="22"/>
          <w:szCs w:val="22"/>
        </w:rPr>
        <w:t xml:space="preserve">. J'aime aussi le café.</w:t>
      </w:r>
    </w:p>
    <w:p>
      <w:pPr>
        <w:spacing w:after="120"/>
      </w:pPr>
      <w:r>
        <w:rPr>
          <w:sz w:val="22"/>
          <w:szCs w:val="22"/>
        </w:rPr>
        <w:t xml:space="preserve">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pPr>
        <w:pStyle w:val="Heading2"/>
        <w:keepNext/>
        <w:spacing w:after="100" w:before="240"/>
      </w:pPr>
      <w:r>
        <w:rPr>
          <w:b/>
          <w:bCs/>
          <w:color w:val="595959"/>
          <w:sz w:val="24"/>
          <w:szCs w:val="24"/>
        </w:rPr>
        <w:t xml:space="preserve">Contenu du cours</w:t>
      </w:r>
    </w:p>
    <w:p>
      <w:pPr>
        <w:spacing w:after="120"/>
      </w:pPr>
      <w:r>
        <w:rPr>
          <w:sz w:val="22"/>
          <w:szCs w:val="22"/>
        </w:rP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E97132" w:themeColor="accent2"/>
          <w:sz w:val="18"/>
          <w:szCs w:val="18"/>
        </w:rPr>
        <w:t xml:space="preserve">JUnit</w:t>
      </w:r>
      <w:r>
        <w:rPr>
          <w:sz w:val="22"/>
          <w:szCs w:val="22"/>
        </w:rPr>
        <w:t xml:space="preserve"> pour les tests et </w:t>
      </w:r>
      <w:r>
        <w:rPr>
          <w:rFonts w:ascii="Consolas" w:hAnsi="Consolas" w:cs="Consolas"/>
          <w:color w:val="E97132" w:themeColor="accent2"/>
          <w:sz w:val="18"/>
          <w:szCs w:val="18"/>
        </w:rPr>
        <w:t xml:space="preserve">JavaFX</w:t>
      </w:r>
      <w:r>
        <w:rPr>
          <w:sz w:val="22"/>
          <w:szCs w:val="22"/>
        </w:rPr>
        <w:t xml:space="preserve"> pour les interfaces graphiques.</w:t>
      </w:r>
    </w:p>
    <w:p>
      <w:pPr>
        <w:spacing w:after="120"/>
      </w:pPr>
      <w:r>
        <w:rPr>
          <w:sz w:val="22"/>
          <w:szCs w:val="22"/>
        </w:rPr>
        <w:t xml:space="preserve">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pPr>
        <w:pStyle w:val="Heading2"/>
        <w:keepNext/>
        <w:spacing w:after="100" w:before="240"/>
      </w:pPr>
      <w:r>
        <w:rPr>
          <w:b/>
          <w:bCs/>
          <w:color w:val="595959"/>
          <w:sz w:val="24"/>
          <w:szCs w:val="24"/>
        </w:rPr>
        <w:t xml:space="preserve">Les modules du cours</w:t>
      </w:r>
    </w:p>
    <w:p>
      <w:pPr>
        <w:spacing w:after="120"/>
      </w:pPr>
      <w:r>
        <w:rPr>
          <w:sz w:val="22"/>
          <w:szCs w:val="22"/>
        </w:rPr>
        <w:t xml:space="preserve">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1"/>
        <w:gridCol w:w="8049"/>
      </w:tblGrid>
      <w:tr>
        <w:trPr>
          <w:tblHeader/>
        </w:trPr>
        <w:tc>
          <w:tcPr>
            <w:tcW w:type="dxa" w:w="1311"/>
            <w:shd w:fill="DEEAF6" w:val="clear"/>
            <w:tcMar>
              <w:top w:type="dxa" w:w="55"/>
              <w:left w:type="dxa" w:w="100"/>
              <w:bottom w:type="dxa" w:w="55"/>
              <w:right w:type="dxa" w:w="100"/>
            </w:tcMar>
          </w:tcPr>
          <w:p>
            <w:pPr>
              <w:spacing w:after="0"/>
            </w:pPr>
            <w:r>
              <w:rPr>
                <w:b/>
                <w:bCs/>
                <w:sz w:val="20"/>
                <w:szCs w:val="20"/>
              </w:rPr>
              <w:t xml:space="preserve">Code</w:t>
            </w:r>
          </w:p>
        </w:tc>
        <w:tc>
          <w:tcPr>
            <w:tcW w:type="dxa" w:w="8049"/>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POO</w:t>
            </w:r>
          </w:p>
        </w:tc>
        <w:tc>
          <w:tcPr>
            <w:tcW w:type="dxa" w:w="8049"/>
            <w:tcMar>
              <w:top w:type="dxa" w:w="55"/>
              <w:left w:type="dxa" w:w="100"/>
              <w:bottom w:type="dxa" w:w="55"/>
              <w:right w:type="dxa" w:w="100"/>
            </w:tcMar>
          </w:tcPr>
          <w:p>
            <w:pPr>
              <w:spacing w:after="0"/>
            </w:pPr>
            <w:r>
              <w:rPr>
                <w:sz w:val="20"/>
                <w:szCs w:val="20"/>
              </w:rPr>
              <w:t xml:space="preserve">Programmation orientée objet : classes et objets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TMP</w:t>
            </w:r>
          </w:p>
        </w:tc>
        <w:tc>
          <w:tcPr>
            <w:tcW w:type="dxa" w:w="8049"/>
            <w:tcMar>
              <w:top w:type="dxa" w:w="55"/>
              <w:left w:type="dxa" w:w="100"/>
              <w:bottom w:type="dxa" w:w="55"/>
              <w:right w:type="dxa" w:w="100"/>
            </w:tcMar>
          </w:tcPr>
          <w:p>
            <w:pPr>
              <w:spacing w:after="0"/>
            </w:pPr>
            <w:r>
              <w:rPr>
                <w:sz w:val="20"/>
                <w:szCs w:val="20"/>
              </w:rPr>
              <w:t xml:space="preserve">Temps : dates et durées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TAB</w:t>
            </w:r>
          </w:p>
        </w:tc>
        <w:tc>
          <w:tcPr>
            <w:tcW w:type="dxa" w:w="8049"/>
            <w:tcMar>
              <w:top w:type="dxa" w:w="55"/>
              <w:left w:type="dxa" w:w="100"/>
              <w:bottom w:type="dxa" w:w="55"/>
              <w:right w:type="dxa" w:w="100"/>
            </w:tcMar>
          </w:tcPr>
          <w:p>
            <w:pPr>
              <w:spacing w:after="0"/>
            </w:pPr>
            <w:r>
              <w:rPr>
                <w:sz w:val="20"/>
                <w:szCs w:val="20"/>
              </w:rPr>
              <w:t xml:space="preserve">Tableaux</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ENU</w:t>
            </w:r>
          </w:p>
        </w:tc>
        <w:tc>
          <w:tcPr>
            <w:tcW w:type="dxa" w:w="8049"/>
            <w:tcMar>
              <w:top w:type="dxa" w:w="55"/>
              <w:left w:type="dxa" w:w="100"/>
              <w:bottom w:type="dxa" w:w="55"/>
              <w:right w:type="dxa" w:w="100"/>
            </w:tcMar>
          </w:tcPr>
          <w:p>
            <w:pPr>
              <w:spacing w:after="0"/>
            </w:pPr>
            <w:r>
              <w:rPr>
                <w:sz w:val="20"/>
                <w:szCs w:val="20"/>
              </w:rPr>
              <w:t xml:space="preserve">Énumérations et records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ABS</w:t>
            </w:r>
          </w:p>
        </w:tc>
        <w:tc>
          <w:tcPr>
            <w:tcW w:type="dxa" w:w="8049"/>
            <w:tcMar>
              <w:top w:type="dxa" w:w="55"/>
              <w:left w:type="dxa" w:w="100"/>
              <w:bottom w:type="dxa" w:w="55"/>
              <w:right w:type="dxa" w:w="100"/>
            </w:tcMar>
          </w:tcPr>
          <w:p>
            <w:pPr>
              <w:spacing w:after="0"/>
            </w:pPr>
            <w:r>
              <w:rPr>
                <w:sz w:val="20"/>
                <w:szCs w:val="20"/>
              </w:rPr>
              <w:t xml:space="preserve">Héritage, classes abstraites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ITF</w:t>
            </w:r>
          </w:p>
        </w:tc>
        <w:tc>
          <w:tcPr>
            <w:tcW w:type="dxa" w:w="8049"/>
            <w:tcMar>
              <w:top w:type="dxa" w:w="55"/>
              <w:left w:type="dxa" w:w="100"/>
              <w:bottom w:type="dxa" w:w="55"/>
              <w:right w:type="dxa" w:w="100"/>
            </w:tcMar>
          </w:tcPr>
          <w:p>
            <w:pPr>
              <w:spacing w:after="0"/>
            </w:pPr>
            <w:r>
              <w:rPr>
                <w:sz w:val="20"/>
                <w:szCs w:val="20"/>
              </w:rPr>
              <w:t xml:space="preserve">Interfaces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PKG</w:t>
            </w:r>
          </w:p>
        </w:tc>
        <w:tc>
          <w:tcPr>
            <w:tcW w:type="dxa" w:w="8049"/>
            <w:tcMar>
              <w:top w:type="dxa" w:w="55"/>
              <w:left w:type="dxa" w:w="100"/>
              <w:bottom w:type="dxa" w:w="55"/>
              <w:right w:type="dxa" w:w="100"/>
            </w:tcMar>
          </w:tcPr>
          <w:p>
            <w:pPr>
              <w:spacing w:after="0"/>
            </w:pPr>
            <w:r>
              <w:rPr>
                <w:sz w:val="20"/>
                <w:szCs w:val="20"/>
              </w:rPr>
              <w:t xml:space="preserve">Packages et visibilité</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COL</w:t>
            </w:r>
          </w:p>
        </w:tc>
        <w:tc>
          <w:tcPr>
            <w:tcW w:type="dxa" w:w="8049"/>
            <w:tcMar>
              <w:top w:type="dxa" w:w="55"/>
              <w:left w:type="dxa" w:w="100"/>
              <w:bottom w:type="dxa" w:w="55"/>
              <w:right w:type="dxa" w:w="100"/>
            </w:tcMar>
          </w:tcPr>
          <w:p>
            <w:pPr>
              <w:spacing w:after="0"/>
            </w:pPr>
            <w:r>
              <w:rPr>
                <w:sz w:val="20"/>
                <w:szCs w:val="20"/>
              </w:rPr>
              <w:t xml:space="preserve">Collections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EXC</w:t>
            </w:r>
          </w:p>
        </w:tc>
        <w:tc>
          <w:tcPr>
            <w:tcW w:type="dxa" w:w="8049"/>
            <w:tcMar>
              <w:top w:type="dxa" w:w="55"/>
              <w:left w:type="dxa" w:w="100"/>
              <w:bottom w:type="dxa" w:w="55"/>
              <w:right w:type="dxa" w:w="100"/>
            </w:tcMar>
          </w:tcPr>
          <w:p>
            <w:pPr>
              <w:spacing w:after="0"/>
            </w:pPr>
            <w:r>
              <w:rPr>
                <w:sz w:val="20"/>
                <w:szCs w:val="20"/>
              </w:rPr>
              <w:t xml:space="preserve">Exceptions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JUN</w:t>
            </w:r>
          </w:p>
        </w:tc>
        <w:tc>
          <w:tcPr>
            <w:tcW w:type="dxa" w:w="8049"/>
            <w:tcMar>
              <w:top w:type="dxa" w:w="55"/>
              <w:left w:type="dxa" w:w="100"/>
              <w:bottom w:type="dxa" w:w="55"/>
              <w:right w:type="dxa" w:w="100"/>
            </w:tcMar>
          </w:tcPr>
          <w:p>
            <w:pPr>
              <w:spacing w:after="0"/>
            </w:pPr>
            <w:r>
              <w:rPr>
                <w:sz w:val="20"/>
                <w:szCs w:val="20"/>
              </w:rPr>
              <w:t xml:space="preserve">Tests unitaires (</w:t>
            </w:r>
            <w:r>
              <w:rPr>
                <w:rFonts w:ascii="Consolas" w:hAnsi="Consolas" w:cs="Consolas"/>
                <w:color w:val="E97132" w:themeColor="accent2"/>
                <w:sz w:val="18"/>
                <w:szCs w:val="18"/>
              </w:rPr>
              <w:t xml:space="preserve">JUnit</w:t>
            </w:r>
            <w:r>
              <w:rPr>
                <w:sz w:val="20"/>
                <w:szCs w:val="20"/>
              </w:rPr>
              <w:t xml:space="preserve">)</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GEN</w:t>
            </w:r>
          </w:p>
        </w:tc>
        <w:tc>
          <w:tcPr>
            <w:tcW w:type="dxa" w:w="8049"/>
            <w:tcMar>
              <w:top w:type="dxa" w:w="55"/>
              <w:left w:type="dxa" w:w="100"/>
              <w:bottom w:type="dxa" w:w="55"/>
              <w:right w:type="dxa" w:w="100"/>
            </w:tcMar>
          </w:tcPr>
          <w:p>
            <w:pPr>
              <w:spacing w:after="0"/>
            </w:pPr>
            <w:r>
              <w:rPr>
                <w:sz w:val="20"/>
                <w:szCs w:val="20"/>
              </w:rPr>
              <w:t xml:space="preserve">Types génériques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LAM</w:t>
            </w:r>
          </w:p>
        </w:tc>
        <w:tc>
          <w:tcPr>
            <w:tcW w:type="dxa" w:w="8049"/>
            <w:tcMar>
              <w:top w:type="dxa" w:w="55"/>
              <w:left w:type="dxa" w:w="100"/>
              <w:bottom w:type="dxa" w:w="55"/>
              <w:right w:type="dxa" w:w="100"/>
            </w:tcMar>
          </w:tcPr>
          <w:p>
            <w:pPr>
              <w:spacing w:after="0"/>
            </w:pPr>
            <w:r>
              <w:rPr>
                <w:sz w:val="20"/>
                <w:szCs w:val="20"/>
              </w:rPr>
              <w:t xml:space="preserve">Classes anonymes et expressions lambda</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FX</w:t>
            </w:r>
          </w:p>
        </w:tc>
        <w:tc>
          <w:tcPr>
            <w:tcW w:type="dxa" w:w="8049"/>
            <w:tcMar>
              <w:top w:type="dxa" w:w="55"/>
              <w:left w:type="dxa" w:w="100"/>
              <w:bottom w:type="dxa" w:w="55"/>
              <w:right w:type="dxa" w:w="100"/>
            </w:tcMar>
          </w:tcPr>
          <w:p>
            <w:pPr>
              <w:spacing w:after="0"/>
            </w:pPr>
            <w:r>
              <w:rPr>
                <w:sz w:val="20"/>
                <w:szCs w:val="20"/>
              </w:rPr>
              <w:t xml:space="preserve">Interfaces graphiques (</w:t>
            </w:r>
            <w:r>
              <w:rPr>
                <w:rFonts w:ascii="Consolas" w:hAnsi="Consolas" w:cs="Consolas"/>
                <w:color w:val="E97132" w:themeColor="accent2"/>
                <w:sz w:val="18"/>
                <w:szCs w:val="18"/>
              </w:rPr>
              <w:t xml:space="preserve">JavaFX</w:t>
            </w:r>
            <w:r>
              <w:rPr>
                <w:sz w:val="20"/>
                <w:szCs w:val="20"/>
              </w:rPr>
              <w:t xml:space="preserve">)</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FIC</w:t>
            </w:r>
          </w:p>
        </w:tc>
        <w:tc>
          <w:tcPr>
            <w:tcW w:type="dxa" w:w="8049"/>
            <w:tcMar>
              <w:top w:type="dxa" w:w="55"/>
              <w:left w:type="dxa" w:w="100"/>
              <w:bottom w:type="dxa" w:w="55"/>
              <w:right w:type="dxa" w:w="100"/>
            </w:tcMar>
          </w:tcPr>
          <w:p>
            <w:pPr>
              <w:spacing w:after="0"/>
            </w:pPr>
            <w:r>
              <w:rPr>
                <w:sz w:val="20"/>
                <w:szCs w:val="20"/>
              </w:rPr>
              <w:t xml:space="preserve">Fichiers</w:t>
            </w:r>
          </w:p>
        </w:tc>
      </w:tr>
      <w:tr>
        <w:trPr>
          <w:cantSplit/>
        </w:trPr>
        <w:tc>
          <w:tcPr>
            <w:tcW w:type="dxa" w:w="1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w:t>
            </w:r>
          </w:p>
        </w:tc>
        <w:tc>
          <w:tcPr>
            <w:tcW w:type="dxa" w:w="8049"/>
            <w:tcMar>
              <w:top w:type="dxa" w:w="55"/>
              <w:left w:type="dxa" w:w="100"/>
              <w:bottom w:type="dxa" w:w="55"/>
              <w:right w:type="dxa" w:w="100"/>
            </w:tcMar>
          </w:tcPr>
          <w:p>
            <w:pPr>
              <w:spacing w:after="0"/>
            </w:pPr>
            <w:r>
              <w:rPr>
                <w:sz w:val="20"/>
                <w:szCs w:val="20"/>
              </w:rPr>
              <w:t xml:space="preserve">Exercices récapitulatifs</w:t>
            </w:r>
          </w:p>
        </w:tc>
      </w:tr>
    </w:tbl>
    <w:p>
      <w:pPr>
        <w:spacing w:after="60"/>
      </w:pPr>
    </w:p>
    <w:p>
      <w:pPr>
        <w:spacing w:after="120"/>
      </w:pPr>
      <w:r>
        <w:rPr>
          <w:sz w:val="22"/>
          <w:szCs w:val="22"/>
        </w:rPr>
        <w:t xml:space="preserve">L'ordre est indicatif. Il peut évoluer en cours d'année ; Moodle indique, au fil des séances, les modules abordés.</w:t>
      </w:r>
    </w:p>
    <w:p>
      <w:pPr>
        <w:pStyle w:val="Heading2"/>
        <w:keepNext/>
        <w:spacing w:after="100" w:before="240"/>
      </w:pPr>
      <w:r>
        <w:rPr>
          <w:b/>
          <w:bCs/>
          <w:color w:val="595959"/>
          <w:sz w:val="24"/>
          <w:szCs w:val="24"/>
        </w:rPr>
        <w:t xml:space="preserve">Les acquis d'apprentissage</w:t>
      </w:r>
    </w:p>
    <w:p>
      <w:pPr>
        <w:spacing w:after="120"/>
      </w:pPr>
      <w:r>
        <w:rPr>
          <w:sz w:val="22"/>
          <w:szCs w:val="22"/>
        </w:rPr>
        <w:t xml:space="preserve">Les acquis d'apprentissage, repris du dossier pédagogique du cours, décrivent ce que vous devez être capable de faire au terme du cours. Ils se regroupent en deux familles.</w:t>
      </w:r>
    </w:p>
    <w:p>
      <w:pPr>
        <w:spacing w:after="120"/>
      </w:pPr>
      <w:r>
        <w:rPr>
          <w:sz w:val="22"/>
          <w:szCs w:val="22"/>
        </w:rPr>
        <w:t xml:space="preserve">La première porte sur les objets : l'étudiant sera capable de concevoir, d'installer et d'utiliser des objets appropriés à la solution. Concrètement, il pourra :</w:t>
      </w:r>
    </w:p>
    <w:p>
      <w:pPr>
        <w:pStyle w:val="ListParagraph"/>
        <w:numPr>
          <w:ilvl w:val="0"/>
          <w:numId w:val="2"/>
        </w:numPr>
        <w:spacing w:after="60"/>
      </w:pPr>
      <w:r>
        <w:rPr>
          <w:sz w:val="22"/>
          <w:szCs w:val="22"/>
        </w:rPr>
        <w:t xml:space="preserve">définir et implémenter des classes et des objets Java simples ;</w:t>
      </w:r>
    </w:p>
    <w:p>
      <w:pPr>
        <w:pStyle w:val="ListParagraph"/>
        <w:numPr>
          <w:ilvl w:val="0"/>
          <w:numId w:val="2"/>
        </w:numPr>
        <w:spacing w:after="60"/>
      </w:pPr>
      <w:r>
        <w:rPr>
          <w:sz w:val="22"/>
          <w:szCs w:val="22"/>
        </w:rPr>
        <w:t xml:space="preserve">compléter des classes Java implémentées par un tiers ;</w:t>
      </w:r>
    </w:p>
    <w:p>
      <w:pPr>
        <w:pStyle w:val="ListParagraph"/>
        <w:numPr>
          <w:ilvl w:val="0"/>
          <w:numId w:val="2"/>
        </w:numPr>
        <w:spacing w:after="60"/>
      </w:pPr>
      <w:r>
        <w:rPr>
          <w:sz w:val="22"/>
          <w:szCs w:val="22"/>
        </w:rPr>
        <w:t xml:space="preserve">utiliser des classes et des objets Java existants, et interagir avec eux ;</w:t>
      </w:r>
    </w:p>
    <w:p>
      <w:pPr>
        <w:pStyle w:val="ListParagraph"/>
        <w:numPr>
          <w:ilvl w:val="0"/>
          <w:numId w:val="2"/>
        </w:numPr>
        <w:spacing w:after="60"/>
      </w:pPr>
      <w:r>
        <w:rPr>
          <w:sz w:val="22"/>
          <w:szCs w:val="22"/>
        </w:rPr>
        <w:t xml:space="preserve">dériver de nouvelles classes par héritage d'une classe Java existante ;</w:t>
      </w:r>
    </w:p>
    <w:p>
      <w:pPr>
        <w:pStyle w:val="ListParagraph"/>
        <w:numPr>
          <w:ilvl w:val="0"/>
          <w:numId w:val="2"/>
        </w:numPr>
        <w:spacing w:after="60"/>
      </w:pPr>
      <w:r>
        <w:rPr>
          <w:sz w:val="22"/>
          <w:szCs w:val="22"/>
        </w:rPr>
        <w:t xml:space="preserve">utiliser les classes du JDK pour accéder à des fichiers, et pour réaliser une application disposant d'une interface graphique simple (</w:t>
      </w:r>
      <w:r>
        <w:rPr>
          <w:rFonts w:ascii="Consolas" w:hAnsi="Consolas" w:cs="Consolas"/>
          <w:color w:val="E97132" w:themeColor="accent2"/>
          <w:sz w:val="18"/>
          <w:szCs w:val="18"/>
        </w:rPr>
        <w:t xml:space="preserve">JavaFX</w:t>
      </w:r>
      <w:r>
        <w:rPr>
          <w:sz w:val="22"/>
          <w:szCs w:val="22"/>
        </w:rPr>
        <w:t xml:space="preserve">) ;</w:t>
      </w:r>
    </w:p>
    <w:p>
      <w:pPr>
        <w:pStyle w:val="ListParagraph"/>
        <w:numPr>
          <w:ilvl w:val="0"/>
          <w:numId w:val="2"/>
        </w:numPr>
        <w:spacing w:after="60"/>
      </w:pPr>
      <w:r>
        <w:rPr>
          <w:sz w:val="22"/>
          <w:szCs w:val="22"/>
        </w:rPr>
        <w:t xml:space="preserve">démontrer, au travers d'un exercice simple, sa compréhension du concept et du fonctionnement des expressions lambda.</w:t>
      </w:r>
    </w:p>
    <w:p>
      <w:pPr>
        <w:spacing w:after="120"/>
      </w:pPr>
      <w:r>
        <w:rPr>
          <w:sz w:val="22"/>
          <w:szCs w:val="22"/>
        </w:rPr>
        <w:t xml:space="preserve">La seconde porte sur les tests : l'étudiant sera capable de concevoir et de mettre en œuvre une procédure de test partiel et intégré. Il pourra :</w:t>
      </w:r>
    </w:p>
    <w:p>
      <w:pPr>
        <w:pStyle w:val="ListParagraph"/>
        <w:numPr>
          <w:ilvl w:val="0"/>
          <w:numId w:val="2"/>
        </w:numPr>
        <w:spacing w:after="60"/>
      </w:pPr>
      <w:r>
        <w:rPr>
          <w:sz w:val="22"/>
          <w:szCs w:val="22"/>
        </w:rPr>
        <w:t xml:space="preserve">implémenter des classes de test simples (</w:t>
      </w:r>
      <w:r>
        <w:rPr>
          <w:rFonts w:ascii="Consolas" w:hAnsi="Consolas" w:cs="Consolas"/>
          <w:color w:val="E97132" w:themeColor="accent2"/>
          <w:sz w:val="18"/>
          <w:szCs w:val="18"/>
        </w:rPr>
        <w:t xml:space="preserve">JUnit</w:t>
      </w:r>
      <w:r>
        <w:rPr>
          <w:sz w:val="22"/>
          <w:szCs w:val="22"/>
        </w:rPr>
        <w:t xml:space="preserve">), à partir d'une classe implémentée par un tiers ou de spécifications techniques ;</w:t>
      </w:r>
    </w:p>
    <w:p>
      <w:pPr>
        <w:pStyle w:val="ListParagraph"/>
        <w:numPr>
          <w:ilvl w:val="0"/>
          <w:numId w:val="2"/>
        </w:numPr>
        <w:spacing w:after="60"/>
      </w:pPr>
      <w:r>
        <w:rPr>
          <w:sz w:val="22"/>
          <w:szCs w:val="22"/>
        </w:rPr>
        <w:t xml:space="preserve">implémenter des classes et des objets Java simples, et les classes de test correspondantes ;</w:t>
      </w:r>
    </w:p>
    <w:p>
      <w:pPr>
        <w:pStyle w:val="ListParagraph"/>
        <w:numPr>
          <w:ilvl w:val="0"/>
          <w:numId w:val="2"/>
        </w:numPr>
        <w:spacing w:after="60"/>
      </w:pPr>
      <w:r>
        <w:rPr>
          <w:sz w:val="22"/>
          <w:szCs w:val="22"/>
        </w:rPr>
        <w:t xml:space="preserve">repérer et corriger des problèmes simples dans des classes écrites par un tiers, en exécutant une batterie de tests </w:t>
      </w:r>
      <w:r>
        <w:rPr>
          <w:rFonts w:ascii="Consolas" w:hAnsi="Consolas" w:cs="Consolas"/>
          <w:color w:val="E97132" w:themeColor="accent2"/>
          <w:sz w:val="18"/>
          <w:szCs w:val="18"/>
        </w:rPr>
        <w:t xml:space="preserve">JUnit</w:t>
      </w:r>
      <w:r>
        <w:rPr>
          <w:sz w:val="22"/>
          <w:szCs w:val="22"/>
        </w:rPr>
        <w:t xml:space="preserve">.</w:t>
      </w:r>
    </w:p>
    <w:p>
      <w:pPr>
        <w:spacing w:after="120"/>
      </w:pPr>
      <w:r>
        <w:rPr>
          <w:sz w:val="22"/>
          <w:szCs w:val="22"/>
        </w:rPr>
        <w:t xml:space="preserve">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p>
    <w:p>
      <w:pPr>
        <w:pStyle w:val="Heading2"/>
        <w:keepNext/>
        <w:spacing w:after="100" w:before="240"/>
      </w:pPr>
      <w:r>
        <w:rPr>
          <w:b/>
          <w:bCs/>
          <w:color w:val="595959"/>
          <w:sz w:val="24"/>
          <w:szCs w:val="24"/>
        </w:rPr>
        <w:t xml:space="preserve">L'organisation pratique</w:t>
      </w:r>
    </w:p>
    <w:p>
      <w:pPr>
        <w:spacing w:after="120"/>
      </w:pPr>
      <w:r>
        <w:rPr>
          <w:sz w:val="22"/>
          <w:szCs w:val="22"/>
        </w:rPr>
        <w:t xml:space="preserve">Le cours compte quatorze séances, du 19 janvier au 18 mai 2027. Chaque séance commence à 18 h 00 et se termine au plus tard à 21 h 35, avec une pause de quinze minutes, et alterne théorie, démonstration et exercices.</w:t>
      </w:r>
    </w:p>
    <w:p>
      <w:pPr>
        <w:spacing w:after="120"/>
      </w:pPr>
      <w:r>
        <w:rPr>
          <w:sz w:val="22"/>
          <w:szCs w:val="22"/>
        </w:rPr>
        <w:t xml:space="preserve">Vous travaillerez avec Java et l'environnement de développement IntelliJ IDEA. Maven gère la structure des projets et les bibliothèques, </w:t>
      </w:r>
      <w:r>
        <w:rPr>
          <w:rFonts w:ascii="Consolas" w:hAnsi="Consolas" w:cs="Consolas"/>
          <w:color w:val="E97132" w:themeColor="accent2"/>
          <w:sz w:val="18"/>
          <w:szCs w:val="18"/>
        </w:rPr>
        <w:t xml:space="preserve">JUnit</w:t>
      </w:r>
      <w:r>
        <w:rPr>
          <w:sz w:val="22"/>
          <w:szCs w:val="22"/>
        </w:rPr>
        <w:t xml:space="preserve"> sert aux tests et </w:t>
      </w:r>
      <w:r>
        <w:rPr>
          <w:rFonts w:ascii="Consolas" w:hAnsi="Consolas" w:cs="Consolas"/>
          <w:color w:val="E97132" w:themeColor="accent2"/>
          <w:sz w:val="18"/>
          <w:szCs w:val="18"/>
        </w:rPr>
        <w:t xml:space="preserve">JavaFX</w:t>
      </w:r>
      <w:r>
        <w:rPr>
          <w:sz w:val="22"/>
          <w:szCs w:val="22"/>
        </w:rPr>
        <w:t xml:space="preserve"> aux interfaces graphiques. Les versions à utiliser sont annoncées sur Moodle : travaillez avec celles-là toute l'année, ce sont celles de l'examen.</w:t>
      </w: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sz w:val="22"/>
                <w:szCs w:val="22"/>
              </w:rPr>
              <w:t xml:space="preserve">Présence aux séances</w:t>
            </w:r>
          </w:p>
          <w:p>
            <w:pPr>
              <w:spacing w:after="0"/>
            </w:pPr>
            <w:r>
              <w:rPr>
                <w:sz w:val="22"/>
                <w:szCs w:val="22"/>
              </w:rPr>
              <w:t xml:space="preserve">Message officiel de la direction de l'EPHEC : « En cas de dépassement des 40 % d'absences injustifiées dans une unité d'enseignement, l'étudiant se verra automatiquement désinscrit du cours et non-admis à l'examen. »</w:t>
            </w:r>
          </w:p>
        </w:tc>
      </w:tr>
    </w:tbl>
    <w:p>
      <w:pPr>
        <w:spacing w:after="60"/>
      </w:pPr>
    </w:p>
    <w:p>
      <w:pPr>
        <w:pStyle w:val="Heading2"/>
        <w:keepNext/>
        <w:spacing w:after="100" w:before="240"/>
      </w:pPr>
      <w:r>
        <w:rPr>
          <w:b/>
          <w:bCs/>
          <w:color w:val="595959"/>
          <w:sz w:val="24"/>
          <w:szCs w:val="24"/>
        </w:rPr>
        <w:t xml:space="preserve">L'examen</w:t>
      </w:r>
    </w:p>
    <w:p>
      <w:pPr>
        <w:spacing w:after="120"/>
      </w:pPr>
      <w:r>
        <w:rPr>
          <w:sz w:val="22"/>
          <w:szCs w:val="22"/>
        </w:rPr>
        <w:t xml:space="preserve">L'examen a lieu le 8 juin 2027. Il se déroule à cahier ouvert : il ne demande pas de par cœur, mais la capacité à écrire du code qui fonctionne. Il se passe sur machine et dure deux heures trente.</w:t>
      </w:r>
    </w:p>
    <w:p>
      <w:pPr>
        <w:spacing w:after="120"/>
      </w:pPr>
      <w:r>
        <w:rPr>
          <w:sz w:val="22"/>
          <w:szCs w:val="22"/>
        </w:rPr>
        <w:t xml:space="preserve">Il compte cinq ou six questions, dont la forme reste stable d'une session à l'autre :</w:t>
      </w:r>
    </w:p>
    <w:p>
      <w:pPr>
        <w:pStyle w:val="ListParagraph"/>
        <w:numPr>
          <w:ilvl w:val="0"/>
          <w:numId w:val="2"/>
        </w:numPr>
        <w:spacing w:after="60"/>
      </w:pPr>
      <w:r>
        <w:rPr>
          <w:sz w:val="22"/>
          <w:szCs w:val="22"/>
        </w:rPr>
        <w:t xml:space="preserve">écrire une classe simple, qui lève une exception ;</w:t>
      </w:r>
    </w:p>
    <w:p>
      <w:pPr>
        <w:pStyle w:val="ListParagraph"/>
        <w:numPr>
          <w:ilvl w:val="0"/>
          <w:numId w:val="2"/>
        </w:numPr>
        <w:spacing w:after="60"/>
      </w:pPr>
      <w:r>
        <w:rPr>
          <w:sz w:val="22"/>
          <w:szCs w:val="22"/>
        </w:rPr>
        <w:t xml:space="preserve">écrire un type générique ;</w:t>
      </w:r>
    </w:p>
    <w:p>
      <w:pPr>
        <w:pStyle w:val="ListParagraph"/>
        <w:numPr>
          <w:ilvl w:val="0"/>
          <w:numId w:val="2"/>
        </w:numPr>
        <w:spacing w:after="60"/>
      </w:pPr>
      <w:r>
        <w:rPr>
          <w:sz w:val="22"/>
          <w:szCs w:val="22"/>
        </w:rPr>
        <w:t xml:space="preserve">écrire et exécuter une classe de tests pour une classe donnée ;</w:t>
      </w:r>
    </w:p>
    <w:p>
      <w:pPr>
        <w:pStyle w:val="ListParagraph"/>
        <w:numPr>
          <w:ilvl w:val="0"/>
          <w:numId w:val="2"/>
        </w:numPr>
        <w:spacing w:after="60"/>
      </w:pPr>
      <w:r>
        <w:rPr>
          <w:sz w:val="22"/>
          <w:szCs w:val="22"/>
        </w:rPr>
        <w:t xml:space="preserve">écrire une hiérarchie d'interfaces et de classes ;</w:t>
      </w:r>
    </w:p>
    <w:p>
      <w:pPr>
        <w:pStyle w:val="ListParagraph"/>
        <w:numPr>
          <w:ilvl w:val="0"/>
          <w:numId w:val="2"/>
        </w:numPr>
        <w:spacing w:after="60"/>
      </w:pPr>
      <w:r>
        <w:rPr>
          <w:sz w:val="22"/>
          <w:szCs w:val="22"/>
        </w:rPr>
        <w:t xml:space="preserve">compléter une application graphique pour qu'elle fonctionne ;</w:t>
      </w:r>
    </w:p>
    <w:p>
      <w:pPr>
        <w:pStyle w:val="ListParagraph"/>
        <w:numPr>
          <w:ilvl w:val="0"/>
          <w:numId w:val="2"/>
        </w:numPr>
        <w:spacing w:after="60"/>
      </w:pPr>
      <w:r>
        <w:rPr>
          <w:sz w:val="22"/>
          <w:szCs w:val="22"/>
        </w:rPr>
        <w:t xml:space="preserve">et peut-être une sixième question, dont l'existence et le sujet vous seront confirmés en cours d'année.</w:t>
      </w:r>
    </w:p>
    <w:p>
      <w:pPr>
        <w:spacing w:after="120"/>
      </w:pPr>
      <w:r>
        <w:rPr>
          <w:sz w:val="22"/>
          <w:szCs w:val="22"/>
        </w:rPr>
        <w:t xml:space="preserve">Chaque question correspond à un ou plusieurs modules. Les exercices récapitulatifs de fin d'année en reprennent la structure.</w:t>
      </w:r>
    </w:p>
    <w:p>
      <w:pPr>
        <w:pStyle w:val="Heading1"/>
        <w:keepNext/>
        <w:spacing w:after="160" w:before="360"/>
      </w:pPr>
      <w:r>
        <w:rPr>
          <w:b/>
          <w:bCs/>
          <w:color w:val="1F4E79"/>
          <w:sz w:val="30"/>
          <w:szCs w:val="30"/>
        </w:rPr>
        <w:t xml:space="preserve">INI §2 — Ma façon de travailler</w:t>
      </w:r>
    </w:p>
    <w:p>
      <w:pPr>
        <w:pStyle w:val="Heading2"/>
        <w:keepNext/>
        <w:spacing w:after="100" w:before="240"/>
      </w:pPr>
      <w:r>
        <w:rPr>
          <w:b/>
          <w:bCs/>
          <w:color w:val="595959"/>
          <w:sz w:val="24"/>
          <w:szCs w:val="24"/>
        </w:rPr>
        <w:t xml:space="preserve">Le déroulé d'un module</w:t>
      </w:r>
    </w:p>
    <w:p>
      <w:pPr>
        <w:spacing w:after="120"/>
      </w:pPr>
      <w:r>
        <w:rPr>
          <w:sz w:val="22"/>
          <w:szCs w:val="22"/>
        </w:rPr>
        <w:t xml:space="preserve">Un module suit toujours le même chemin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3"/>
        <w:gridCol w:w="7337"/>
      </w:tblGrid>
      <w:tr>
        <w:trPr>
          <w:tblHeader/>
        </w:trPr>
        <w:tc>
          <w:tcPr>
            <w:tcW w:type="dxa" w:w="2023"/>
            <w:shd w:fill="DEEAF6" w:val="clear"/>
            <w:tcMar>
              <w:top w:type="dxa" w:w="55"/>
              <w:left w:type="dxa" w:w="100"/>
              <w:bottom w:type="dxa" w:w="55"/>
              <w:right w:type="dxa" w:w="100"/>
            </w:tcMar>
          </w:tcPr>
          <w:p>
            <w:pPr>
              <w:spacing w:after="0"/>
            </w:pPr>
            <w:r>
              <w:rPr>
                <w:b/>
                <w:bCs/>
                <w:sz w:val="20"/>
                <w:szCs w:val="20"/>
              </w:rPr>
              <w:t xml:space="preserve">Étape</w:t>
            </w:r>
          </w:p>
        </w:tc>
        <w:tc>
          <w:tcPr>
            <w:tcW w:type="dxa" w:w="7337"/>
            <w:shd w:fill="DEEAF6" w:val="clear"/>
            <w:tcMar>
              <w:top w:type="dxa" w:w="55"/>
              <w:left w:type="dxa" w:w="100"/>
              <w:bottom w:type="dxa" w:w="55"/>
              <w:right w:type="dxa" w:w="100"/>
            </w:tcMar>
          </w:tcPr>
          <w:p>
            <w:pPr>
              <w:spacing w:after="0"/>
            </w:pPr>
            <w:r>
              <w:rPr>
                <w:b/>
                <w:bCs/>
                <w:sz w:val="20"/>
                <w:szCs w:val="20"/>
              </w:rPr>
              <w:t xml:space="preserve">Ce qu'elle apporte</w:t>
            </w:r>
          </w:p>
        </w:tc>
      </w:tr>
      <w:tr>
        <w:trPr>
          <w:cantSplit/>
        </w:trPr>
        <w:tc>
          <w:tcPr>
            <w:tcW w:type="dxa" w:w="2023"/>
            <w:tcMar>
              <w:top w:type="dxa" w:w="55"/>
              <w:left w:type="dxa" w:w="100"/>
              <w:bottom w:type="dxa" w:w="55"/>
              <w:right w:type="dxa" w:w="100"/>
            </w:tcMar>
          </w:tcPr>
          <w:p>
            <w:pPr>
              <w:spacing w:after="0"/>
            </w:pPr>
            <w:r>
              <w:rPr>
                <w:sz w:val="20"/>
                <w:szCs w:val="20"/>
              </w:rPr>
              <w:t xml:space="preserve">Les slides</w:t>
            </w:r>
          </w:p>
        </w:tc>
        <w:tc>
          <w:tcPr>
            <w:tcW w:type="dxa" w:w="7337"/>
            <w:tcMar>
              <w:top w:type="dxa" w:w="55"/>
              <w:left w:type="dxa" w:w="100"/>
              <w:bottom w:type="dxa" w:w="55"/>
              <w:right w:type="dxa" w:w="100"/>
            </w:tcMar>
          </w:tcPr>
          <w:p>
            <w:pPr>
              <w:spacing w:after="0"/>
            </w:pPr>
            <w:r>
              <w:rPr>
                <w:sz w:val="20"/>
                <w:szCs w:val="20"/>
              </w:rPr>
              <w:t xml:space="preserve">les notions, présentées en séance</w:t>
            </w:r>
          </w:p>
        </w:tc>
      </w:tr>
      <w:tr>
        <w:trPr>
          <w:cantSplit/>
        </w:trPr>
        <w:tc>
          <w:tcPr>
            <w:tcW w:type="dxa" w:w="2023"/>
            <w:tcMar>
              <w:top w:type="dxa" w:w="55"/>
              <w:left w:type="dxa" w:w="100"/>
              <w:bottom w:type="dxa" w:w="55"/>
              <w:right w:type="dxa" w:w="100"/>
            </w:tcMar>
          </w:tcPr>
          <w:p>
            <w:pPr>
              <w:spacing w:after="0"/>
            </w:pPr>
            <w:r>
              <w:rPr>
                <w:sz w:val="20"/>
                <w:szCs w:val="20"/>
              </w:rPr>
              <w:t xml:space="preserve">La démonstration</w:t>
            </w:r>
          </w:p>
        </w:tc>
        <w:tc>
          <w:tcPr>
            <w:tcW w:type="dxa" w:w="7337"/>
            <w:tcMar>
              <w:top w:type="dxa" w:w="55"/>
              <w:left w:type="dxa" w:w="100"/>
              <w:bottom w:type="dxa" w:w="55"/>
              <w:right w:type="dxa" w:w="100"/>
            </w:tcMar>
          </w:tcPr>
          <w:p>
            <w:pPr>
              <w:spacing w:after="0"/>
            </w:pPr>
            <w:r>
              <w:rPr>
                <w:sz w:val="20"/>
                <w:szCs w:val="20"/>
              </w:rPr>
              <w:t xml:space="preserve">les notions mises en pratique devant vous, en direct dans IntelliJ</w:t>
            </w:r>
          </w:p>
        </w:tc>
      </w:tr>
      <w:tr>
        <w:trPr>
          <w:cantSplit/>
        </w:trPr>
        <w:tc>
          <w:tcPr>
            <w:tcW w:type="dxa" w:w="2023"/>
            <w:tcMar>
              <w:top w:type="dxa" w:w="55"/>
              <w:left w:type="dxa" w:w="100"/>
              <w:bottom w:type="dxa" w:w="55"/>
              <w:right w:type="dxa" w:w="100"/>
            </w:tcMar>
          </w:tcPr>
          <w:p>
            <w:pPr>
              <w:spacing w:after="0"/>
            </w:pPr>
            <w:r>
              <w:rPr>
                <w:sz w:val="20"/>
                <w:szCs w:val="20"/>
              </w:rPr>
              <w:t xml:space="preserve">Les exercices</w:t>
            </w:r>
          </w:p>
        </w:tc>
        <w:tc>
          <w:tcPr>
            <w:tcW w:type="dxa" w:w="7337"/>
            <w:tcMar>
              <w:top w:type="dxa" w:w="55"/>
              <w:left w:type="dxa" w:w="100"/>
              <w:bottom w:type="dxa" w:w="55"/>
              <w:right w:type="dxa" w:w="100"/>
            </w:tcMar>
          </w:tcPr>
          <w:p>
            <w:pPr>
              <w:spacing w:after="0"/>
            </w:pPr>
            <w:r>
              <w:rPr>
                <w:sz w:val="20"/>
                <w:szCs w:val="20"/>
              </w:rPr>
              <w:t xml:space="preserve">votre pratique, à partir du fascicule d'exercices du module</w:t>
            </w:r>
          </w:p>
        </w:tc>
      </w:tr>
      <w:tr>
        <w:trPr>
          <w:cantSplit/>
        </w:trPr>
        <w:tc>
          <w:tcPr>
            <w:tcW w:type="dxa" w:w="2023"/>
            <w:tcMar>
              <w:top w:type="dxa" w:w="55"/>
              <w:left w:type="dxa" w:w="100"/>
              <w:bottom w:type="dxa" w:w="55"/>
              <w:right w:type="dxa" w:w="100"/>
            </w:tcMar>
          </w:tcPr>
          <w:p>
            <w:pPr>
              <w:spacing w:after="0"/>
            </w:pPr>
            <w:r>
              <w:rPr>
                <w:sz w:val="20"/>
                <w:szCs w:val="20"/>
              </w:rPr>
              <w:t xml:space="preserve">GameHub</w:t>
            </w:r>
          </w:p>
        </w:tc>
        <w:tc>
          <w:tcPr>
            <w:tcW w:type="dxa" w:w="7337"/>
            <w:tcMar>
              <w:top w:type="dxa" w:w="55"/>
              <w:left w:type="dxa" w:w="100"/>
              <w:bottom w:type="dxa" w:w="55"/>
              <w:right w:type="dxa" w:w="100"/>
            </w:tcMar>
          </w:tcPr>
          <w:p>
            <w:pPr>
              <w:spacing w:after="0"/>
            </w:pPr>
            <w:r>
              <w:rPr>
                <w:sz w:val="20"/>
                <w:szCs w:val="20"/>
              </w:rPr>
              <w:t xml:space="preserve">le fil rouge, un projet plus grand que vous faites évoluer à chaque séance</w:t>
            </w:r>
          </w:p>
        </w:tc>
      </w:tr>
    </w:tbl>
    <w:p>
      <w:pPr>
        <w:spacing w:after="60"/>
      </w:pPr>
    </w:p>
    <w:p>
      <w:pPr>
        <w:spacing w:after="120"/>
      </w:pPr>
      <w:r>
        <w:rPr>
          <w:sz w:val="22"/>
          <w:szCs w:val="22"/>
        </w:rPr>
        <w:t xml:space="preserve">Les slides ne contiennent pas les énoncés : une slide de renvoi indique le code des exercices à faire, par exemple </w:t>
      </w:r>
      <w:r>
        <w:rPr>
          <w:rFonts w:ascii="Consolas" w:hAnsi="Consolas" w:cs="Consolas"/>
          <w:color w:val="E97132" w:themeColor="accent2"/>
          <w:sz w:val="18"/>
          <w:szCs w:val="18"/>
        </w:rPr>
        <w:t xml:space="preserve">POO.1</w:t>
      </w:r>
      <w:r>
        <w:rPr>
          <w:sz w:val="22"/>
          <w:szCs w:val="22"/>
        </w:rPr>
        <w:t xml:space="preserve">, et l'énoncé complet se trouve dans le fascicule d'exercices du module.</w:t>
      </w:r>
    </w:p>
    <w:p>
      <w:pPr>
        <w:pStyle w:val="Heading2"/>
        <w:keepNext/>
        <w:spacing w:after="100" w:before="240"/>
      </w:pPr>
      <w:r>
        <w:rPr>
          <w:b/>
          <w:bCs/>
          <w:color w:val="595959"/>
          <w:sz w:val="24"/>
          <w:szCs w:val="24"/>
        </w:rPr>
        <w:t xml:space="preserve">Les fascicules d'exercices</w:t>
      </w:r>
    </w:p>
    <w:p>
      <w:pPr>
        <w:spacing w:after="120"/>
      </w:pPr>
      <w:r>
        <w:rPr>
          <w:sz w:val="22"/>
          <w:szCs w:val="22"/>
        </w:rPr>
        <w:t xml:space="preserve">Chaque module a son fascicule d'exercices, distribué en PDF ; le recueil des exercices les rassemble en un seul document. Les exercices y sont numérotés par sujet : </w:t>
      </w:r>
      <w:r>
        <w:rPr>
          <w:rFonts w:ascii="Consolas" w:hAnsi="Consolas" w:cs="Consolas"/>
          <w:color w:val="E97132" w:themeColor="accent2"/>
          <w:sz w:val="18"/>
          <w:szCs w:val="18"/>
        </w:rPr>
        <w:t xml:space="preserve">TAB.3</w:t>
      </w:r>
      <w:r>
        <w:rPr>
          <w:sz w:val="22"/>
          <w:szCs w:val="22"/>
        </w:rPr>
        <w:t xml:space="preserve"> est le troisième exercice sur les tableaux, quelle que soit la séance où on le fait. Le même code donne le nom du package dans le projet IntelliJ : </w:t>
      </w:r>
      <w:r>
        <w:rPr>
          <w:rFonts w:ascii="Consolas" w:hAnsi="Consolas" w:cs="Consolas"/>
          <w:color w:val="E97132" w:themeColor="accent2"/>
          <w:sz w:val="18"/>
          <w:szCs w:val="18"/>
        </w:rPr>
        <w:t xml:space="preserve">TAB.3</w:t>
      </w:r>
      <w:r>
        <w:rPr>
          <w:sz w:val="22"/>
          <w:szCs w:val="22"/>
        </w:rPr>
        <w:t xml:space="preserve"> se trouve dans </w:t>
      </w:r>
      <w:r>
        <w:rPr>
          <w:rFonts w:ascii="Consolas" w:hAnsi="Consolas" w:cs="Consolas"/>
          <w:color w:val="E97132" w:themeColor="accent2"/>
          <w:sz w:val="18"/>
          <w:szCs w:val="18"/>
        </w:rPr>
        <w:t xml:space="preserve">be.ephec.java.tab.e03</w:t>
      </w:r>
      <w:r>
        <w:rPr>
          <w:sz w:val="22"/>
          <w:szCs w:val="22"/>
        </w:rPr>
        <w:t xml:space="preserve">.</w:t>
      </w:r>
    </w:p>
    <w:p>
      <w:pPr>
        <w:spacing w:after="120"/>
      </w:pPr>
      <w:r>
        <w:rPr>
          <w:sz w:val="22"/>
          <w:szCs w:val="22"/>
        </w:rPr>
        <w:t xml:space="preserve">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pPr>
        <w:pStyle w:val="Heading2"/>
        <w:keepNext/>
        <w:spacing w:after="100" w:before="240"/>
      </w:pPr>
      <w:r>
        <w:rPr>
          <w:b/>
          <w:bCs/>
          <w:color w:val="595959"/>
          <w:sz w:val="24"/>
          <w:szCs w:val="24"/>
        </w:rPr>
        <w:t xml:space="preserve">Le projet ExercicesJava</w:t>
      </w:r>
    </w:p>
    <w:p>
      <w:pPr>
        <w:spacing w:after="120"/>
      </w:pPr>
      <w:r>
        <w:rPr>
          <w:sz w:val="22"/>
          <w:szCs w:val="22"/>
        </w:rPr>
        <w:t xml:space="preserve">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pPr>
        <w:spacing w:after="120"/>
      </w:pPr>
      <w:r>
        <w:rPr>
          <w:sz w:val="22"/>
          <w:szCs w:val="22"/>
        </w:rPr>
        <w:t xml:space="preserve">Les classes sont déjà écrites, avec leurs méthodes. Le corps de chaque méthode se contente de lever une </w:t>
      </w:r>
      <w:r>
        <w:rPr>
          <w:rFonts w:ascii="Consolas" w:hAnsi="Consolas" w:cs="Consolas"/>
          <w:color w:val="E97132" w:themeColor="accent2"/>
          <w:sz w:val="18"/>
          <w:szCs w:val="18"/>
        </w:rPr>
        <w:t xml:space="preserve">UnsupportedOperationException</w:t>
      </w:r>
      <w:r>
        <w:rPr>
          <w:sz w:val="22"/>
          <w:szCs w:val="22"/>
        </w:rPr>
        <w:t xml:space="preserve">, qui signifie « pas encore écrit » :</w:t>
      </w:r>
    </w:p>
    <w:p>
      <w:pPr>
        <w:keepNext/>
        <w:keepLines/>
        <w:shd w:fill="F2F2F2" w:val="clear"/>
        <w:spacing w:after="0" w:before="100"/>
        <w:ind w:left="220"/>
      </w:pPr>
      <w:r>
        <w:rPr>
          <w:rFonts w:ascii="Consolas" w:hAnsi="Consolas" w:cs="Consolas"/>
          <w:color w:val="E97132" w:themeColor="accent2"/>
          <w:sz w:val="18"/>
          <w:szCs w:val="18"/>
        </w:rPr>
        <w:t xml:space="preserve">public int computeAge(int annee) {</w:t>
      </w:r>
    </w:p>
    <w:p>
      <w:pPr>
        <w:keepNext/>
        <w:keepLines/>
        <w:shd w:fill="F2F2F2" w:val="clear"/>
        <w:spacing w:after="0" w:before="0"/>
        <w:ind w:left="220"/>
      </w:pPr>
      <w:r>
        <w:rPr>
          <w:rFonts w:ascii="Consolas" w:hAnsi="Consolas" w:cs="Consolas"/>
          <w:color w:val="E97132" w:themeColor="accent2"/>
          <w:sz w:val="18"/>
          <w:szCs w:val="18"/>
        </w:rPr>
        <w:t xml:space="preserve">    throw new UnsupportedOperationException(</w:t>
      </w:r>
    </w:p>
    <w:p>
      <w:pPr>
        <w:keepNext/>
        <w:keepLines/>
        <w:shd w:fill="F2F2F2" w:val="clear"/>
        <w:spacing w:after="0" w:before="0"/>
        <w:ind w:left="220"/>
      </w:pPr>
      <w:r>
        <w:rPr>
          <w:rFonts w:ascii="Consolas" w:hAnsi="Consolas" w:cs="Consolas"/>
          <w:color w:val="E97132" w:themeColor="accent2"/>
          <w:sz w:val="18"/>
          <w:szCs w:val="18"/>
        </w:rPr>
        <w:t xml:space="preserve">            "computeAge n'est pas encore implementee");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projet compile donc dès le départ : c'est à vous de remplacer ces lignes par le vrai code.</w:t>
      </w:r>
    </w:p>
    <w:p>
      <w:pPr>
        <w:spacing w:after="120"/>
      </w:pPr>
      <w:r>
        <w:rPr>
          <w:sz w:val="22"/>
          <w:szCs w:val="22"/>
        </w:rPr>
        <w:t xml:space="preserve">À l'examen, en revanche, certaines questions vous demanderont de créer vous-même une classe qui n'existe pas encore : le fichier, la déclaration de la classe et ses méthodes (voir </w:t>
      </w:r>
      <w:r>
        <w:rPr>
          <w:rFonts w:ascii="Consolas" w:hAnsi="Consolas" w:cs="Consolas"/>
          <w:color w:val="E97132" w:themeColor="accent2"/>
          <w:sz w:val="18"/>
          <w:szCs w:val="18"/>
        </w:rPr>
        <w:t xml:space="preserve">IDE.8</w:t>
      </w:r>
      <w:r>
        <w:rPr>
          <w:sz w:val="22"/>
          <w:szCs w:val="22"/>
        </w:rPr>
        <w:t xml:space="preserve"> du guide IntelliJ). Profitez des exercices pour vous y entraîner, en écrivant parfois une classe de toutes pièces plutôt qu'en complétant le squelette fourni.</w:t>
      </w:r>
    </w:p>
    <w:p>
      <w:pPr>
        <w:pStyle w:val="Heading2"/>
        <w:keepNext/>
        <w:spacing w:after="100" w:before="240"/>
      </w:pPr>
      <w:r>
        <w:rPr>
          <w:b/>
          <w:bCs/>
          <w:color w:val="595959"/>
          <w:sz w:val="24"/>
          <w:szCs w:val="24"/>
        </w:rPr>
        <w:t xml:space="preserve">Les tests fournis</w:t>
      </w:r>
    </w:p>
    <w:p>
      <w:pPr>
        <w:spacing w:after="120"/>
      </w:pPr>
      <w:r>
        <w:rPr>
          <w:sz w:val="22"/>
          <w:szCs w:val="22"/>
        </w:rPr>
        <w:t xml:space="preserve">La plupart des exercices sont accompagnés d'une classe de test </w:t>
      </w:r>
      <w:r>
        <w:rPr>
          <w:rFonts w:ascii="Consolas" w:hAnsi="Consolas" w:cs="Consolas"/>
          <w:color w:val="E97132" w:themeColor="accent2"/>
          <w:sz w:val="18"/>
          <w:szCs w:val="18"/>
        </w:rPr>
        <w:t xml:space="preserve">JUnit</w:t>
      </w:r>
      <w:r>
        <w:rPr>
          <w:sz w:val="22"/>
          <w:szCs w:val="22"/>
        </w:rPr>
        <w:t xml:space="preserve">. Vous la lancez vous-même, aussi souvent que vous le voulez : c'est votre moyen de savoir si votre réponse est correcte, sans attendre la séance suivante. Un test rouge signale que la réponse n'est pas encore correcte ; quand tous les tests sont verts, elle l'est.</w:t>
      </w:r>
    </w:p>
    <w:p>
      <w:pPr>
        <w:spacing w:after="120"/>
      </w:pPr>
      <w:r>
        <w:rPr>
          <w:sz w:val="22"/>
          <w:szCs w:val="22"/>
        </w:rPr>
        <w:t xml:space="preserve">Un test vert ne dit pas que votre code est bien écrit, seulement qu'il fait ce qui est demandé. Et les tests ne vérifient jamais un point que l'énoncé laisse à votre choix.</w:t>
      </w:r>
    </w:p>
    <w:p>
      <w:pPr>
        <w:spacing w:after="120"/>
      </w:pPr>
      <w:r>
        <w:rPr>
          <w:sz w:val="22"/>
          <w:szCs w:val="22"/>
        </w:rPr>
        <w:t xml:space="preserve">Vous n'avez pas besoin de connaître </w:t>
      </w:r>
      <w:r>
        <w:rPr>
          <w:rFonts w:ascii="Consolas" w:hAnsi="Consolas" w:cs="Consolas"/>
          <w:color w:val="E97132" w:themeColor="accent2"/>
          <w:sz w:val="18"/>
          <w:szCs w:val="18"/>
        </w:rPr>
        <w:t xml:space="preserve">JUnit</w:t>
      </w:r>
      <w:r>
        <w:rPr>
          <w:sz w:val="22"/>
          <w:szCs w:val="22"/>
        </w:rPr>
        <w:t xml:space="preserve"> pour lancer ces tests : le mémento Exercices explique comment faire, et le module </w:t>
      </w:r>
      <w:r>
        <w:rPr>
          <w:rFonts w:ascii="Consolas" w:hAnsi="Consolas" w:cs="Consolas"/>
          <w:color w:val="E97132" w:themeColor="accent2"/>
          <w:sz w:val="18"/>
          <w:szCs w:val="18"/>
        </w:rPr>
        <w:t xml:space="preserve">JUN</w:t>
      </w:r>
      <w:r>
        <w:rPr>
          <w:sz w:val="22"/>
          <w:szCs w:val="22"/>
        </w:rPr>
        <w:t xml:space="preserve"> vous apprendra à écrire les vôtres.</w:t>
      </w:r>
    </w:p>
    <w:p>
      <w:pPr>
        <w:pStyle w:val="Heading2"/>
        <w:keepNext/>
        <w:spacing w:after="100" w:before="240"/>
      </w:pPr>
      <w:r>
        <w:rPr>
          <w:b/>
          <w:bCs/>
          <w:color w:val="595959"/>
          <w:sz w:val="24"/>
          <w:szCs w:val="24"/>
        </w:rPr>
        <w:t xml:space="preserve">Le fil rouge GameHub</w:t>
      </w:r>
    </w:p>
    <w:p>
      <w:pPr>
        <w:spacing w:after="120"/>
      </w:pPr>
      <w:r>
        <w:rPr>
          <w:sz w:val="22"/>
          <w:szCs w:val="22"/>
        </w:rP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E97132" w:themeColor="accent2"/>
          <w:sz w:val="18"/>
          <w:szCs w:val="18"/>
        </w:rPr>
        <w:t xml:space="preserve">G.1</w:t>
      </w:r>
      <w:r>
        <w:rPr>
          <w:sz w:val="22"/>
          <w:szCs w:val="22"/>
        </w:rPr>
        <w:t xml:space="preserve">, </w:t>
      </w:r>
      <w:r>
        <w:rPr>
          <w:rFonts w:ascii="Consolas" w:hAnsi="Consolas" w:cs="Consolas"/>
          <w:color w:val="E97132" w:themeColor="accent2"/>
          <w:sz w:val="18"/>
          <w:szCs w:val="18"/>
        </w:rPr>
        <w:t xml:space="preserve">G.2</w:t>
      </w:r>
      <w:r>
        <w:rPr>
          <w:sz w:val="22"/>
          <w:szCs w:val="22"/>
        </w:rPr>
        <w:t xml:space="preserve">, et ainsi de suite, dans l'ordre imposé par leurs dépendances. GameHub vit dans un projet séparé des exercices.</w:t>
      </w:r>
    </w:p>
    <w:p>
      <w:pPr>
        <w:spacing w:after="120"/>
      </w:pPr>
      <w:r>
        <w:rPr>
          <w:sz w:val="22"/>
          <w:szCs w:val="22"/>
        </w:rPr>
        <w:t xml:space="preserve">Là où un exercice isole une notion, GameHub vous oblige à la faire cohabiter avec tout ce que vous avez déjà écrit. C'est la situation que vous retrouverez à l'examen, et surtout dans tout projet réel.</w:t>
      </w:r>
    </w:p>
    <w:p>
      <w:pPr>
        <w:pStyle w:val="Heading2"/>
        <w:keepNext/>
        <w:spacing w:after="100" w:before="240"/>
      </w:pPr>
      <w:r>
        <w:rPr>
          <w:b/>
          <w:bCs/>
          <w:color w:val="595959"/>
          <w:sz w:val="24"/>
          <w:szCs w:val="24"/>
        </w:rPr>
        <w:t xml:space="preserve">Ce support de cours</w:t>
      </w:r>
    </w:p>
    <w:p>
      <w:pPr>
        <w:spacing w:after="120"/>
      </w:pPr>
      <w:r>
        <w:rPr>
          <w:sz w:val="22"/>
          <w:szCs w:val="22"/>
        </w:rPr>
        <w:t xml:space="preserve">Les slides accompagnent l'explication orale. Ce support reprend chaque notion en prose, avec le code formaté, module par module. C'est lui qu'il faut relire entre les séances.</w:t>
      </w:r>
    </w:p>
    <w:p>
      <w:pPr>
        <w:pStyle w:val="Heading1"/>
        <w:keepNext/>
        <w:spacing w:after="160" w:before="360"/>
      </w:pPr>
      <w:r>
        <w:rPr>
          <w:b/>
          <w:bCs/>
          <w:color w:val="1F4E79"/>
          <w:sz w:val="30"/>
          <w:szCs w:val="30"/>
        </w:rPr>
        <w:t xml:space="preserve">INI §3 — Les documents de référence</w:t>
      </w:r>
    </w:p>
    <w:p>
      <w:pPr>
        <w:pStyle w:val="Heading2"/>
        <w:keepNext/>
        <w:spacing w:after="100" w:before="240"/>
      </w:pPr>
      <w:r>
        <w:rPr>
          <w:b/>
          <w:bCs/>
          <w:color w:val="595959"/>
          <w:sz w:val="24"/>
          <w:szCs w:val="24"/>
        </w:rPr>
        <w:t xml:space="preserve">Quatre documents</w:t>
      </w:r>
    </w:p>
    <w:p>
      <w:pPr>
        <w:spacing w:after="120"/>
      </w:pPr>
      <w:r>
        <w:rPr>
          <w:sz w:val="22"/>
          <w:szCs w:val="22"/>
        </w:rPr>
        <w:t xml:space="preserve">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7"/>
        <w:gridCol w:w="1345"/>
        <w:gridCol w:w="5149"/>
      </w:tblGrid>
      <w:tr>
        <w:trPr>
          <w:tblHeader/>
        </w:trPr>
        <w:tc>
          <w:tcPr>
            <w:tcW w:type="dxa" w:w="2867"/>
            <w:shd w:fill="DEEAF6" w:val="clear"/>
            <w:tcMar>
              <w:top w:type="dxa" w:w="55"/>
              <w:left w:type="dxa" w:w="100"/>
              <w:bottom w:type="dxa" w:w="55"/>
              <w:right w:type="dxa" w:w="100"/>
            </w:tcMar>
          </w:tcPr>
          <w:p>
            <w:pPr>
              <w:spacing w:after="0"/>
            </w:pPr>
            <w:r>
              <w:rPr>
                <w:b/>
                <w:bCs/>
                <w:sz w:val="20"/>
                <w:szCs w:val="20"/>
              </w:rPr>
              <w:t xml:space="preserve">Document</w:t>
            </w:r>
          </w:p>
        </w:tc>
        <w:tc>
          <w:tcPr>
            <w:tcW w:type="dxa" w:w="1345"/>
            <w:shd w:fill="DEEAF6" w:val="clear"/>
            <w:tcMar>
              <w:top w:type="dxa" w:w="55"/>
              <w:left w:type="dxa" w:w="100"/>
              <w:bottom w:type="dxa" w:w="55"/>
              <w:right w:type="dxa" w:w="100"/>
            </w:tcMar>
          </w:tcPr>
          <w:p>
            <w:pPr>
              <w:spacing w:after="0"/>
            </w:pPr>
            <w:r>
              <w:rPr>
                <w:b/>
                <w:bCs/>
                <w:sz w:val="20"/>
                <w:szCs w:val="20"/>
              </w:rPr>
              <w:t xml:space="preserve">Préfixe</w:t>
            </w:r>
          </w:p>
        </w:tc>
        <w:tc>
          <w:tcPr>
            <w:tcW w:type="dxa" w:w="5149"/>
            <w:shd w:fill="DEEAF6" w:val="clear"/>
            <w:tcMar>
              <w:top w:type="dxa" w:w="55"/>
              <w:left w:type="dxa" w:w="100"/>
              <w:bottom w:type="dxa" w:w="55"/>
              <w:right w:type="dxa" w:w="100"/>
            </w:tcMar>
          </w:tcPr>
          <w:p>
            <w:pPr>
              <w:spacing w:after="0"/>
            </w:pPr>
            <w:r>
              <w:rPr>
                <w:b/>
                <w:bCs/>
                <w:sz w:val="20"/>
                <w:szCs w:val="20"/>
              </w:rPr>
              <w:t xml:space="preserve">À quoi il sert</w:t>
            </w:r>
          </w:p>
        </w:tc>
      </w:tr>
      <w:tr>
        <w:trPr>
          <w:cantSplit/>
        </w:trPr>
        <w:tc>
          <w:tcPr>
            <w:tcW w:type="dxa" w:w="2867"/>
            <w:tcMar>
              <w:top w:type="dxa" w:w="55"/>
              <w:left w:type="dxa" w:w="100"/>
              <w:bottom w:type="dxa" w:w="55"/>
              <w:right w:type="dxa" w:w="100"/>
            </w:tcMar>
          </w:tcPr>
          <w:p>
            <w:pPr>
              <w:spacing w:after="0"/>
            </w:pPr>
            <w:r>
              <w:rPr>
                <w:sz w:val="20"/>
                <w:szCs w:val="20"/>
              </w:rPr>
              <w:t xml:space="preserve">Mémento Exercices</w:t>
            </w:r>
          </w:p>
        </w:tc>
        <w:tc>
          <w:tcPr>
            <w:tcW w:type="dxa" w:w="1345"/>
            <w:tcMar>
              <w:top w:type="dxa" w:w="55"/>
              <w:left w:type="dxa" w:w="100"/>
              <w:bottom w:type="dxa" w:w="55"/>
              <w:right w:type="dxa" w:w="100"/>
            </w:tcMar>
          </w:tcPr>
          <w:p>
            <w:pPr>
              <w:spacing w:after="0"/>
            </w:pPr>
          </w:p>
        </w:tc>
        <w:tc>
          <w:tcPr>
            <w:tcW w:type="dxa" w:w="5149"/>
            <w:tcMar>
              <w:top w:type="dxa" w:w="55"/>
              <w:left w:type="dxa" w:w="100"/>
              <w:bottom w:type="dxa" w:w="55"/>
              <w:right w:type="dxa" w:w="100"/>
            </w:tcMar>
          </w:tcPr>
          <w:p>
            <w:pPr>
              <w:spacing w:after="0"/>
            </w:pPr>
            <w:r>
              <w:rPr>
                <w:sz w:val="20"/>
                <w:szCs w:val="20"/>
              </w:rPr>
              <w:t xml:space="preserve">lancer les tests, lire un résultat</w:t>
            </w:r>
          </w:p>
        </w:tc>
      </w:tr>
      <w:tr>
        <w:trPr>
          <w:cantSplit/>
        </w:trPr>
        <w:tc>
          <w:tcPr>
            <w:tcW w:type="dxa" w:w="2867"/>
            <w:tcMar>
              <w:top w:type="dxa" w:w="55"/>
              <w:left w:type="dxa" w:w="100"/>
              <w:bottom w:type="dxa" w:w="55"/>
              <w:right w:type="dxa" w:w="100"/>
            </w:tcMar>
          </w:tcPr>
          <w:p>
            <w:pPr>
              <w:spacing w:after="0"/>
            </w:pPr>
            <w:r>
              <w:rPr>
                <w:sz w:val="20"/>
                <w:szCs w:val="20"/>
              </w:rPr>
              <w:t xml:space="preserve">Guide IntelliJ</w:t>
            </w:r>
          </w:p>
        </w:tc>
        <w:tc>
          <w:tcPr>
            <w:tcW w:type="dxa" w:w="1345"/>
            <w:tcMar>
              <w:top w:type="dxa" w:w="55"/>
              <w:left w:type="dxa" w:w="100"/>
              <w:bottom w:type="dxa" w:w="55"/>
              <w:right w:type="dxa" w:w="100"/>
            </w:tcMar>
          </w:tcPr>
          <w:p>
            <w:pPr>
              <w:spacing w:after="0"/>
            </w:pPr>
            <w:r>
              <w:rPr>
                <w:rFonts w:ascii="Consolas" w:hAnsi="Consolas" w:cs="Consolas"/>
                <w:color w:val="E97132" w:themeColor="accent2"/>
                <w:sz w:val="18"/>
                <w:szCs w:val="18"/>
              </w:rPr>
              <w:t xml:space="preserve">IDE</w:t>
            </w:r>
            <w:r>
              <w:rPr>
                <w:sz w:val="20"/>
                <w:szCs w:val="20"/>
              </w:rPr>
              <w:t xml:space="preserve">, </w:t>
            </w:r>
            <w:r>
              <w:rPr>
                <w:rFonts w:ascii="Consolas" w:hAnsi="Consolas" w:cs="Consolas"/>
                <w:color w:val="E97132" w:themeColor="accent2"/>
                <w:sz w:val="18"/>
                <w:szCs w:val="18"/>
              </w:rPr>
              <w:t xml:space="preserve">ERR</w:t>
            </w:r>
          </w:p>
        </w:tc>
        <w:tc>
          <w:tcPr>
            <w:tcW w:type="dxa" w:w="5149"/>
            <w:tcMar>
              <w:top w:type="dxa" w:w="55"/>
              <w:left w:type="dxa" w:w="100"/>
              <w:bottom w:type="dxa" w:w="55"/>
              <w:right w:type="dxa" w:w="100"/>
            </w:tcMar>
          </w:tcPr>
          <w:p>
            <w:pPr>
              <w:spacing w:after="0"/>
            </w:pPr>
            <w:r>
              <w:rPr>
                <w:sz w:val="20"/>
                <w:szCs w:val="20"/>
              </w:rPr>
              <w:t xml:space="preserve">se servir de l'outil, comprendre une erreur</w:t>
            </w:r>
          </w:p>
        </w:tc>
      </w:tr>
      <w:tr>
        <w:trPr>
          <w:cantSplit/>
        </w:trPr>
        <w:tc>
          <w:tcPr>
            <w:tcW w:type="dxa" w:w="2867"/>
            <w:tcMar>
              <w:top w:type="dxa" w:w="55"/>
              <w:left w:type="dxa" w:w="100"/>
              <w:bottom w:type="dxa" w:w="55"/>
              <w:right w:type="dxa" w:w="100"/>
            </w:tcMar>
          </w:tcPr>
          <w:p>
            <w:pPr>
              <w:spacing w:after="0"/>
            </w:pPr>
            <w:r>
              <w:rPr>
                <w:sz w:val="20"/>
                <w:szCs w:val="20"/>
              </w:rPr>
              <w:t xml:space="preserve">Mémento technique</w:t>
            </w:r>
          </w:p>
        </w:tc>
        <w:tc>
          <w:tcPr>
            <w:tcW w:type="dxa" w:w="1345"/>
            <w:tcMar>
              <w:top w:type="dxa" w:w="55"/>
              <w:left w:type="dxa" w:w="100"/>
              <w:bottom w:type="dxa" w:w="55"/>
              <w:right w:type="dxa" w:w="100"/>
            </w:tcMar>
          </w:tcPr>
          <w:p>
            <w:pPr>
              <w:spacing w:after="0"/>
            </w:pPr>
            <w:r>
              <w:rPr>
                <w:rFonts w:ascii="Consolas" w:hAnsi="Consolas" w:cs="Consolas"/>
                <w:color w:val="E97132" w:themeColor="accent2"/>
                <w:sz w:val="18"/>
                <w:szCs w:val="18"/>
              </w:rPr>
              <w:t xml:space="preserve">TEC</w:t>
            </w:r>
          </w:p>
        </w:tc>
        <w:tc>
          <w:tcPr>
            <w:tcW w:type="dxa" w:w="5149"/>
            <w:tcMar>
              <w:top w:type="dxa" w:w="55"/>
              <w:left w:type="dxa" w:w="100"/>
              <w:bottom w:type="dxa" w:w="55"/>
              <w:right w:type="dxa" w:w="100"/>
            </w:tcMar>
          </w:tcPr>
          <w:p>
            <w:pPr>
              <w:spacing w:after="0"/>
            </w:pPr>
            <w:r>
              <w:rPr>
                <w:sz w:val="20"/>
                <w:szCs w:val="20"/>
              </w:rPr>
              <w:t xml:space="preserve">comprendre ce qui se passe sous le capot</w:t>
            </w:r>
          </w:p>
        </w:tc>
      </w:tr>
      <w:tr>
        <w:trPr>
          <w:cantSplit/>
        </w:trPr>
        <w:tc>
          <w:tcPr>
            <w:tcW w:type="dxa" w:w="2867"/>
            <w:tcMar>
              <w:top w:type="dxa" w:w="55"/>
              <w:left w:type="dxa" w:w="100"/>
              <w:bottom w:type="dxa" w:w="55"/>
              <w:right w:type="dxa" w:w="100"/>
            </w:tcMar>
          </w:tcPr>
          <w:p>
            <w:pPr>
              <w:spacing w:after="0"/>
            </w:pPr>
            <w:r>
              <w:rPr>
                <w:sz w:val="20"/>
                <w:szCs w:val="20"/>
              </w:rPr>
              <w:t xml:space="preserve">Mémento Clean Code</w:t>
            </w:r>
          </w:p>
        </w:tc>
        <w:tc>
          <w:tcPr>
            <w:tcW w:type="dxa" w:w="1345"/>
            <w:tcMar>
              <w:top w:type="dxa" w:w="55"/>
              <w:left w:type="dxa" w:w="100"/>
              <w:bottom w:type="dxa" w:w="55"/>
              <w:right w:type="dxa" w:w="100"/>
            </w:tcMar>
          </w:tcPr>
          <w:p>
            <w:pPr>
              <w:spacing w:after="0"/>
            </w:pPr>
            <w:r>
              <w:rPr>
                <w:rFonts w:ascii="Consolas" w:hAnsi="Consolas" w:cs="Consolas"/>
                <w:color w:val="E97132" w:themeColor="accent2"/>
                <w:sz w:val="18"/>
                <w:szCs w:val="18"/>
              </w:rPr>
              <w:t xml:space="preserve">CC</w:t>
            </w:r>
          </w:p>
        </w:tc>
        <w:tc>
          <w:tcPr>
            <w:tcW w:type="dxa" w:w="5149"/>
            <w:tcMar>
              <w:top w:type="dxa" w:w="55"/>
              <w:left w:type="dxa" w:w="100"/>
              <w:bottom w:type="dxa" w:w="55"/>
              <w:right w:type="dxa" w:w="100"/>
            </w:tcMar>
          </w:tcPr>
          <w:p>
            <w:pPr>
              <w:spacing w:after="0"/>
            </w:pPr>
            <w:r>
              <w:rPr>
                <w:sz w:val="20"/>
                <w:szCs w:val="20"/>
              </w:rPr>
              <w:t xml:space="preserve">écrire du code lisible</w:t>
            </w:r>
          </w:p>
        </w:tc>
      </w:tr>
    </w:tbl>
    <w:p>
      <w:pPr>
        <w:spacing w:after="60"/>
      </w:pPr>
    </w:p>
    <w:p>
      <w:pPr>
        <w:spacing w:after="120"/>
      </w:pPr>
      <w:r>
        <w:rPr>
          <w:sz w:val="22"/>
          <w:szCs w:val="22"/>
        </w:rPr>
        <w:t xml:space="preserve">Le </w:t>
      </w:r>
      <w:r>
        <w:rPr>
          <w:b/>
          <w:bCs/>
          <w:sz w:val="22"/>
          <w:szCs w:val="22"/>
        </w:rPr>
        <w:t xml:space="preserve">mémento Exercices</w:t>
      </w:r>
      <w:r>
        <w:rPr>
          <w:sz w:val="22"/>
          <w:szCs w:val="22"/>
        </w:rP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r>
              <w:rPr>
                <w:sz w:val="22"/>
                <w:szCs w:val="22"/>
              </w:rPr>
              <w:t xml:space="preserve"> - </w:t>
            </w:r>
            <w:r>
              <w:rPr>
                <w:sz w:val="22"/>
                <w:szCs w:val="22"/>
              </w:rPr>
              <w:t xml:space="preserve">gardez toujours un code qui compile</w:t>
            </w:r>
          </w:p>
          <w:p>
            <w:pPr>
              <w:spacing w:after="0"/>
            </w:pPr>
            <w:r>
              <w:rPr>
                <w:sz w:val="22"/>
                <w:szCs w:val="22"/>
              </w:rPr>
              <w:t xml:space="preserve">Tout le dossier </w:t>
            </w:r>
            <w:r>
              <w:rPr>
                <w:rFonts w:ascii="Consolas" w:hAnsi="Consolas" w:cs="Consolas"/>
                <w:color w:val="E97132" w:themeColor="accent2"/>
                <w:sz w:val="18"/>
                <w:szCs w:val="18"/>
              </w:rPr>
              <w:t xml:space="preserve">src/main/java</w:t>
            </w:r>
            <w:r>
              <w:rPr>
                <w:sz w:val="22"/>
                <w:szCs w:val="22"/>
              </w:rP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E97132" w:themeColor="accent2"/>
                <w:sz w:val="18"/>
                <w:szCs w:val="18"/>
              </w:rPr>
              <w:t xml:space="preserve">Ctrl+/</w:t>
            </w:r>
            <w:r>
              <w:rPr>
                <w:sz w:val="22"/>
                <w:szCs w:val="22"/>
              </w:rPr>
              <w:t xml:space="preserve"> (</w:t>
            </w:r>
            <w:r>
              <w:rPr>
                <w:rFonts w:ascii="Consolas" w:hAnsi="Consolas" w:cs="Consolas"/>
                <w:color w:val="E97132" w:themeColor="accent2"/>
                <w:sz w:val="18"/>
                <w:szCs w:val="18"/>
              </w:rPr>
              <w:t xml:space="preserve">⌘/</w:t>
            </w:r>
            <w:r>
              <w:rPr>
                <w:sz w:val="22"/>
                <w:szCs w:val="22"/>
              </w:rPr>
              <w:t xml:space="preserve"> sur Mac). C'est aussi ce que l'examen demande : on y rend du code qui compile.</w:t>
            </w:r>
          </w:p>
        </w:tc>
      </w:tr>
    </w:tbl>
    <w:p>
      <w:pPr>
        <w:spacing w:after="60"/>
      </w:pPr>
    </w:p>
    <w:p>
      <w:pPr>
        <w:spacing w:after="120"/>
      </w:pPr>
      <w:r>
        <w:rPr>
          <w:sz w:val="22"/>
          <w:szCs w:val="22"/>
        </w:rPr>
        <w:t xml:space="preserve">Le </w:t>
      </w:r>
      <w:r>
        <w:rPr>
          <w:b/>
          <w:bCs/>
          <w:sz w:val="22"/>
          <w:szCs w:val="22"/>
        </w:rPr>
        <w:t xml:space="preserve">guide IntelliJ</w:t>
      </w:r>
      <w:r>
        <w:rPr>
          <w:sz w:val="22"/>
          <w:szCs w:val="22"/>
        </w:rP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E97132" w:themeColor="accent2"/>
          <w:sz w:val="18"/>
          <w:szCs w:val="18"/>
        </w:rPr>
        <w:t xml:space="preserve">ERR</w:t>
      </w:r>
      <w:r>
        <w:rPr>
          <w:sz w:val="22"/>
          <w:szCs w:val="22"/>
        </w:rPr>
        <w:t xml:space="preserve"> partent du message affiché et expliquent sa cause la plus probable : c'est le premier réflexe à avoir quand quelque chose ne fonctionne pas.</w:t>
      </w:r>
    </w:p>
    <w:p>
      <w:pPr>
        <w:spacing w:after="120"/>
      </w:pPr>
      <w:r>
        <w:rPr>
          <w:sz w:val="22"/>
          <w:szCs w:val="22"/>
        </w:rPr>
        <w:t xml:space="preserve">Le </w:t>
      </w:r>
      <w:r>
        <w:rPr>
          <w:b/>
          <w:bCs/>
          <w:sz w:val="22"/>
          <w:szCs w:val="22"/>
        </w:rPr>
        <w:t xml:space="preserve">mémento technique</w:t>
      </w:r>
      <w:r>
        <w:rPr>
          <w:sz w:val="22"/>
          <w:szCs w:val="22"/>
        </w:rPr>
        <w:t xml:space="preserve"> explique ce qu'IntelliJ fait à votre place : ce que sont la JVM, le JRE et le JDK, comment un fichier </w:t>
      </w:r>
      <w:r>
        <w:rPr>
          <w:rFonts w:ascii="Consolas" w:hAnsi="Consolas" w:cs="Consolas"/>
          <w:color w:val="E97132" w:themeColor="accent2"/>
          <w:sz w:val="18"/>
          <w:szCs w:val="18"/>
        </w:rPr>
        <w:t xml:space="preserve">.java</w:t>
      </w:r>
      <w:r>
        <w:rPr>
          <w:sz w:val="22"/>
          <w:szCs w:val="22"/>
        </w:rPr>
        <w:t xml:space="preserve"> devient un programme, comment Maven récupère les bibliothèques, comment se lance une application </w:t>
      </w:r>
      <w:r>
        <w:rPr>
          <w:rFonts w:ascii="Consolas" w:hAnsi="Consolas" w:cs="Consolas"/>
          <w:color w:val="E97132" w:themeColor="accent2"/>
          <w:sz w:val="18"/>
          <w:szCs w:val="18"/>
        </w:rPr>
        <w:t xml:space="preserve">JavaFX</w:t>
      </w:r>
      <w:r>
        <w:rPr>
          <w:sz w:val="22"/>
          <w:szCs w:val="22"/>
        </w:rPr>
        <w:t xml:space="preserve">. Vous pouvez écrire vos premiers programmes sans le lire, mais il répond à la plupart des « pourquoi ça marche ? ».</w:t>
      </w:r>
    </w:p>
    <w:p>
      <w:pPr>
        <w:spacing w:after="120"/>
      </w:pPr>
      <w:r>
        <w:rPr>
          <w:sz w:val="22"/>
          <w:szCs w:val="22"/>
        </w:rPr>
        <w:t xml:space="preserve">Le </w:t>
      </w:r>
      <w:r>
        <w:rPr>
          <w:b/>
          <w:bCs/>
          <w:sz w:val="22"/>
          <w:szCs w:val="22"/>
        </w:rPr>
        <w:t xml:space="preserve">mémento Clean Code</w:t>
      </w:r>
      <w:r>
        <w:rPr>
          <w:sz w:val="22"/>
          <w:szCs w:val="22"/>
        </w:rPr>
        <w:t xml:space="preserve"> rassemble 36 règles simples, en sept sections (noms, méthodes, commentaires, objets, erreurs, tests, classes), pour écrire du code qu'un autre développeur, ou vous-même dans six mois, comprendra sans effort. Un programme qui fonctionne n'est pas forcément un programme lisible. Ces règles s'inspirent du livre </w:t>
      </w:r>
      <w:r>
        <w:rPr>
          <w:i/>
          <w:iCs/>
          <w:sz w:val="22"/>
          <w:szCs w:val="22"/>
        </w:rPr>
        <w:t xml:space="preserve">Clean Code</w:t>
      </w:r>
      <w:r>
        <w:rPr>
          <w:sz w:val="22"/>
          <w:szCs w:val="22"/>
        </w:rP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pPr>
        <w:pStyle w:val="Heading2"/>
        <w:keepNext/>
        <w:spacing w:after="100" w:before="240"/>
      </w:pPr>
      <w:r>
        <w:rPr>
          <w:b/>
          <w:bCs/>
          <w:color w:val="595959"/>
          <w:sz w:val="24"/>
          <w:szCs w:val="24"/>
        </w:rPr>
        <w:t xml:space="preserve">Comment lire un renvoi</w:t>
      </w:r>
    </w:p>
    <w:p>
      <w:pPr>
        <w:spacing w:after="120"/>
      </w:pPr>
      <w:r>
        <w:rPr>
          <w:sz w:val="22"/>
          <w:szCs w:val="22"/>
        </w:rPr>
        <w:t xml:space="preserve">Les fascicules, les slides et ce support renvoient aux mémentos par des codes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9"/>
        <w:gridCol w:w="7671"/>
      </w:tblGrid>
      <w:tr>
        <w:trPr>
          <w:tblHeader/>
        </w:trPr>
        <w:tc>
          <w:tcPr>
            <w:tcW w:type="dxa" w:w="1689"/>
            <w:shd w:fill="DEEAF6" w:val="clear"/>
            <w:tcMar>
              <w:top w:type="dxa" w:w="55"/>
              <w:left w:type="dxa" w:w="100"/>
              <w:bottom w:type="dxa" w:w="55"/>
              <w:right w:type="dxa" w:w="100"/>
            </w:tcMar>
          </w:tcPr>
          <w:p>
            <w:pPr>
              <w:spacing w:after="0"/>
            </w:pPr>
            <w:r>
              <w:rPr>
                <w:b/>
                <w:bCs/>
                <w:sz w:val="20"/>
                <w:szCs w:val="20"/>
              </w:rPr>
              <w:t xml:space="preserve">Renvoi</w:t>
            </w:r>
          </w:p>
        </w:tc>
        <w:tc>
          <w:tcPr>
            <w:tcW w:type="dxa" w:w="7671"/>
            <w:shd w:fill="DEEAF6" w:val="clear"/>
            <w:tcMar>
              <w:top w:type="dxa" w:w="55"/>
              <w:left w:type="dxa" w:w="100"/>
              <w:bottom w:type="dxa" w:w="55"/>
              <w:right w:type="dxa" w:w="100"/>
            </w:tcMar>
          </w:tcPr>
          <w:p>
            <w:pPr>
              <w:spacing w:after="0"/>
            </w:pPr>
            <w:r>
              <w:rPr>
                <w:b/>
                <w:bCs/>
                <w:sz w:val="20"/>
                <w:szCs w:val="20"/>
              </w:rPr>
              <w:t xml:space="preserve">Où chercher</w:t>
            </w:r>
          </w:p>
        </w:tc>
      </w:tr>
      <w:tr>
        <w:trPr>
          <w:cantSplit/>
        </w:trPr>
        <w:tc>
          <w:tcPr>
            <w:tcW w:type="dxa" w:w="1689"/>
            <w:tcMar>
              <w:top w:type="dxa" w:w="55"/>
              <w:left w:type="dxa" w:w="100"/>
              <w:bottom w:type="dxa" w:w="55"/>
              <w:right w:type="dxa" w:w="100"/>
            </w:tcMar>
          </w:tcPr>
          <w:p>
            <w:pPr>
              <w:spacing w:after="0"/>
            </w:pPr>
            <w:r>
              <w:rPr>
                <w:rFonts w:ascii="Consolas" w:hAnsi="Consolas" w:cs="Consolas"/>
                <w:color w:val="E97132" w:themeColor="accent2"/>
                <w:sz w:val="18"/>
                <w:szCs w:val="18"/>
              </w:rPr>
              <w:t xml:space="preserve">IDE.14</w:t>
            </w:r>
          </w:p>
        </w:tc>
        <w:tc>
          <w:tcPr>
            <w:tcW w:type="dxa" w:w="7671"/>
            <w:tcMar>
              <w:top w:type="dxa" w:w="55"/>
              <w:left w:type="dxa" w:w="100"/>
              <w:bottom w:type="dxa" w:w="55"/>
              <w:right w:type="dxa" w:w="100"/>
            </w:tcMar>
          </w:tcPr>
          <w:p>
            <w:pPr>
              <w:spacing w:after="0"/>
            </w:pPr>
            <w:r>
              <w:rPr>
                <w:sz w:val="20"/>
                <w:szCs w:val="20"/>
              </w:rPr>
              <w:t xml:space="preserve">la section 14 du guide IntelliJ</w:t>
            </w:r>
          </w:p>
        </w:tc>
      </w:tr>
      <w:tr>
        <w:trPr>
          <w:cantSplit/>
        </w:trPr>
        <w:tc>
          <w:tcPr>
            <w:tcW w:type="dxa" w:w="1689"/>
            <w:tcMar>
              <w:top w:type="dxa" w:w="55"/>
              <w:left w:type="dxa" w:w="100"/>
              <w:bottom w:type="dxa" w:w="55"/>
              <w:right w:type="dxa" w:w="100"/>
            </w:tcMar>
          </w:tcPr>
          <w:p>
            <w:pPr>
              <w:spacing w:after="0"/>
            </w:pPr>
            <w:r>
              <w:rPr>
                <w:rFonts w:ascii="Consolas" w:hAnsi="Consolas" w:cs="Consolas"/>
                <w:color w:val="E97132" w:themeColor="accent2"/>
                <w:sz w:val="18"/>
                <w:szCs w:val="18"/>
                <w:u w:val="none"/>
              </w:rPr>
              <w:t xml:space="preserve">CC-MET.8</w:t>
            </w:r>
          </w:p>
        </w:tc>
        <w:tc>
          <w:tcPr>
            <w:tcW w:type="dxa" w:w="7671"/>
            <w:tcMar>
              <w:top w:type="dxa" w:w="55"/>
              <w:left w:type="dxa" w:w="100"/>
              <w:bottom w:type="dxa" w:w="55"/>
              <w:right w:type="dxa" w:w="100"/>
            </w:tcMar>
          </w:tcPr>
          <w:p>
            <w:pPr>
              <w:spacing w:after="0"/>
            </w:pPr>
            <w:r>
              <w:rPr>
                <w:sz w:val="20"/>
                <w:szCs w:val="20"/>
              </w:rPr>
              <w:t xml:space="preserve">la règle 8 de la section « méthodes » du mémento Clean Code</w:t>
            </w:r>
          </w:p>
        </w:tc>
      </w:tr>
      <w:tr>
        <w:trPr>
          <w:cantSplit/>
        </w:trPr>
        <w:tc>
          <w:tcPr>
            <w:tcW w:type="dxa" w:w="1689"/>
            <w:tcMar>
              <w:top w:type="dxa" w:w="55"/>
              <w:left w:type="dxa" w:w="100"/>
              <w:bottom w:type="dxa" w:w="55"/>
              <w:right w:type="dxa" w:w="100"/>
            </w:tcMar>
          </w:tcPr>
          <w:p>
            <w:pPr>
              <w:spacing w:after="0"/>
            </w:pPr>
            <w:r>
              <w:rPr>
                <w:rFonts w:ascii="Consolas" w:hAnsi="Consolas" w:cs="Consolas"/>
                <w:color w:val="E97132" w:themeColor="accent2"/>
                <w:sz w:val="18"/>
                <w:szCs w:val="18"/>
              </w:rPr>
              <w:t xml:space="preserve">TEC-EXE.4</w:t>
            </w:r>
          </w:p>
        </w:tc>
        <w:tc>
          <w:tcPr>
            <w:tcW w:type="dxa" w:w="7671"/>
            <w:tcMar>
              <w:top w:type="dxa" w:w="55"/>
              <w:left w:type="dxa" w:w="100"/>
              <w:bottom w:type="dxa" w:w="55"/>
              <w:right w:type="dxa" w:w="100"/>
            </w:tcMar>
          </w:tcPr>
          <w:p>
            <w:pPr>
              <w:spacing w:after="0"/>
            </w:pPr>
            <w:r>
              <w:rPr>
                <w:sz w:val="20"/>
                <w:szCs w:val="20"/>
              </w:rPr>
              <w:t xml:space="preserve">la section 4 de la partie « exécution » du mémento technique</w:t>
            </w:r>
          </w:p>
        </w:tc>
      </w:tr>
      <w:tr>
        <w:trPr>
          <w:cantSplit/>
        </w:trPr>
        <w:tc>
          <w:tcPr>
            <w:tcW w:type="dxa" w:w="1689"/>
            <w:tcMar>
              <w:top w:type="dxa" w:w="55"/>
              <w:left w:type="dxa" w:w="100"/>
              <w:bottom w:type="dxa" w:w="55"/>
              <w:right w:type="dxa" w:w="100"/>
            </w:tcMar>
          </w:tcPr>
          <w:p>
            <w:pPr>
              <w:spacing w:after="0"/>
            </w:pPr>
            <w:r>
              <w:rPr>
                <w:rFonts w:ascii="Consolas" w:hAnsi="Consolas" w:cs="Consolas"/>
                <w:color w:val="E97132" w:themeColor="accent2"/>
                <w:sz w:val="18"/>
                <w:szCs w:val="18"/>
              </w:rPr>
              <w:t xml:space="preserve">POO §6</w:t>
            </w:r>
          </w:p>
        </w:tc>
        <w:tc>
          <w:tcPr>
            <w:tcW w:type="dxa" w:w="7671"/>
            <w:tcMar>
              <w:top w:type="dxa" w:w="55"/>
              <w:left w:type="dxa" w:w="100"/>
              <w:bottom w:type="dxa" w:w="55"/>
              <w:right w:type="dxa" w:w="100"/>
            </w:tcMar>
          </w:tcPr>
          <w:p>
            <w:pPr>
              <w:spacing w:after="0"/>
            </w:pPr>
            <w:r>
              <w:rPr>
                <w:sz w:val="20"/>
                <w:szCs w:val="20"/>
              </w:rPr>
              <w:t xml:space="preserve">la section 6 du module </w:t>
            </w:r>
            <w:r>
              <w:rPr>
                <w:rFonts w:ascii="Consolas" w:hAnsi="Consolas" w:cs="Consolas"/>
                <w:color w:val="E97132" w:themeColor="accent2"/>
                <w:sz w:val="18"/>
                <w:szCs w:val="18"/>
              </w:rPr>
              <w:t xml:space="preserve">POO</w:t>
            </w:r>
            <w:r>
              <w:rPr>
                <w:sz w:val="20"/>
                <w:szCs w:val="20"/>
              </w:rPr>
              <w:t xml:space="preserve">, dans ce support</w:t>
            </w:r>
          </w:p>
        </w:tc>
      </w:tr>
    </w:tbl>
    <w:p>
      <w:pPr>
        <w:spacing w:after="60"/>
      </w:pPr>
    </w:p>
    <w:p>
      <w:pPr>
        <w:spacing w:after="120"/>
      </w:pPr>
      <w:r>
        <w:rPr>
          <w:sz w:val="22"/>
          <w:szCs w:val="22"/>
        </w:rPr>
        <w:t xml:space="preserve">Un renvoi vous dit où chercher, au moment où vous en avez besoin. Par exemple, l'exercice </w:t>
      </w:r>
      <w:r>
        <w:rPr>
          <w:rFonts w:ascii="Consolas" w:hAnsi="Consolas" w:cs="Consolas"/>
          <w:color w:val="E97132" w:themeColor="accent2"/>
          <w:sz w:val="18"/>
          <w:szCs w:val="18"/>
        </w:rPr>
        <w:t xml:space="preserve">POO.5</w:t>
      </w:r>
      <w:r>
        <w:rPr>
          <w:sz w:val="22"/>
          <w:szCs w:val="22"/>
        </w:rPr>
        <w:t xml:space="preserve"> vous demande de lire une Javadoc : il vous renvoie à </w:t>
      </w:r>
      <w:r>
        <w:rPr>
          <w:rFonts w:ascii="Consolas" w:hAnsi="Consolas" w:cs="Consolas"/>
          <w:color w:val="E97132" w:themeColor="accent2"/>
          <w:sz w:val="18"/>
          <w:szCs w:val="18"/>
        </w:rPr>
        <w:t xml:space="preserve">IDE.14</w:t>
      </w:r>
      <w:r>
        <w:rPr>
          <w:sz w:val="22"/>
          <w:szCs w:val="22"/>
        </w:rPr>
        <w:t xml:space="preserve">, qui montre comment l'afficher sans quitter IntelliJ. Le premier renvoi arrive dès le module </w:t>
      </w:r>
      <w:r>
        <w:rPr>
          <w:rFonts w:ascii="Consolas" w:hAnsi="Consolas" w:cs="Consolas"/>
          <w:color w:val="E97132" w:themeColor="accent2"/>
          <w:sz w:val="18"/>
          <w:szCs w:val="18"/>
        </w:rPr>
        <w:t xml:space="preserve">POO</w:t>
      </w:r>
      <w:r>
        <w:rPr>
          <w:sz w:val="22"/>
          <w:szCs w:val="22"/>
        </w:rPr>
        <w:t xml:space="preserve"> : prenez l'habitude de le suivre.</w:t>
      </w:r>
    </w:p>
    <w:p>
      <w:pPr>
        <w:pStyle w:val="Heading2"/>
        <w:keepNext/>
        <w:spacing w:after="100" w:before="240"/>
      </w:pPr>
      <w:r>
        <w:rPr>
          <w:b/>
          <w:bCs/>
          <w:color w:val="595959"/>
          <w:sz w:val="24"/>
          <w:szCs w:val="24"/>
        </w:rPr>
        <w:t xml:space="preserve">Quelques liens utiles</w:t>
      </w:r>
    </w:p>
    <w:p>
      <w:pPr>
        <w:spacing w:after="120"/>
      </w:pPr>
      <w:r>
        <w:rPr>
          <w:sz w:val="22"/>
          <w:szCs w:val="22"/>
        </w:rPr>
        <w:t xml:space="preserve">La documentation officielle de Java, et notamment la Javadoc qui décrit chaque classe de la bibliothèque standard, se trouve sur le site d'Oracle : </w:t>
      </w:r>
      <w:r>
        <w:rPr>
          <w:rFonts w:ascii="Consolas" w:hAnsi="Consolas" w:cs="Consolas"/>
          <w:color w:val="E97132" w:themeColor="accent2"/>
          <w:sz w:val="18"/>
          <w:szCs w:val="18"/>
        </w:rPr>
        <w:t xml:space="preserve">docs.oracle.com/en/java/javase/</w:t>
      </w:r>
      <w:r>
        <w:rPr>
          <w:sz w:val="22"/>
          <w:szCs w:val="22"/>
        </w:rPr>
        <w:t xml:space="preserve">. Choisissez la version de Java annoncée sur Moodle : les classes évoluent d'une version à l'autre.</w:t>
      </w:r>
    </w:p>
    <w:p>
      <w:pPr>
        <w:spacing w:after="120"/>
      </w:pPr>
      <w:r>
        <w:rPr>
          <w:sz w:val="22"/>
          <w:szCs w:val="22"/>
        </w:rPr>
        <w:t xml:space="preserve">Le site de Jean-Michel Doudoux, </w:t>
      </w:r>
      <w:r>
        <w:rPr>
          <w:rFonts w:ascii="Consolas" w:hAnsi="Consolas" w:cs="Consolas"/>
          <w:color w:val="E97132" w:themeColor="accent2"/>
          <w:sz w:val="18"/>
          <w:szCs w:val="18"/>
        </w:rPr>
        <w:t xml:space="preserve">jmdoudoux.fr/java/dej/</w:t>
      </w:r>
      <w:r>
        <w:rPr>
          <w:sz w:val="22"/>
          <w:szCs w:val="22"/>
        </w:rPr>
        <w:t xml:space="preserve">, propose en français un tour très complet du langage et de sa bibliothèque.</w:t>
      </w:r>
    </w:p>
    <w:p>
      <w:pPr>
        <w:pStyle w:val="Heading1"/>
        <w:keepNext/>
        <w:spacing w:after="160" w:before="360"/>
      </w:pPr>
      <w:r>
        <w:rPr>
          <w:b/>
          <w:bCs/>
          <w:color w:val="1F4E79"/>
          <w:sz w:val="30"/>
          <w:szCs w:val="30"/>
        </w:rPr>
        <w:t xml:space="preserve">En résumé</w:t>
      </w:r>
    </w:p>
    <w:p>
      <w:pPr>
        <w:pStyle w:val="ListParagraph"/>
        <w:numPr>
          <w:ilvl w:val="0"/>
          <w:numId w:val="2"/>
        </w:numPr>
        <w:spacing w:after="60"/>
      </w:pPr>
      <w:r>
        <w:rPr>
          <w:sz w:val="22"/>
          <w:szCs w:val="22"/>
        </w:rPr>
        <w:t xml:space="preserve">Un module, c'est un sujet, avec son code de trois lettres.</w:t>
      </w:r>
    </w:p>
    <w:p>
      <w:pPr>
        <w:pStyle w:val="ListParagraph"/>
        <w:numPr>
          <w:ilvl w:val="0"/>
          <w:numId w:val="2"/>
        </w:numPr>
        <w:spacing w:after="60"/>
      </w:pPr>
      <w:r>
        <w:rPr>
          <w:sz w:val="22"/>
          <w:szCs w:val="22"/>
        </w:rPr>
        <w:t xml:space="preserve">Chaque module suit le même chemin : slides, démonstration, exercices du fascicule, GameHub.</w:t>
      </w:r>
    </w:p>
    <w:p>
      <w:pPr>
        <w:pStyle w:val="ListParagraph"/>
        <w:numPr>
          <w:ilvl w:val="0"/>
          <w:numId w:val="2"/>
        </w:numPr>
        <w:spacing w:after="60"/>
      </w:pPr>
      <w:r>
        <w:rPr>
          <w:sz w:val="22"/>
          <w:szCs w:val="22"/>
        </w:rPr>
        <w:t xml:space="preserve">Des tests vous permettent de vérifier vous-même vos réponses.</w:t>
      </w:r>
    </w:p>
    <w:p>
      <w:pPr>
        <w:pStyle w:val="ListParagraph"/>
        <w:numPr>
          <w:ilvl w:val="0"/>
          <w:numId w:val="2"/>
        </w:numPr>
        <w:spacing w:after="60"/>
      </w:pPr>
      <w:r>
        <w:rPr>
          <w:sz w:val="22"/>
          <w:szCs w:val="22"/>
        </w:rPr>
        <w:t xml:space="preserve">Les mémentos s'ouvrent quand un renvoi vous y envoie.</w:t>
      </w:r>
    </w:p>
    <w:p>
      <w:pPr>
        <w:spacing w:after="120"/>
      </w:pPr>
      <w:r>
        <w:rPr>
          <w:sz w:val="22"/>
          <w:szCs w:val="22"/>
        </w:rPr>
        <w:t xml:space="preserve">Le module suivant, </w:t>
      </w:r>
      <w:r>
        <w:rPr>
          <w:rFonts w:ascii="Consolas" w:hAnsi="Consolas" w:cs="Consolas"/>
          <w:color w:val="E97132" w:themeColor="accent2"/>
          <w:sz w:val="18"/>
          <w:szCs w:val="18"/>
        </w:rPr>
        <w:t xml:space="preserve">POO</w:t>
      </w:r>
      <w:r>
        <w:rPr>
          <w:sz w:val="22"/>
          <w:szCs w:val="22"/>
        </w:rPr>
        <w:t xml:space="preserve">, entre dans le vif du sujet : il commence par ce qui change quand on passe de C# à Java.</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Support_INI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INI</dc:title>
  <dc:creator>Frédéric Ferrant — EPHEC</dc:creator>
  <cp:lastModifiedBy>Un-named</cp:lastModifiedBy>
  <cp:revision>1</cp:revision>
  <dcterms:created xsi:type="dcterms:W3CDTF">2026-10-22T16:34:02.201Z</dcterms:created>
  <dcterms:modified xsi:type="dcterms:W3CDTF">2026-10-22T16:34:02.202Z</dcterms:modified>
</cp:coreProperties>
</file>

<file path=docProps/custom.xml><?xml version="1.0" encoding="utf-8"?>
<Properties xmlns="http://schemas.openxmlformats.org/officeDocument/2006/custom-properties" xmlns:vt="http://schemas.openxmlformats.org/officeDocument/2006/docPropsVTypes"/>
</file>