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color w:val="595959"/>
          <w:sz w:val="26"/>
          <w:szCs w:val="26"/>
        </w:rPr>
        <w:t xml:space="preserve">Programmation orientée objet — Java</w:t>
      </w:r>
    </w:p>
    <w:p>
      <w:pPr>
        <w:spacing w:after="200"/>
        <w:jc w:val="center"/>
      </w:pPr>
      <w:r>
        <w:rPr>
          <w:b/>
          <w:bCs/>
          <w:color w:val="1F4E79"/>
          <w:sz w:val="46"/>
          <w:szCs w:val="46"/>
        </w:rPr>
        <w:t xml:space="preserve">Les codes du cours</w:t>
      </w:r>
    </w:p>
    <w:p>
      <w:pPr>
        <w:spacing w:after="800"/>
        <w:jc w:val="center"/>
      </w:pPr>
      <w:r>
        <w:rPr>
          <w:color w:val="595959"/>
          <w:sz w:val="26"/>
          <w:szCs w:val="26"/>
        </w:rPr>
        <w:t xml:space="preserve">À quoi correspond chaque abréviation</w:t>
      </w:r>
    </w:p>
    <w:p>
      <w:pPr>
        <w:spacing w:after="120"/>
        <w:jc w:val="center"/>
      </w:pPr>
      <w:r>
        <w:rPr>
          <w:color w:val="595959"/>
          <w:sz w:val="22"/>
          <w:szCs w:val="22"/>
        </w:rPr>
        <w:t xml:space="preserve">EPHEC — Bachelier en informatique, niveau 2</w:t>
      </w:r>
    </w:p>
    <w:p>
      <w:pPr>
        <w:spacing w:after="120"/>
        <w:jc w:val="center"/>
      </w:pPr>
      <w:r>
        <w:rPr>
          <w:color w:val="595959"/>
          <w:sz w:val="22"/>
          <w:szCs w:val="22"/>
        </w:rPr>
        <w:t xml:space="preserve">Année académique 2026-2027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Une table, pour tout le cours</w:t>
      </w:r>
    </w:p>
    <w:p>
      <w:pPr>
        <w:spacing w:after="120"/>
      </w:pPr>
      <w:r>
        <w:rPr>
          <w:sz w:val="22"/>
          <w:szCs w:val="22"/>
        </w:rPr>
        <w:t xml:space="preserve">Vous rencontrerez des codes courts partout : sur les fascicules d'exercices, dans les noms de packages, dans les archives que vous recevez, et dans les renvois d'un document à l'autre. Ils désignent tous la même chose.</w:t>
      </w:r>
    </w:p>
    <w:p>
      <w:pPr>
        <w:spacing w:after="120"/>
      </w:pPr>
      <w:r>
        <w:rPr>
          <w:sz w:val="22"/>
          <w:szCs w:val="22"/>
        </w:rPr>
        <w:t xml:space="preserve">Le code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COL</w:t>
      </w:r>
      <w:r>
        <w:rPr>
          <w:sz w:val="22"/>
          <w:szCs w:val="22"/>
        </w:rPr>
        <w:t xml:space="preserve"> nomme à la fois le thème « Collections », le fascicule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COL_enonces.docx</w:t>
      </w:r>
      <w:r>
        <w:rPr>
          <w:sz w:val="22"/>
          <w:szCs w:val="22"/>
        </w:rPr>
        <w:t xml:space="preserve">, le package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be.ephec.java.col</w:t>
      </w:r>
      <w:r>
        <w:rPr>
          <w:sz w:val="22"/>
          <w:szCs w:val="22"/>
        </w:rPr>
        <w:t xml:space="preserve"> et les exercices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COL.1</w:t>
      </w:r>
      <w:r>
        <w:rPr>
          <w:sz w:val="22"/>
          <w:szCs w:val="22"/>
        </w:rPr>
        <w:t xml:space="preserve"> à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COL.7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 numérotation est thématique, pas chronologique.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EXC.3</w:t>
      </w:r>
      <w:r>
        <w:rPr>
          <w:sz w:val="22"/>
          <w:szCs w:val="22"/>
        </w:rPr>
        <w:t xml:space="preserve"> est le troisième exercice du thème Exceptions, quelle que soit la séance où il tombe. Un exercice garde donc son code même si le calendrier change.</w:t>
      </w: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Les thèmes d'exercices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50"/>
        <w:gridCol w:w="4000"/>
        <w:gridCol w:w="1310"/>
      </w:tblGrid>
      <w:tr>
        <w:trPr>
          <w:tblHeader/>
        </w:trPr>
        <w:tc>
          <w:tcPr>
            <w:tcW w:type="dxa" w:w="10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305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Titre</w:t>
            </w:r>
          </w:p>
        </w:tc>
        <w:tc>
          <w:tcPr>
            <w:tcW w:type="dxa" w:w="40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que vous y travaillez</w:t>
            </w:r>
          </w:p>
        </w:tc>
        <w:tc>
          <w:tcPr>
            <w:tcW w:type="dxa" w:w="131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Exercices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POO</w:t>
            </w:r>
          </w:p>
        </w:tc>
        <w:tc>
          <w:tcPr>
            <w:tcW w:type="dxa" w:w="30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Classes, objets et encapsulation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Première classe, champs, accesseurs, données calculées</w:t>
            </w:r>
          </w:p>
        </w:tc>
        <w:tc>
          <w:tcPr>
            <w:tcW w:type="dxa" w:w="131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</w:t>
            </w:r>
          </w:p>
        </w:tc>
        <w:tc>
          <w:tcPr>
            <w:tcW w:type="dxa" w:w="30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static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Constantes, champs et méthodes de classe</w:t>
            </w:r>
          </w:p>
        </w:tc>
        <w:tc>
          <w:tcPr>
            <w:tcW w:type="dxa" w:w="131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TMP</w:t>
            </w:r>
          </w:p>
        </w:tc>
        <w:tc>
          <w:tcPr>
            <w:tcW w:type="dxa" w:w="30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Dates et heures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LocalDate, LocalDateTime, durées, formatage</w:t>
            </w:r>
          </w:p>
        </w:tc>
        <w:tc>
          <w:tcPr>
            <w:tcW w:type="dxa" w:w="131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PKG</w:t>
            </w:r>
          </w:p>
        </w:tc>
        <w:tc>
          <w:tcPr>
            <w:tcW w:type="dxa" w:w="30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Packages et visibilité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Niveaux de visibilité, surface publique, découpage</w:t>
            </w:r>
          </w:p>
        </w:tc>
        <w:tc>
          <w:tcPr>
            <w:tcW w:type="dxa" w:w="131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TAB</w:t>
            </w:r>
          </w:p>
        </w:tc>
        <w:tc>
          <w:tcPr>
            <w:tcW w:type="dxa" w:w="30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Tableaux, boucles, ternaire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Tableaux à une et deux dimensions, associations</w:t>
            </w:r>
          </w:p>
        </w:tc>
        <w:tc>
          <w:tcPr>
            <w:tcW w:type="dxa" w:w="131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ENU</w:t>
            </w:r>
          </w:p>
        </w:tc>
        <w:tc>
          <w:tcPr>
            <w:tcW w:type="dxa" w:w="30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Énumérations et records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enum, record, données immuables</w:t>
            </w:r>
          </w:p>
        </w:tc>
        <w:tc>
          <w:tcPr>
            <w:tcW w:type="dxa" w:w="131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ABS</w:t>
            </w:r>
          </w:p>
        </w:tc>
        <w:tc>
          <w:tcPr>
            <w:tcW w:type="dxa" w:w="30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Classes abstraites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Hiérarchies, méthodes abstraites, factorisation</w:t>
            </w:r>
          </w:p>
        </w:tc>
        <w:tc>
          <w:tcPr>
            <w:tcW w:type="dxa" w:w="131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ITF</w:t>
            </w:r>
          </w:p>
        </w:tc>
        <w:tc>
          <w:tcPr>
            <w:tcW w:type="dxa" w:w="30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Interfaces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Implémentation multiple, patron Observateur</w:t>
            </w:r>
          </w:p>
        </w:tc>
        <w:tc>
          <w:tcPr>
            <w:tcW w:type="dxa" w:w="131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</w:t>
            </w:r>
          </w:p>
        </w:tc>
        <w:tc>
          <w:tcPr>
            <w:tcW w:type="dxa" w:w="30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Collections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List, Set, Map, parcours, filtrage</w:t>
            </w:r>
          </w:p>
        </w:tc>
        <w:tc>
          <w:tcPr>
            <w:tcW w:type="dxa" w:w="131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EXC</w:t>
            </w:r>
          </w:p>
        </w:tc>
        <w:tc>
          <w:tcPr>
            <w:tcW w:type="dxa" w:w="30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Exceptions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Levée, capture, exceptions personnalisées, trace</w:t>
            </w:r>
          </w:p>
        </w:tc>
        <w:tc>
          <w:tcPr>
            <w:tcW w:type="dxa" w:w="131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JUN</w:t>
            </w:r>
          </w:p>
        </w:tc>
        <w:tc>
          <w:tcPr>
            <w:tcW w:type="dxa" w:w="30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Tests unitaires JUnit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Assertions, TDD, écriture de classes de test</w:t>
            </w:r>
          </w:p>
        </w:tc>
        <w:tc>
          <w:tcPr>
            <w:tcW w:type="dxa" w:w="131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</w:t>
            </w:r>
          </w:p>
        </w:tc>
        <w:tc>
          <w:tcPr>
            <w:tcW w:type="dxa" w:w="30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Types génériques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Classes et méthodes paramétrées, joker</w:t>
            </w:r>
          </w:p>
        </w:tc>
        <w:tc>
          <w:tcPr>
            <w:tcW w:type="dxa" w:w="131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LAM</w:t>
            </w:r>
          </w:p>
        </w:tc>
        <w:tc>
          <w:tcPr>
            <w:tcW w:type="dxa" w:w="30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Lambdas et références de méthodes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Interfaces fonctionnelles, java.util.function</w:t>
            </w:r>
          </w:p>
        </w:tc>
        <w:tc>
          <w:tcPr>
            <w:tcW w:type="dxa" w:w="131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FX</w:t>
            </w:r>
          </w:p>
        </w:tc>
        <w:tc>
          <w:tcPr>
            <w:tcW w:type="dxa" w:w="30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JavaFX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Fenêtres, composants, gestion d'événements</w:t>
            </w:r>
          </w:p>
        </w:tc>
        <w:tc>
          <w:tcPr>
            <w:tcW w:type="dxa" w:w="131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FIC</w:t>
            </w:r>
          </w:p>
        </w:tc>
        <w:tc>
          <w:tcPr>
            <w:tcW w:type="dxa" w:w="30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Fichiers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Lecture et écriture, sérialisation</w:t>
            </w:r>
          </w:p>
        </w:tc>
        <w:tc>
          <w:tcPr>
            <w:tcW w:type="dxa" w:w="131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</w:t>
            </w:r>
          </w:p>
        </w:tc>
        <w:tc>
          <w:tcPr>
            <w:tcW w:type="dxa" w:w="30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Exercices récapitulatifs</w:t>
            </w:r>
          </w:p>
        </w:tc>
        <w:tc>
          <w:tcPr>
            <w:tcW w:type="dxa" w:w="40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Révision transversale avant l'examen</w:t>
            </w:r>
          </w:p>
        </w:tc>
        <w:tc>
          <w:tcPr>
            <w:tcW w:type="dxa" w:w="131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à définir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Le fil rouge </w:t>
      </w:r>
      <w:r>
        <w:rPr>
          <w:b/>
          <w:bCs/>
          <w:sz w:val="22"/>
          <w:szCs w:val="22"/>
        </w:rPr>
        <w:t xml:space="preserve">GameHub</w:t>
      </w:r>
      <w:r>
        <w:rPr>
          <w:sz w:val="22"/>
          <w:szCs w:val="22"/>
        </w:rPr>
        <w:t xml:space="preserve"> garde un code à part,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G</w:t>
      </w:r>
      <w:r>
        <w:rPr>
          <w:sz w:val="22"/>
          <w:szCs w:val="22"/>
        </w:rPr>
        <w:t xml:space="preserve">, et une numérotation séquentielle de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G.1</w:t>
      </w:r>
      <w:r>
        <w:rPr>
          <w:sz w:val="22"/>
          <w:szCs w:val="22"/>
        </w:rPr>
        <w:t xml:space="preserve"> à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G.30</w:t>
      </w:r>
      <w:r>
        <w:rPr>
          <w:sz w:val="22"/>
          <w:szCs w:val="22"/>
        </w:rPr>
        <w:t xml:space="preserve"> : son ordre est imposé par les dépendances entre incréments, pas par un thème.</w:t>
      </w:r>
    </w:p>
    <w:p>
      <w:pPr>
        <w:spacing w:after="120"/>
      </w:pPr>
      <w:r>
        <w:rPr>
          <w:sz w:val="22"/>
          <w:szCs w:val="22"/>
        </w:rPr>
        <w:t xml:space="preserve">Le </w:t>
      </w:r>
      <w:r>
        <w:rPr>
          <w:b/>
          <w:bCs/>
          <w:sz w:val="22"/>
          <w:szCs w:val="22"/>
        </w:rPr>
        <w:t xml:space="preserve">démineur</w:t>
      </w:r>
      <w:r>
        <w:rPr>
          <w:sz w:val="22"/>
          <w:szCs w:val="22"/>
        </w:rPr>
        <w:t xml:space="preserve"> est un exercice facultatif, dans son propre projet. Il n'a ni code de thème ni numéro : il ne dépend d'aucun autre exercice, et rien ne dépend de lui.</w:t>
      </w:r>
    </w:p>
    <w:p>
      <w:r>
        <w:br w:type="page"/>
      </w: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Les trois documents de référence</w:t>
      </w:r>
    </w:p>
    <w:p>
      <w:pPr>
        <w:spacing w:after="120"/>
      </w:pPr>
      <w:r>
        <w:rPr>
          <w:sz w:val="22"/>
          <w:szCs w:val="22"/>
        </w:rPr>
        <w:t xml:space="preserve">Ils ne dépendent d'aucune séance et servent toute l'année. Les fascicules d'exercices y renvoient par un code, sans reproduire le contenu.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22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Codes</w:t>
            </w:r>
          </w:p>
        </w:tc>
        <w:tc>
          <w:tcPr>
            <w:tcW w:type="dxa" w:w="45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qu'on y trouve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Mémento Clean Code</w:t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CC-*</w:t>
            </w:r>
          </w:p>
        </w:tc>
        <w:tc>
          <w:tcPr>
            <w:tcW w:type="dxa" w:w="4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34 règles d'écriture, de nommage et de conception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Mémento technique</w:t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TEC-*</w:t>
            </w:r>
          </w:p>
        </w:tc>
        <w:tc>
          <w:tcPr>
            <w:tcW w:type="dxa" w:w="4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plateforme, les interfaces graphiques, la compilation, l'exécution, Maven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Guide IntelliJ</w:t>
            </w:r>
          </w:p>
        </w:tc>
        <w:tc>
          <w:tcPr>
            <w:tcW w:type="dxa" w:w="2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IDE.* et ERR.*</w:t>
            </w:r>
          </w:p>
        </w:tc>
        <w:tc>
          <w:tcPr>
            <w:tcW w:type="dxa" w:w="4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Installer, ouvrir, écrire, exécuter, et une annexe d'erreurs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Les sections du mémento Clean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400"/>
        <w:gridCol w:w="2560"/>
      </w:tblGrid>
      <w:tr>
        <w:trPr>
          <w:tblHeader/>
        </w:trPr>
        <w:tc>
          <w:tcPr>
            <w:tcW w:type="dxa" w:w="1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5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25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Règles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CC-NOM</w:t>
            </w:r>
          </w:p>
        </w:tc>
        <w:tc>
          <w:tcPr>
            <w:tcW w:type="dxa" w:w="5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noms</w:t>
            </w:r>
          </w:p>
        </w:tc>
        <w:tc>
          <w:tcPr>
            <w:tcW w:type="dxa" w:w="2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CC-MET</w:t>
            </w:r>
          </w:p>
        </w:tc>
        <w:tc>
          <w:tcPr>
            <w:tcW w:type="dxa" w:w="5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méthodes</w:t>
            </w:r>
          </w:p>
        </w:tc>
        <w:tc>
          <w:tcPr>
            <w:tcW w:type="dxa" w:w="2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CC-COM</w:t>
            </w:r>
          </w:p>
        </w:tc>
        <w:tc>
          <w:tcPr>
            <w:tcW w:type="dxa" w:w="5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commentaires</w:t>
            </w:r>
          </w:p>
        </w:tc>
        <w:tc>
          <w:tcPr>
            <w:tcW w:type="dxa" w:w="2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CC-OBJ</w:t>
            </w:r>
          </w:p>
        </w:tc>
        <w:tc>
          <w:tcPr>
            <w:tcW w:type="dxa" w:w="5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Objets et structures de données</w:t>
            </w:r>
          </w:p>
        </w:tc>
        <w:tc>
          <w:tcPr>
            <w:tcW w:type="dxa" w:w="2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CC-ERR</w:t>
            </w:r>
          </w:p>
        </w:tc>
        <w:tc>
          <w:tcPr>
            <w:tcW w:type="dxa" w:w="5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traitement des erreurs</w:t>
            </w:r>
          </w:p>
        </w:tc>
        <w:tc>
          <w:tcPr>
            <w:tcW w:type="dxa" w:w="2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CC-TST</w:t>
            </w:r>
          </w:p>
        </w:tc>
        <w:tc>
          <w:tcPr>
            <w:tcW w:type="dxa" w:w="5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tests</w:t>
            </w:r>
          </w:p>
        </w:tc>
        <w:tc>
          <w:tcPr>
            <w:tcW w:type="dxa" w:w="2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CC-CLS</w:t>
            </w:r>
          </w:p>
        </w:tc>
        <w:tc>
          <w:tcPr>
            <w:tcW w:type="dxa" w:w="5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classes</w:t>
            </w:r>
          </w:p>
        </w:tc>
        <w:tc>
          <w:tcPr>
            <w:tcW w:type="dxa" w:w="25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Les sections du mémento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Code</w:t>
            </w:r>
          </w:p>
        </w:tc>
        <w:tc>
          <w:tcPr>
            <w:tcW w:type="dxa" w:w="32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47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Ce qu'on y trouve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TEC-PLA</w:t>
            </w:r>
          </w:p>
        </w:tc>
        <w:tc>
          <w:tcPr>
            <w:tcW w:type="dxa" w:w="3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plateforme Java</w:t>
            </w:r>
          </w:p>
        </w:tc>
        <w:tc>
          <w:tcPr>
            <w:tcW w:type="dxa" w:w="4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JVM, JRE, JDK, éditions, versions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TEC-FX</w:t>
            </w:r>
          </w:p>
        </w:tc>
        <w:tc>
          <w:tcPr>
            <w:tcW w:type="dxa" w:w="3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Les interfaces graphiques</w:t>
            </w:r>
          </w:p>
        </w:tc>
        <w:tc>
          <w:tcPr>
            <w:tcW w:type="dxa" w:w="4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AWT, Swing, JavaFX et leurs modules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TEC-CMP</w:t>
            </w:r>
          </w:p>
        </w:tc>
        <w:tc>
          <w:tcPr>
            <w:tcW w:type="dxa" w:w="3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 votre code au programme</w:t>
            </w:r>
          </w:p>
        </w:tc>
        <w:tc>
          <w:tcPr>
            <w:tcW w:type="dxa" w:w="4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.java, .class, bytecode, classpath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TEC-EXE</w:t>
            </w:r>
          </w:p>
        </w:tc>
        <w:tc>
          <w:tcPr>
            <w:tcW w:type="dxa" w:w="3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Pendant l'exécution</w:t>
            </w:r>
          </w:p>
        </w:tc>
        <w:tc>
          <w:tcPr>
            <w:tcW w:type="dxa" w:w="4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pile, le tas, les références, le ramasse-miettes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TEC-MVN</w:t>
            </w:r>
          </w:p>
        </w:tc>
        <w:tc>
          <w:tcPr>
            <w:tcW w:type="dxa" w:w="3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Maven</w:t>
            </w:r>
          </w:p>
        </w:tc>
        <w:tc>
          <w:tcPr>
            <w:tcW w:type="dxa" w:w="4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pom.xml, modules, cycle de vie, dépôt local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TEC-ZIP</w:t>
            </w:r>
          </w:p>
        </w:tc>
        <w:tc>
          <w:tcPr>
            <w:tcW w:type="dxa" w:w="3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Recevoir les fichiers du cours</w:t>
            </w:r>
          </w:p>
        </w:tc>
        <w:tc>
          <w:tcPr>
            <w:tcW w:type="dxa" w:w="4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Extraire une archive au bon endroit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TEC-GIT</w:t>
            </w:r>
          </w:p>
        </w:tc>
        <w:tc>
          <w:tcPr>
            <w:tcW w:type="dxa" w:w="32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Git, en deux mots</w:t>
            </w:r>
          </w:p>
        </w:tc>
        <w:tc>
          <w:tcPr>
            <w:tcW w:type="dxa" w:w="47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Gestion de versions, fichiers ignorés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Le guide IntelliJ numérote simplement :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IDE.1</w:t>
      </w:r>
      <w:r>
        <w:rPr>
          <w:sz w:val="22"/>
          <w:szCs w:val="22"/>
        </w:rPr>
        <w:t xml:space="preserve"> à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IDE.29</w:t>
      </w:r>
      <w:r>
        <w:rPr>
          <w:sz w:val="22"/>
          <w:szCs w:val="22"/>
        </w:rPr>
        <w:t xml:space="preserve"> pour les sections,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ERR.1</w:t>
      </w:r>
      <w:r>
        <w:rPr>
          <w:sz w:val="22"/>
          <w:szCs w:val="22"/>
        </w:rPr>
        <w:t xml:space="preserve"> à </w:t>
      </w:r>
      <w:r>
        <w:rPr>
          <w:rFonts w:ascii="Consolas" w:cs="Consolas" w:eastAsia="Consolas" w:hAnsi="Consolas"/>
          <w:color w:val="8B2500"/>
          <w:sz w:val="22"/>
          <w:szCs w:val="22"/>
        </w:rPr>
        <w:t xml:space="preserve">ERR.8</w:t>
      </w:r>
      <w:r>
        <w:rPr>
          <w:sz w:val="22"/>
          <w:szCs w:val="22"/>
        </w:rPr>
        <w:t xml:space="preserve"> pour l'annexe des erreurs.</w:t>
      </w:r>
    </w:p>
    <w:p>
      <w:r>
        <w:br w:type="page"/>
      </w:r>
    </w:p>
    <w:p>
      <w:pPr>
        <w:pStyle w:val="Heading1"/>
        <w:keepNext/>
        <w:spacing w:after="160" w:before="360"/>
      </w:pPr>
      <w:r>
        <w:rPr>
          <w:b/>
          <w:bCs/>
          <w:color w:val="1F4E79"/>
          <w:sz w:val="30"/>
          <w:szCs w:val="30"/>
        </w:rPr>
        <w:t xml:space="preserve">L'organisation du projet</w:t>
      </w:r>
    </w:p>
    <w:p>
      <w:pPr>
        <w:spacing w:after="120"/>
      </w:pPr>
      <w:r>
        <w:rPr>
          <w:sz w:val="22"/>
          <w:szCs w:val="22"/>
        </w:rPr>
        <w:t xml:space="preserve">Le projet que vous recevez est organisé ainsi :</w:t>
      </w:r>
    </w:p>
    <w:p>
      <w:pPr>
        <w:keepLines/>
        <w:shd w:fill="F2F2F2" w:val="clear"/>
        <w:spacing w:after="0" w:before="10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ExercicesJava/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pom.xml         configuration commune — ne pas modifier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documents/      les trois documents de reference, et ce fichier-ci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enonces/        les fascicules d'exercices, un par theme</w:t>
      </w:r>
    </w:p>
    <w:p>
      <w:pPr>
        <w:keepLines/>
        <w:shd w:fill="F2F2F2" w:val="clear"/>
        <w:spacing w:after="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exercices/      VOTRE code. C'est ici que vous travaillez.</w:t>
      </w:r>
    </w:p>
    <w:p>
      <w:pPr>
        <w:keepLines/>
        <w:shd w:fill="F2F2F2" w:val="clear"/>
        <w:spacing w:after="160" w:before="0"/>
        <w:ind w:left="220"/>
      </w:pPr>
      <w:r>
        <w:rPr>
          <w:rFonts w:ascii="Consolas" w:cs="Consolas" w:eastAsia="Consolas" w:hAnsi="Consolas"/>
          <w:sz w:val="19"/>
          <w:szCs w:val="19"/>
        </w:rPr>
        <w:t xml:space="preserve">    solutions/      les corriges, publies apres chaque seance</w:t>
      </w:r>
    </w:p>
    <w:tbl>
      <w:tblPr>
        <w:tblW w:type="dxa" w:w="9360"/>
        <w:tblBorders>
          <w:top w:val="single" w:color="A6A6A6" w:sz="2"/>
          <w:left w:val="single" w:color="1F4E79" w:sz="12"/>
          <w:bottom w:val="single" w:color="A6A6A6" w:sz="2"/>
          <w:right w:val="single" w:color="A6A6A6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7F9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Les dossiers commençant par un souligné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Si vous voyez des dossiers dont le nom commence par _ — _outils, _todos, _objectifs — c'est que vous avez sous les yeux la version de travail du professeur. Ils ne figurent pas dans les archives que vous recevez.</w:t>
            </w:r>
          </w:p>
        </w:tc>
      </w:tr>
    </w:tbl>
    <w:p>
      <w:pPr>
        <w:pStyle w:val="Heading2"/>
        <w:keepNext/>
        <w:spacing w:after="100" w:before="240"/>
      </w:pPr>
      <w:r>
        <w:rPr>
          <w:b/>
          <w:bCs/>
          <w:color w:val="595959"/>
          <w:sz w:val="24"/>
          <w:szCs w:val="24"/>
        </w:rPr>
        <w:t xml:space="preserve">Où trouver quoi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Vous cherchez…</w:t>
            </w:r>
          </w:p>
        </w:tc>
        <w:tc>
          <w:tcPr>
            <w:tcW w:type="dxa" w:w="4960"/>
            <w:shd w:fill="DEEAF6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Regardez dans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l'énoncé d'un exercice</w:t>
            </w:r>
          </w:p>
        </w:tc>
        <w:tc>
          <w:tcPr>
            <w:tcW w:type="dxa" w:w="4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enonces/, le fascicule du thème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une règle d'écriture</w:t>
            </w:r>
          </w:p>
        </w:tc>
        <w:tc>
          <w:tcPr>
            <w:tcW w:type="dxa" w:w="4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documents/Memento_Clean_Code.docx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comment fonctionne le JDK ou Maven</w:t>
            </w:r>
          </w:p>
        </w:tc>
        <w:tc>
          <w:tcPr>
            <w:tcW w:type="dxa" w:w="4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documents/Memento_Technique.docx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comment faire quelque chose dans IntelliJ</w:t>
            </w:r>
          </w:p>
        </w:tc>
        <w:tc>
          <w:tcPr>
            <w:tcW w:type="dxa" w:w="4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documents/Guide_IntelliJ.docx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que signifie un message d'erreur</w:t>
            </w:r>
          </w:p>
        </w:tc>
        <w:tc>
          <w:tcPr>
            <w:tcW w:type="dxa" w:w="4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l'annexe ERR.* du guide IntelliJ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 squelette à compléter</w:t>
            </w:r>
          </w:p>
        </w:tc>
        <w:tc>
          <w:tcPr>
            <w:tcW w:type="dxa" w:w="4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exercices/src/main/java/be/ephec/java/&lt;theme&gt;/</w:t>
            </w:r>
          </w:p>
        </w:tc>
      </w:tr>
      <w:tr>
        <w:trPr>
          <w:cantSplit/>
        </w:trPr>
        <w:tc>
          <w:tcPr>
            <w:tcW w:type="dxa" w:w="44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classe de test</w:t>
            </w:r>
          </w:p>
        </w:tc>
        <w:tc>
          <w:tcPr>
            <w:tcW w:type="dxa" w:w="496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exercices/src/test/java/be/ephec/java/&lt;theme&gt;/</w:t>
            </w:r>
          </w:p>
        </w:tc>
      </w:tr>
    </w:tbl>
    <w:sectPr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jc w:val="center"/>
      <w:rPr>
        <w:sz w:val="18"/>
        <w:szCs w:val="18"/>
        <w:color w:val="595959"/>
      </w:rPr>
    </w:pPr>
    <w:r>
      <w:rPr>
        <w:sz w:val="18"/>
        <w:szCs w:val="18"/>
        <w:color w:val="595959"/>
      </w:rPr>
      <w:t xml:space="preserve">Codes_du_cours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  <w:szCs w:val="18"/>
        <w:color w:val="595959"/>
      </w:rPr>
      <w:t xml:space="preserve"> / </w:t>
    </w:r>
    <w:r>
      <w:fldChar w:fldCharType="begin"/>
    </w:r>
    <w:r>
      <w:instrText xml:space="preserve"> SECTIONPAGES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 codes du cours</dc:title>
  <dc:creator>Frédéric Ferrant — EPHEC</dc:creator>
  <cp:lastModifiedBy>Un-named</cp:lastModifiedBy>
  <cp:revision>1</cp:revision>
  <dcterms:created xsi:type="dcterms:W3CDTF">2026-10-10T21:08:55.386Z</dcterms:created>
  <dcterms:modified xsi:type="dcterms:W3CDTF">2026-10-10T21:08:55.386Z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