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Les codes du cours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À quoi correspond chaque abréviation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Une table, pour tout le cours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Vous rencontrerez des codes courts partout : sur les fascicules d'exercices, dans les noms de packages, dans les archives que vous recevez, et dans les renvois d'un document à l'autre. Ils désignent tous la même chose.</w:t>
      </w:r>
    </w:p>
    <w:p>
      <w:pPr>
        <w:spacing w:after="120"/>
      </w:pPr>
      <w:r>
        <w:rPr>
          <w:sz w:val="22"/>
          <w:szCs w:val="22"/>
        </w:rPr>
        <w:t xml:space="preserve">Le code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 nomme à la fois le module « Collections », le fascicule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COL_enonces.docx</w:t>
      </w:r>
      <w:r>
        <w:rPr>
          <w:sz w:val="22"/>
          <w:szCs w:val="22"/>
        </w:rPr>
        <w:t xml:space="preserve">, le package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be.ephec.java.col</w:t>
      </w:r>
      <w:r>
        <w:rPr>
          <w:sz w:val="22"/>
          <w:szCs w:val="22"/>
        </w:rPr>
        <w:t xml:space="preserve"> et les exercices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numérotation est thématique, pas chronologique.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EXC.3</w:t>
      </w:r>
      <w:r>
        <w:rPr>
          <w:sz w:val="22"/>
          <w:szCs w:val="22"/>
        </w:rPr>
        <w:t xml:space="preserve"> est le troisième exercice du module Exceptions, quelle que soit la séance où il tombe. Un exercice garde donc son code même si le calendrier change.</w:t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modules d'exercices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50"/>
        <w:gridCol w:w="4000"/>
        <w:gridCol w:w="1310"/>
      </w:tblGrid>
      <w:tr>
        <w:trPr>
          <w:tblHeader/>
        </w:trPr>
        <w:tc>
          <w:tcPr>
            <w:tcW w:type="dxa" w:w="1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05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Titre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y travaillez</w:t>
            </w:r>
          </w:p>
        </w:tc>
        <w:tc>
          <w:tcPr>
            <w:tcW w:type="dxa" w:w="131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POO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Classes, objets et encapsulation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Première classe, champs, accesseurs, données calculées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static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Constantes, champs et méthodes de classe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TMP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Dates et heures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LocalDateTime</w:t>
            </w:r>
            <w:r>
              <w:rPr>
                <w:sz w:val="20"/>
                <w:szCs w:val="20"/>
              </w:rPr>
              <w:t xml:space="preserve">, durées, formatage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PKG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Packages et visibilité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Niveaux de visibilité, surface publique, découpage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Tableaux, boucles, ternaire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Tableaux à une et deux dimensions, associations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ENU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Énumérations et records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enum, record, données immuables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abstraites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Hiérarchies, méthodes abstraites, factorisation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ITF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Implémentation multiple, patron Observateur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COL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Collections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  <w:r>
              <w:rPr>
                <w:sz w:val="20"/>
                <w:szCs w:val="20"/>
              </w:rPr>
              <w:t xml:space="preserve">, parcours, filtrage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EXC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Exceptions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Levée, capture, exceptions personnalisées, trace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Tests unitaires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JUnit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Assertions, TDD, écriture de classes de test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Types génériques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Classes et méthodes paramétrées, joker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LAM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Lambdas et références de méthodes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Interfaces fonctionnelles,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java.util.function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FX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JavaFX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Fenêtres, événements, propriétés et bindings, MVC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FIC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Fichiers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Lecture et écriture, sérialisation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REC</w:t>
            </w:r>
          </w:p>
        </w:tc>
        <w:tc>
          <w:tcPr>
            <w:tcW w:type="dxa" w:w="305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 récapitulatifs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séries de révision, dans la forme de l'examen</w:t>
            </w:r>
          </w:p>
        </w:tc>
        <w:tc>
          <w:tcPr>
            <w:tcW w:type="dxa" w:w="131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fil rouge </w:t>
      </w:r>
      <w:r>
        <w:rPr>
          <w:b/>
          <w:bCs/>
          <w:sz w:val="22"/>
          <w:szCs w:val="22"/>
        </w:rPr>
        <w:t xml:space="preserve">GameHub</w:t>
      </w:r>
      <w:r>
        <w:rPr>
          <w:sz w:val="22"/>
          <w:szCs w:val="22"/>
        </w:rPr>
        <w:t xml:space="preserve"> garde un code à part,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</w:t>
      </w:r>
      <w:r>
        <w:rPr>
          <w:sz w:val="22"/>
          <w:szCs w:val="22"/>
        </w:rPr>
        <w:t xml:space="preserve">, et une numérotation séquentielle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G.35</w:t>
      </w:r>
      <w:r>
        <w:rPr>
          <w:sz w:val="22"/>
          <w:szCs w:val="22"/>
        </w:rPr>
        <w:t xml:space="preserve"> : son ordre est imposé par les dépendances entre incréments, pas par un module.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démineur</w:t>
      </w:r>
      <w:r>
        <w:rPr>
          <w:sz w:val="22"/>
          <w:szCs w:val="22"/>
        </w:rPr>
        <w:t xml:space="preserve"> est un exercice facultatif, dans son propre projet. Il n'a ni code de module ni numéro : il ne dépend d'aucun autre exercice, et rien ne dépend de lui.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Les trois documents de référence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Ils ne dépendent d'aucune séance et servent toute l'année. Les fascicules d'exercices y renvoient par un code, sans reproduire le contenu.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Codes</w:t>
            </w:r>
          </w:p>
        </w:tc>
        <w:tc>
          <w:tcPr>
            <w:tcW w:type="dxa" w:w="4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Clean Code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37 règles d'écriture, de nommage et de conception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Mémento technique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plateforme, les interfaces graphiques, la compilation, l'exécution, Maven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Guide IntelliJ</w:t>
            </w:r>
          </w:p>
        </w:tc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IDE.* et ERR.*</w:t>
            </w:r>
          </w:p>
        </w:tc>
        <w:tc>
          <w:tcPr>
            <w:tcW w:type="dxa" w:w="4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Installer, ouvrir, écrire, exécuter, et une annexe d'erreurs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Clean 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400"/>
        <w:gridCol w:w="25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5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méthodes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CC-COM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commentaires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Objets et structures de données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CC-ERR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traitement des erreurs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tests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</w:t>
            </w:r>
          </w:p>
        </w:tc>
        <w:tc>
          <w:tcPr>
            <w:tcW w:type="dxa" w:w="5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classes</w:t>
            </w:r>
          </w:p>
        </w:tc>
        <w:tc>
          <w:tcPr>
            <w:tcW w:type="dxa" w:w="2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sections du mémento technique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4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TEC-PLA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plateforme Java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JVM, JRE, JDK, éditions, versions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TEC-FX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interfaces graphiques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AWT, Swing,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JavaFX</w:t>
            </w:r>
            <w:r>
              <w:rPr>
                <w:sz w:val="20"/>
                <w:szCs w:val="20"/>
              </w:rPr>
              <w:t xml:space="preserve"> et leurs modules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TEC-CMP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 votre code au programme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.java, .class, bytecode, classpath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Pendant l'exécution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pile, le tas, les références, le ramasse-miettes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TEC-MVN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Maven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pom.xml</w:t>
            </w:r>
            <w:r>
              <w:rPr>
                <w:sz w:val="20"/>
                <w:szCs w:val="20"/>
              </w:rPr>
              <w:t xml:space="preserve">, modules, cycle de vie, dépôt local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TEC-ZIP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Recevoir les fichiers du cours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Extraire une archive au bon endroit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TEC-GIT</w:t>
            </w:r>
          </w:p>
        </w:tc>
        <w:tc>
          <w:tcPr>
            <w:tcW w:type="dxa" w:w="3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Git, en deux mots</w:t>
            </w:r>
          </w:p>
        </w:tc>
        <w:tc>
          <w:tcPr>
            <w:tcW w:type="dxa" w:w="4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Gestion de versions, fichiers ignorés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guide IntelliJ numérote simplement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IDE.29</w:t>
      </w:r>
      <w:r>
        <w:rPr>
          <w:sz w:val="22"/>
          <w:szCs w:val="22"/>
        </w:rPr>
        <w:t xml:space="preserve"> pour les sections,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ERR.8</w:t>
      </w:r>
      <w:r>
        <w:rPr>
          <w:sz w:val="22"/>
          <w:szCs w:val="22"/>
        </w:rPr>
        <w:t xml:space="preserve"> pour l'annexe des erreurs.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L'organisation du projet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projet que vous recevez est organisé ainsi :</w:t>
      </w:r>
    </w:p>
    <w:p>
      <w:pPr>
        <w:keepNext/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ExercicesJava/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pom.xml         configuration commune — ne pas modifier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documents/      les trois documents de reference, et ce fichier-ci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enonces/        les fascicules d'exercices, un par theme</w:t>
      </w:r>
    </w:p>
    <w:p>
      <w:pPr>
        <w:keepNext/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exercices/      VOTRE code. C'est ici que vous travaillez.</w:t>
      </w:r>
    </w:p>
    <w:p>
      <w:pPr>
        <w:keepNext w:val="false"/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solutions/      les corriges, publies apres chaque seance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Les dossiers commençant par un souligné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Si vous voyez des dossiers dont le nom commence par _ — _outils, _todos, _objectifs — c'est que vous avez sous les yeux la version de travail du professeur. Ils ne figurent pas dans les archives que vous recevez.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trouver quoi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Vous cherchez…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Regardez dans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l'énoncé d'un exercice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enonces/, le fascicule du module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règle d'écriture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documents/Memento_Clean_Code.docx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fonctionne le JDK ou Maven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documents/Memento_Technique.docx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comment faire quelque chose dans IntelliJ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documents/Guide_IntelliJ.docx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 signifie un message d'erreur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l'annexe ERR.* du guide IntelliJ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squelette à compléter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exercices/src/main/java/be/ephec/java/&lt;theme&gt;/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classe de test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exercices/src/test/java/be/ephec/java/&lt;theme&gt;/</w:t>
            </w:r>
          </w:p>
        </w:tc>
      </w:tr>
    </w:tbl>
    <w:sectPr>
      <w:headerReference w:type="default" r:id="rId11"/>
      <w:footerReference w:type="default" r:id="rId13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Codes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4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Relationship Id="rId13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 codes du cours</dc:title>
  <dc:creator>Frédéric Ferrant — EPHEC</dc:creator>
  <cp:lastModifiedBy>Un-named</cp:lastModifiedBy>
  <cp:revision>1</cp:revision>
  <dcterms:created xsi:type="dcterms:W3CDTF">2026-10-24T17:23:11.148Z</dcterms:created>
  <dcterms:modified xsi:type="dcterms:W3CDTF">2026-10-24T17:23:11.148Z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