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A2B14">
      <w:pPr>
        <w:pStyle w:val="17"/>
        <w:spacing w:after="180"/>
        <w:jc w:val="both"/>
      </w:pPr>
      <w:bookmarkStart w:id="0" w:name="_Hlk201064219"/>
      <w:bookmarkStart w:id="1" w:name="_Hlk201064214"/>
      <w:r>
        <w:t>港元锚定稳定币系统白皮书</w:t>
      </w:r>
    </w:p>
    <w:p w14:paraId="6476ECEB">
      <w:pPr>
        <w:pStyle w:val="17"/>
        <w:spacing w:before="0" w:after="0" w:line="240" w:lineRule="auto"/>
        <w:jc w:val="both"/>
        <w:rPr>
          <w:sz w:val="32"/>
          <w:szCs w:val="15"/>
        </w:rPr>
      </w:pPr>
      <w:r>
        <w:rPr>
          <w:sz w:val="32"/>
          <w:szCs w:val="15"/>
        </w:rPr>
        <w:t>（基于 Solana 和 Sui，内嵌匿名通信钱包）</w:t>
      </w:r>
    </w:p>
    <w:p w14:paraId="416BD8E6">
      <w:pPr>
        <w:pStyle w:val="3"/>
        <w:jc w:val="both"/>
      </w:pPr>
      <w:r>
        <w:t>引言</w:t>
      </w:r>
    </w:p>
    <w:bookmarkEnd w:id="0"/>
    <w:p w14:paraId="616CCE1D">
      <w:pPr>
        <w:ind w:firstLine="440" w:firstLineChars="200"/>
        <w:jc w:val="both"/>
      </w:pPr>
      <w:bookmarkStart w:id="2" w:name="_Hlk201064227"/>
      <w:r>
        <w:t>稳定币是一种与法定货币等资产价值锚定的数字货币，旨在提供价格稳定的价值媒介。2025年香港特别行政区立法会通过《稳定币条例草案》，使香港成为全球首个为法币稳定币建立全面监管框架的司法管辖区。根据该框架，凡在港发行锚定港元价值的稳定币须申请牌照并满足严格的储备托管和赎回要求。在此背景下，各大机构积极布局港元稳定币市场，例如渣打银行（香港）正携手电讯运营商和区块链企业申请牌照，计划发行港元支持的稳定币。</w:t>
      </w:r>
    </w:p>
    <w:p w14:paraId="262C1138">
      <w:pPr>
        <w:ind w:firstLine="440" w:firstLineChars="200"/>
        <w:jc w:val="both"/>
      </w:pPr>
      <w:r>
        <w:t>本白皮书提出了一种创新方案：将港元锚定的稳定币系统嵌入匿名通信钱包应用中，实现跨链发行于高性能公链 Solana 和新兴公链 Sui。（Solana应用于</w:t>
      </w:r>
      <w:r>
        <w:rPr>
          <w:b/>
          <w:bCs/>
        </w:rPr>
        <w:t>高吞吐量</w:t>
      </w:r>
      <w:r>
        <w:t>、</w:t>
      </w:r>
      <w:r>
        <w:rPr>
          <w:b/>
          <w:bCs/>
        </w:rPr>
        <w:t>低延迟</w:t>
      </w:r>
      <w:r>
        <w:t>和</w:t>
      </w:r>
      <w:r>
        <w:rPr>
          <w:b/>
          <w:bCs/>
        </w:rPr>
        <w:t>成熟的生态系统</w:t>
      </w:r>
      <w:r>
        <w:t xml:space="preserve">，适用于大规模的去中心化应用如DeFi、交易所、NFT市场等；Sui专注于 </w:t>
      </w:r>
      <w:r>
        <w:rPr>
          <w:b/>
          <w:bCs/>
        </w:rPr>
        <w:t>高并发和低延迟，</w:t>
      </w:r>
      <w:r>
        <w:t>通过并行执行交易速度和信用卡系统速度相当，拥有更低手续费的优势）通过银行托管真实港元等现实资产（RWA）提供100%储备支撑，并利用区块链技术保证透明与效率，我们希望兼顾</w:t>
      </w:r>
      <w:r>
        <w:rPr>
          <w:b/>
          <w:bCs/>
        </w:rPr>
        <w:t>用户匿名便利</w:t>
      </w:r>
      <w:r>
        <w:t>与</w:t>
      </w:r>
      <w:r>
        <w:rPr>
          <w:b/>
          <w:bCs/>
        </w:rPr>
        <w:t>监管合规</w:t>
      </w:r>
      <w:r>
        <w:t>。借鉴当前趋势，一些主流通信平台已开始集成稳定币支付功能（例如 LINE 应用内支持 USDT 稳定币的跨境支付和 DeFi 服务），这表明社交通信与数字货币融合具有巨大发展潜力。</w:t>
      </w:r>
    </w:p>
    <w:p w14:paraId="039D4D4A">
      <w:pPr>
        <w:ind w:firstLine="440" w:firstLineChars="200"/>
        <w:jc w:val="both"/>
      </w:pPr>
      <w:r>
        <w:rPr>
          <w:highlight w:val="yellow"/>
        </w:rPr>
        <w:t>下文将详细阐述本系统的技术实现路线和盈利商业模式。其中</w:t>
      </w:r>
      <w:r>
        <w:rPr>
          <w:b/>
          <w:bCs/>
          <w:color w:val="C21C13"/>
          <w:highlight w:val="yellow"/>
        </w:rPr>
        <w:t>技术部分</w:t>
      </w:r>
      <w:r>
        <w:rPr>
          <w:highlight w:val="yellow"/>
        </w:rPr>
        <w:t>涵盖</w:t>
      </w:r>
      <w:r>
        <w:rPr>
          <w:b/>
          <w:bCs/>
          <w:highlight w:val="yellow"/>
        </w:rPr>
        <w:t>匿名通信与钱包集成、</w:t>
      </w:r>
      <w:r>
        <w:rPr>
          <w:rFonts w:hint="eastAsia"/>
          <w:b/>
          <w:bCs/>
          <w:highlight w:val="yellow"/>
          <w:lang w:val="en-US" w:eastAsia="zh-CN"/>
        </w:rPr>
        <w:t>基于RWA的</w:t>
      </w:r>
      <w:r>
        <w:rPr>
          <w:b/>
          <w:bCs/>
          <w:highlight w:val="yellow"/>
        </w:rPr>
        <w:t>稳定币的发行与赎回、</w:t>
      </w:r>
      <w:r>
        <w:rPr>
          <w:rFonts w:hint="eastAsia"/>
          <w:b/>
          <w:bCs/>
          <w:highlight w:val="yellow"/>
          <w:lang w:val="en-US" w:eastAsia="zh-CN"/>
        </w:rPr>
        <w:t>稳定币跨链支持</w:t>
      </w:r>
      <w:r>
        <w:rPr>
          <w:rFonts w:hint="eastAsia"/>
          <w:b/>
          <w:bCs/>
          <w:highlight w:val="yellow"/>
          <w:lang w:eastAsia="zh-CN"/>
        </w:rPr>
        <w:t>、</w:t>
      </w:r>
      <w:r>
        <w:rPr>
          <w:b/>
          <w:bCs/>
          <w:highlight w:val="yellow"/>
        </w:rPr>
        <w:t>港元锚定模型与储备设计</w:t>
      </w:r>
      <w:r>
        <w:rPr>
          <w:highlight w:val="yellow"/>
        </w:rPr>
        <w:t>，以及</w:t>
      </w:r>
      <w:r>
        <w:rPr>
          <w:b/>
          <w:bCs/>
          <w:highlight w:val="yellow"/>
        </w:rPr>
        <w:t>围绕稳定币的DeFi功能模块和智能合约架构</w:t>
      </w:r>
      <w:r>
        <w:rPr>
          <w:highlight w:val="yellow"/>
        </w:rPr>
        <w:t>等。而</w:t>
      </w:r>
      <w:r>
        <w:rPr>
          <w:b/>
          <w:bCs/>
          <w:color w:val="C21C13"/>
          <w:highlight w:val="yellow"/>
        </w:rPr>
        <w:t>商业模式</w:t>
      </w:r>
      <w:r>
        <w:rPr>
          <w:highlight w:val="yellow"/>
        </w:rPr>
        <w:t>部分将</w:t>
      </w:r>
      <w:r>
        <w:rPr>
          <w:b/>
          <w:bCs/>
          <w:highlight w:val="yellow"/>
        </w:rPr>
        <w:t>分析铸造赎回手续费、</w:t>
      </w:r>
      <w:commentRangeStart w:id="0"/>
      <w:r>
        <w:rPr>
          <w:b/>
          <w:bCs/>
          <w:highlight w:val="yellow"/>
        </w:rPr>
        <w:t>抵押借贷利息</w:t>
      </w:r>
      <w:commentRangeEnd w:id="0"/>
      <w:r>
        <w:commentReference w:id="0"/>
      </w:r>
      <w:r>
        <w:rPr>
          <w:b/>
          <w:bCs/>
          <w:highlight w:val="yellow"/>
        </w:rPr>
        <w:t>、流动性管理套利、RWA收益分润、通信应用内手续费以及企业增值服务</w:t>
      </w:r>
      <w:r>
        <w:rPr>
          <w:highlight w:val="yellow"/>
        </w:rPr>
        <w:t>等多元盈利来源。目标建立自主知识产权的稳定币系统，目标受众包括潜在用户、投资者及监管方，期望本方案在提供快速低手续的资金结算的同时，保障用户隐私和资产安全，打造可持续的稳定币生态体系。</w:t>
      </w:r>
      <w:bookmarkEnd w:id="2"/>
    </w:p>
    <w:p w14:paraId="2526C47F">
      <w:pPr>
        <w:ind w:firstLine="440" w:firstLineChars="200"/>
        <w:jc w:val="both"/>
      </w:pPr>
    </w:p>
    <w:p w14:paraId="7966CF5E">
      <w:pPr>
        <w:pStyle w:val="3"/>
        <w:jc w:val="both"/>
      </w:pPr>
      <w:bookmarkStart w:id="3" w:name="_Hlk201064425"/>
      <w:r>
        <w:t xml:space="preserve">0 </w:t>
      </w:r>
      <w:r>
        <w:rPr>
          <w:rFonts w:hint="eastAsia"/>
        </w:rPr>
        <w:t>技术支持覆盖情况</w:t>
      </w:r>
    </w:p>
    <w:p w14:paraId="782E345E">
      <w:pPr>
        <w:ind w:firstLine="440" w:firstLineChars="200"/>
        <w:jc w:val="both"/>
      </w:pPr>
      <w:r>
        <w:rPr>
          <w:rFonts w:hint="eastAsia"/>
        </w:rPr>
        <w:t>本章节进行本系统业务功能与相关公司的情况分析，为实现上述模式与功能，需要满足以下功能模块：</w:t>
      </w:r>
    </w:p>
    <w:p w14:paraId="1F9BF7A8">
      <w:pPr>
        <w:jc w:val="center"/>
      </w:pPr>
      <w:r>
        <w:rPr>
          <w:rFonts w:hint="eastAsia"/>
        </w:rPr>
        <w:t>表1</w:t>
      </w:r>
      <w:r>
        <w:t xml:space="preserve"> </w:t>
      </w:r>
      <w:r>
        <w:rPr>
          <w:rFonts w:hint="eastAsia"/>
        </w:rPr>
        <w:t>技术支持覆盖情况表</w:t>
      </w:r>
    </w:p>
    <w:tbl>
      <w:tblPr>
        <w:tblStyle w:val="12"/>
        <w:tblW w:w="8505" w:type="dxa"/>
        <w:tblCellSpacing w:w="1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2552"/>
        <w:gridCol w:w="2551"/>
        <w:gridCol w:w="3402"/>
      </w:tblGrid>
      <w:tr w14:paraId="2D53EF18">
        <w:trPr>
          <w:tblHeader/>
          <w:tblCellSpacing w:w="15" w:type="dxa"/>
        </w:trPr>
        <w:tc>
          <w:tcPr>
            <w:tcW w:w="2507" w:type="dxa"/>
            <w:tcBorders>
              <w:top w:val="nil"/>
              <w:bottom w:val="single" w:color="auto" w:sz="8" w:space="0"/>
            </w:tcBorders>
            <w:vAlign w:val="center"/>
          </w:tcPr>
          <w:p w14:paraId="3D78A519">
            <w:pPr>
              <w:jc w:val="center"/>
              <w:textAlignment w:val="auto"/>
              <w:rPr>
                <w:rFonts w:cs="宋体"/>
                <w:b/>
                <w:bCs/>
                <w:color w:val="auto"/>
                <w:szCs w:val="22"/>
              </w:rPr>
            </w:pPr>
            <w:bookmarkStart w:id="4" w:name="_Hlk201064819"/>
            <w:r>
              <w:rPr>
                <w:rFonts w:cs="宋体"/>
                <w:b/>
                <w:bCs/>
                <w:color w:val="auto"/>
                <w:szCs w:val="22"/>
              </w:rPr>
              <w:t>模块</w:t>
            </w:r>
          </w:p>
        </w:tc>
        <w:tc>
          <w:tcPr>
            <w:tcW w:w="2521" w:type="dxa"/>
            <w:tcBorders>
              <w:top w:val="nil"/>
              <w:bottom w:val="single" w:color="auto" w:sz="8" w:space="0"/>
            </w:tcBorders>
            <w:vAlign w:val="center"/>
          </w:tcPr>
          <w:p w14:paraId="58628B58">
            <w:pPr>
              <w:jc w:val="center"/>
              <w:textAlignment w:val="auto"/>
              <w:rPr>
                <w:rFonts w:cs="宋体"/>
                <w:b/>
                <w:bCs/>
                <w:color w:val="auto"/>
                <w:szCs w:val="22"/>
              </w:rPr>
            </w:pPr>
            <w:r>
              <w:rPr>
                <w:rFonts w:hint="eastAsia" w:cs="宋体"/>
                <w:b/>
                <w:bCs/>
                <w:color w:val="auto"/>
                <w:szCs w:val="22"/>
              </w:rPr>
              <w:t>覆盖情况</w:t>
            </w:r>
          </w:p>
        </w:tc>
        <w:tc>
          <w:tcPr>
            <w:tcW w:w="3357" w:type="dxa"/>
            <w:tcBorders>
              <w:top w:val="nil"/>
              <w:bottom w:val="single" w:color="auto" w:sz="8" w:space="0"/>
            </w:tcBorders>
            <w:vAlign w:val="center"/>
          </w:tcPr>
          <w:p w14:paraId="578891F3">
            <w:pPr>
              <w:jc w:val="center"/>
              <w:textAlignment w:val="auto"/>
              <w:rPr>
                <w:rFonts w:cs="宋体"/>
                <w:b/>
                <w:bCs/>
                <w:color w:val="auto"/>
                <w:szCs w:val="22"/>
              </w:rPr>
            </w:pPr>
            <w:r>
              <w:rPr>
                <w:rFonts w:hint="eastAsia" w:cs="宋体"/>
                <w:b/>
                <w:bCs/>
                <w:color w:val="auto"/>
                <w:szCs w:val="22"/>
              </w:rPr>
              <w:t>内部工作</w:t>
            </w:r>
          </w:p>
        </w:tc>
      </w:tr>
      <w:tr w14:paraId="37A8833A">
        <w:trPr>
          <w:tblCellSpacing w:w="15" w:type="dxa"/>
        </w:trPr>
        <w:tc>
          <w:tcPr>
            <w:tcW w:w="2507" w:type="dxa"/>
            <w:vAlign w:val="center"/>
          </w:tcPr>
          <w:p w14:paraId="08084111">
            <w:pPr>
              <w:textAlignment w:val="auto"/>
              <w:rPr>
                <w:rFonts w:cs="宋体"/>
                <w:color w:val="auto"/>
                <w:szCs w:val="22"/>
              </w:rPr>
            </w:pPr>
            <w:r>
              <w:rPr>
                <w:rFonts w:hint="eastAsia" w:cs="宋体"/>
                <w:color w:val="auto"/>
                <w:szCs w:val="22"/>
              </w:rPr>
              <w:t>稳定币设计与发行</w:t>
            </w:r>
          </w:p>
        </w:tc>
        <w:tc>
          <w:tcPr>
            <w:tcW w:w="2521" w:type="dxa"/>
            <w:vAlign w:val="center"/>
          </w:tcPr>
          <w:p w14:paraId="3FB4D862">
            <w:pPr>
              <w:textAlignment w:val="auto"/>
              <w:rPr>
                <w:rFonts w:cs="宋体"/>
                <w:color w:val="auto"/>
                <w:szCs w:val="22"/>
              </w:rPr>
            </w:pPr>
            <w:r>
              <w:rPr>
                <w:rFonts w:cs="宋体"/>
                <w:color w:val="auto"/>
                <w:szCs w:val="22"/>
              </w:rPr>
              <w:t xml:space="preserve">Beosin </w:t>
            </w:r>
          </w:p>
        </w:tc>
        <w:tc>
          <w:tcPr>
            <w:tcW w:w="3357" w:type="dxa"/>
            <w:vAlign w:val="center"/>
          </w:tcPr>
          <w:p w14:paraId="17DDEBB7">
            <w:pPr>
              <w:textAlignment w:val="auto"/>
              <w:rPr>
                <w:rFonts w:cs="宋体"/>
                <w:color w:val="auto"/>
                <w:szCs w:val="22"/>
              </w:rPr>
            </w:pPr>
            <w:r>
              <w:rPr>
                <w:rFonts w:hint="eastAsia" w:cs="宋体"/>
                <w:color w:val="auto"/>
                <w:szCs w:val="22"/>
              </w:rPr>
              <w:t>智能合约业务设计与开发</w:t>
            </w:r>
          </w:p>
        </w:tc>
      </w:tr>
      <w:tr w14:paraId="26E87BD4">
        <w:trPr>
          <w:tblCellSpacing w:w="15" w:type="dxa"/>
        </w:trPr>
        <w:tc>
          <w:tcPr>
            <w:tcW w:w="2507" w:type="dxa"/>
            <w:vAlign w:val="center"/>
          </w:tcPr>
          <w:p w14:paraId="56BF274E">
            <w:pPr>
              <w:textAlignment w:val="auto"/>
              <w:rPr>
                <w:rFonts w:cs="宋体"/>
                <w:color w:val="auto"/>
                <w:szCs w:val="22"/>
              </w:rPr>
            </w:pPr>
            <w:r>
              <w:rPr>
                <w:rFonts w:cs="宋体"/>
                <w:color w:val="auto"/>
                <w:szCs w:val="22"/>
              </w:rPr>
              <w:t>钱包与托管服务</w:t>
            </w:r>
          </w:p>
        </w:tc>
        <w:tc>
          <w:tcPr>
            <w:tcW w:w="2521" w:type="dxa"/>
            <w:vAlign w:val="center"/>
          </w:tcPr>
          <w:p w14:paraId="7E53B000">
            <w:pPr>
              <w:textAlignment w:val="auto"/>
              <w:rPr>
                <w:rFonts w:cs="宋体"/>
                <w:color w:val="auto"/>
                <w:szCs w:val="22"/>
              </w:rPr>
            </w:pPr>
            <w:r>
              <w:rPr>
                <w:rFonts w:cs="宋体"/>
                <w:color w:val="auto"/>
                <w:szCs w:val="22"/>
              </w:rPr>
              <w:t>Cobo</w:t>
            </w:r>
          </w:p>
        </w:tc>
        <w:tc>
          <w:tcPr>
            <w:tcW w:w="3357" w:type="dxa"/>
            <w:vAlign w:val="center"/>
          </w:tcPr>
          <w:p w14:paraId="6B93F9F1">
            <w:pPr>
              <w:textAlignment w:val="auto"/>
              <w:rPr>
                <w:rFonts w:cs="宋体"/>
                <w:color w:val="auto"/>
                <w:szCs w:val="22"/>
              </w:rPr>
            </w:pPr>
            <w:r>
              <w:rPr>
                <w:rFonts w:hint="eastAsia" w:cs="宋体"/>
                <w:color w:val="auto"/>
                <w:szCs w:val="22"/>
              </w:rPr>
              <w:t>与通信系统的集成与开发</w:t>
            </w:r>
          </w:p>
        </w:tc>
      </w:tr>
      <w:tr w14:paraId="5EEAA68E">
        <w:trPr>
          <w:tblCellSpacing w:w="15" w:type="dxa"/>
        </w:trPr>
        <w:tc>
          <w:tcPr>
            <w:tcW w:w="2507" w:type="dxa"/>
            <w:vAlign w:val="center"/>
          </w:tcPr>
          <w:p w14:paraId="3FE32F6F">
            <w:pPr>
              <w:textAlignment w:val="auto"/>
              <w:rPr>
                <w:rFonts w:cs="宋体"/>
                <w:color w:val="auto"/>
                <w:szCs w:val="22"/>
              </w:rPr>
            </w:pPr>
            <w:r>
              <w:rPr>
                <w:rFonts w:cs="宋体"/>
                <w:color w:val="auto"/>
                <w:szCs w:val="22"/>
              </w:rPr>
              <w:t>法币托管与清结算</w:t>
            </w:r>
          </w:p>
        </w:tc>
        <w:tc>
          <w:tcPr>
            <w:tcW w:w="2521" w:type="dxa"/>
            <w:vAlign w:val="center"/>
          </w:tcPr>
          <w:p w14:paraId="099F90BE">
            <w:pPr>
              <w:textAlignment w:val="auto"/>
              <w:rPr>
                <w:rFonts w:cs="宋体"/>
                <w:color w:val="auto"/>
                <w:szCs w:val="22"/>
              </w:rPr>
            </w:pPr>
            <w:r>
              <w:rPr>
                <w:rFonts w:cs="宋体"/>
                <w:color w:val="auto"/>
                <w:szCs w:val="22"/>
              </w:rPr>
              <w:t>银行 / Circle / PayPal</w:t>
            </w:r>
          </w:p>
        </w:tc>
        <w:tc>
          <w:tcPr>
            <w:tcW w:w="3357" w:type="dxa"/>
            <w:vAlign w:val="center"/>
          </w:tcPr>
          <w:p w14:paraId="49806D37">
            <w:pPr>
              <w:textAlignment w:val="auto"/>
              <w:rPr>
                <w:rFonts w:cs="宋体"/>
                <w:color w:val="auto"/>
                <w:szCs w:val="22"/>
              </w:rPr>
            </w:pPr>
            <w:r>
              <w:rPr>
                <w:rFonts w:hint="eastAsia" w:cs="宋体"/>
                <w:color w:val="auto"/>
                <w:szCs w:val="22"/>
              </w:rPr>
              <w:t>开发法币兑换系统、合规集成</w:t>
            </w:r>
          </w:p>
        </w:tc>
      </w:tr>
      <w:tr w14:paraId="323FE698">
        <w:trPr>
          <w:tblCellSpacing w:w="15" w:type="dxa"/>
        </w:trPr>
        <w:tc>
          <w:tcPr>
            <w:tcW w:w="2507" w:type="dxa"/>
            <w:vAlign w:val="center"/>
          </w:tcPr>
          <w:p w14:paraId="6B046BAD">
            <w:pPr>
              <w:textAlignment w:val="auto"/>
              <w:rPr>
                <w:rFonts w:cs="宋体"/>
                <w:color w:val="auto"/>
                <w:szCs w:val="22"/>
              </w:rPr>
            </w:pPr>
            <w:r>
              <w:rPr>
                <w:rFonts w:hint="eastAsia" w:cs="宋体"/>
                <w:color w:val="auto"/>
                <w:szCs w:val="22"/>
              </w:rPr>
              <w:t>交易隐私保护与加密技术</w:t>
            </w:r>
          </w:p>
        </w:tc>
        <w:tc>
          <w:tcPr>
            <w:tcW w:w="2521" w:type="dxa"/>
            <w:vAlign w:val="center"/>
          </w:tcPr>
          <w:p w14:paraId="23A3C0BD">
            <w:pPr>
              <w:textAlignment w:val="auto"/>
              <w:rPr>
                <w:rFonts w:cs="宋体"/>
                <w:color w:val="auto"/>
                <w:szCs w:val="22"/>
              </w:rPr>
            </w:pPr>
            <w:r>
              <w:rPr>
                <w:rFonts w:cs="宋体"/>
                <w:color w:val="auto"/>
                <w:szCs w:val="22"/>
              </w:rPr>
              <w:t>Beosin</w:t>
            </w:r>
          </w:p>
        </w:tc>
        <w:tc>
          <w:tcPr>
            <w:tcW w:w="3357" w:type="dxa"/>
            <w:vAlign w:val="center"/>
          </w:tcPr>
          <w:p w14:paraId="5C25D3EC">
            <w:pPr>
              <w:textAlignment w:val="auto"/>
              <w:rPr>
                <w:rFonts w:cs="宋体"/>
                <w:color w:val="auto"/>
                <w:szCs w:val="22"/>
              </w:rPr>
            </w:pPr>
            <w:r>
              <w:t>隐私协议与交易加密</w:t>
            </w:r>
            <w:r>
              <w:rPr>
                <w:rFonts w:hint="eastAsia"/>
              </w:rPr>
              <w:t>设计</w:t>
            </w:r>
          </w:p>
        </w:tc>
      </w:tr>
      <w:tr w14:paraId="02202E45">
        <w:trPr>
          <w:tblCellSpacing w:w="15" w:type="dxa"/>
        </w:trPr>
        <w:tc>
          <w:tcPr>
            <w:tcW w:w="2507" w:type="dxa"/>
            <w:vAlign w:val="center"/>
          </w:tcPr>
          <w:p w14:paraId="587E113C">
            <w:pPr>
              <w:textAlignment w:val="auto"/>
              <w:rPr>
                <w:rFonts w:cs="宋体"/>
                <w:color w:val="auto"/>
                <w:szCs w:val="22"/>
              </w:rPr>
            </w:pPr>
            <w:r>
              <w:rPr>
                <w:rFonts w:hint="eastAsia" w:cs="宋体"/>
                <w:color w:val="auto"/>
                <w:szCs w:val="22"/>
              </w:rPr>
              <w:t>智能合约审计与安全防护</w:t>
            </w:r>
          </w:p>
        </w:tc>
        <w:tc>
          <w:tcPr>
            <w:tcW w:w="2521" w:type="dxa"/>
            <w:vAlign w:val="center"/>
          </w:tcPr>
          <w:p w14:paraId="77681797">
            <w:pPr>
              <w:textAlignment w:val="auto"/>
              <w:rPr>
                <w:rFonts w:cs="宋体"/>
                <w:color w:val="auto"/>
                <w:szCs w:val="22"/>
              </w:rPr>
            </w:pPr>
            <w:r>
              <w:rPr>
                <w:rFonts w:cs="宋体"/>
                <w:color w:val="auto"/>
                <w:szCs w:val="22"/>
              </w:rPr>
              <w:t>Beosin</w:t>
            </w:r>
          </w:p>
        </w:tc>
        <w:tc>
          <w:tcPr>
            <w:tcW w:w="3357" w:type="dxa"/>
            <w:vAlign w:val="center"/>
          </w:tcPr>
          <w:p w14:paraId="6F5DF22A">
            <w:pPr>
              <w:textAlignment w:val="auto"/>
              <w:rPr>
                <w:rFonts w:cs="宋体"/>
                <w:color w:val="auto"/>
                <w:szCs w:val="22"/>
              </w:rPr>
            </w:pPr>
            <w:r>
              <w:rPr>
                <w:rFonts w:hint="eastAsia" w:cs="宋体"/>
                <w:color w:val="auto"/>
                <w:szCs w:val="22"/>
              </w:rPr>
              <w:t>定期审计、漏洞修复和防护措施</w:t>
            </w:r>
          </w:p>
        </w:tc>
      </w:tr>
      <w:tr w14:paraId="5650731C">
        <w:trPr>
          <w:tblCellSpacing w:w="15" w:type="dxa"/>
        </w:trPr>
        <w:tc>
          <w:tcPr>
            <w:tcW w:w="2507" w:type="dxa"/>
            <w:vAlign w:val="center"/>
          </w:tcPr>
          <w:p w14:paraId="279BCE08">
            <w:pPr>
              <w:textAlignment w:val="auto"/>
              <w:rPr>
                <w:rFonts w:cs="宋体"/>
                <w:color w:val="auto"/>
                <w:szCs w:val="22"/>
              </w:rPr>
            </w:pPr>
            <w:r>
              <w:rPr>
                <w:rFonts w:cs="宋体"/>
                <w:color w:val="auto"/>
                <w:szCs w:val="22"/>
              </w:rPr>
              <w:t>跨链桥接</w:t>
            </w:r>
          </w:p>
        </w:tc>
        <w:tc>
          <w:tcPr>
            <w:tcW w:w="2521" w:type="dxa"/>
            <w:vAlign w:val="center"/>
          </w:tcPr>
          <w:p w14:paraId="1F3BCEE5">
            <w:pPr>
              <w:textAlignment w:val="auto"/>
              <w:rPr>
                <w:rFonts w:cs="宋体"/>
                <w:color w:val="auto"/>
                <w:szCs w:val="22"/>
              </w:rPr>
            </w:pPr>
            <w:r>
              <w:rPr>
                <w:rFonts w:cs="宋体"/>
                <w:color w:val="auto"/>
                <w:szCs w:val="22"/>
              </w:rPr>
              <w:t>Wormhole</w:t>
            </w:r>
          </w:p>
        </w:tc>
        <w:tc>
          <w:tcPr>
            <w:tcW w:w="3357" w:type="dxa"/>
            <w:vAlign w:val="center"/>
          </w:tcPr>
          <w:p w14:paraId="547CE455">
            <w:pPr>
              <w:textAlignment w:val="auto"/>
              <w:rPr>
                <w:rFonts w:cs="宋体"/>
                <w:color w:val="auto"/>
                <w:szCs w:val="22"/>
              </w:rPr>
            </w:pPr>
            <w:r>
              <w:rPr>
                <w:rFonts w:hint="eastAsia" w:cs="宋体"/>
                <w:color w:val="auto"/>
                <w:szCs w:val="22"/>
              </w:rPr>
              <w:t>跨链智能合约开发与集成</w:t>
            </w:r>
          </w:p>
        </w:tc>
      </w:tr>
      <w:tr w14:paraId="4C49B03E">
        <w:trPr>
          <w:tblCellSpacing w:w="15" w:type="dxa"/>
        </w:trPr>
        <w:tc>
          <w:tcPr>
            <w:tcW w:w="2507" w:type="dxa"/>
            <w:vAlign w:val="center"/>
          </w:tcPr>
          <w:p w14:paraId="675CD807">
            <w:pPr>
              <w:textAlignment w:val="auto"/>
              <w:rPr>
                <w:rFonts w:cs="宋体"/>
                <w:color w:val="auto"/>
                <w:szCs w:val="22"/>
              </w:rPr>
            </w:pPr>
            <w:r>
              <w:rPr>
                <w:rFonts w:hint="eastAsia" w:cs="宋体"/>
                <w:color w:val="auto"/>
                <w:szCs w:val="22"/>
              </w:rPr>
              <w:t>系统集成与用户体验</w:t>
            </w:r>
            <w:r>
              <w:rPr>
                <w:rFonts w:cs="宋体"/>
                <w:color w:val="auto"/>
                <w:szCs w:val="22"/>
              </w:rPr>
              <w:tab/>
            </w:r>
          </w:p>
        </w:tc>
        <w:tc>
          <w:tcPr>
            <w:tcW w:w="2521" w:type="dxa"/>
            <w:vAlign w:val="center"/>
          </w:tcPr>
          <w:p w14:paraId="6FD88318">
            <w:pPr>
              <w:textAlignment w:val="auto"/>
              <w:rPr>
                <w:rFonts w:cs="宋体"/>
                <w:color w:val="auto"/>
                <w:szCs w:val="22"/>
              </w:rPr>
            </w:pPr>
            <w:r>
              <w:rPr>
                <w:rFonts w:hint="eastAsia" w:cs="宋体"/>
                <w:color w:val="auto"/>
                <w:szCs w:val="22"/>
              </w:rPr>
              <w:t>/</w:t>
            </w:r>
          </w:p>
        </w:tc>
        <w:tc>
          <w:tcPr>
            <w:tcW w:w="3357" w:type="dxa"/>
            <w:vAlign w:val="center"/>
          </w:tcPr>
          <w:p w14:paraId="602A27E7">
            <w:pPr>
              <w:textAlignment w:val="auto"/>
              <w:rPr>
                <w:rFonts w:cs="宋体"/>
                <w:color w:val="auto"/>
                <w:szCs w:val="22"/>
              </w:rPr>
            </w:pPr>
            <w:r>
              <w:rPr>
                <w:rFonts w:hint="eastAsia" w:cs="宋体"/>
                <w:color w:val="auto"/>
                <w:szCs w:val="22"/>
              </w:rPr>
              <w:t>系统界面设计、用户体验优化</w:t>
            </w:r>
          </w:p>
        </w:tc>
      </w:tr>
      <w:tr w14:paraId="1B45AB81">
        <w:trPr>
          <w:tblCellSpacing w:w="15" w:type="dxa"/>
        </w:trPr>
        <w:tc>
          <w:tcPr>
            <w:tcW w:w="2507" w:type="dxa"/>
            <w:vAlign w:val="center"/>
          </w:tcPr>
          <w:p w14:paraId="41FB26DF">
            <w:pPr>
              <w:textAlignment w:val="auto"/>
              <w:rPr>
                <w:rFonts w:cs="宋体"/>
                <w:color w:val="auto"/>
                <w:szCs w:val="22"/>
              </w:rPr>
            </w:pPr>
            <w:r>
              <w:rPr>
                <w:rFonts w:hint="eastAsia" w:cs="宋体"/>
                <w:color w:val="auto"/>
                <w:szCs w:val="22"/>
              </w:rPr>
              <w:t>风控监控与告警</w:t>
            </w:r>
          </w:p>
        </w:tc>
        <w:tc>
          <w:tcPr>
            <w:tcW w:w="2521" w:type="dxa"/>
            <w:vAlign w:val="center"/>
          </w:tcPr>
          <w:p w14:paraId="5B0F0583">
            <w:pPr>
              <w:textAlignment w:val="auto"/>
              <w:rPr>
                <w:rFonts w:cs="宋体"/>
                <w:color w:val="auto"/>
                <w:szCs w:val="22"/>
              </w:rPr>
            </w:pPr>
            <w:r>
              <w:rPr>
                <w:rFonts w:cs="宋体"/>
                <w:color w:val="auto"/>
                <w:szCs w:val="22"/>
              </w:rPr>
              <w:t>Cobo / Beosin</w:t>
            </w:r>
          </w:p>
        </w:tc>
        <w:tc>
          <w:tcPr>
            <w:tcW w:w="3357" w:type="dxa"/>
            <w:vAlign w:val="center"/>
          </w:tcPr>
          <w:p w14:paraId="6A535DE3">
            <w:pPr>
              <w:textAlignment w:val="auto"/>
              <w:rPr>
                <w:rFonts w:cs="宋体"/>
                <w:color w:val="auto"/>
                <w:szCs w:val="22"/>
              </w:rPr>
            </w:pPr>
            <w:r>
              <w:rPr>
                <w:rFonts w:hint="eastAsia" w:cs="宋体"/>
                <w:color w:val="auto"/>
                <w:szCs w:val="22"/>
              </w:rPr>
              <w:t>交易监控、行为分析、异常检测</w:t>
            </w:r>
          </w:p>
        </w:tc>
      </w:tr>
      <w:tr w14:paraId="3E71640B">
        <w:trPr>
          <w:tblCellSpacing w:w="15" w:type="dxa"/>
        </w:trPr>
        <w:tc>
          <w:tcPr>
            <w:tcW w:w="2507" w:type="dxa"/>
            <w:vAlign w:val="center"/>
          </w:tcPr>
          <w:p w14:paraId="5AD125C4">
            <w:pPr>
              <w:textAlignment w:val="auto"/>
              <w:rPr>
                <w:rFonts w:cs="宋体"/>
                <w:color w:val="auto"/>
                <w:szCs w:val="22"/>
              </w:rPr>
            </w:pPr>
            <w:r>
              <w:rPr>
                <w:rFonts w:hint="eastAsia" w:cs="宋体"/>
                <w:color w:val="auto"/>
                <w:szCs w:val="22"/>
              </w:rPr>
              <w:t>备份与灾难恢复</w:t>
            </w:r>
            <w:r>
              <w:rPr>
                <w:rFonts w:cs="宋体"/>
                <w:color w:val="auto"/>
                <w:szCs w:val="22"/>
              </w:rPr>
              <w:tab/>
            </w:r>
          </w:p>
        </w:tc>
        <w:tc>
          <w:tcPr>
            <w:tcW w:w="2521" w:type="dxa"/>
            <w:vAlign w:val="center"/>
          </w:tcPr>
          <w:p w14:paraId="24A2A8FF">
            <w:pPr>
              <w:textAlignment w:val="auto"/>
              <w:rPr>
                <w:rFonts w:cs="宋体"/>
                <w:color w:val="auto"/>
                <w:szCs w:val="22"/>
              </w:rPr>
            </w:pPr>
            <w:r>
              <w:rPr>
                <w:rFonts w:hint="eastAsia" w:cs="宋体"/>
                <w:color w:val="auto"/>
                <w:szCs w:val="22"/>
              </w:rPr>
              <w:t>/</w:t>
            </w:r>
          </w:p>
        </w:tc>
        <w:tc>
          <w:tcPr>
            <w:tcW w:w="3357" w:type="dxa"/>
            <w:vAlign w:val="center"/>
          </w:tcPr>
          <w:p w14:paraId="0F39FB7B">
            <w:pPr>
              <w:textAlignment w:val="auto"/>
              <w:rPr>
                <w:rFonts w:cs="宋体"/>
                <w:color w:val="auto"/>
                <w:szCs w:val="22"/>
              </w:rPr>
            </w:pPr>
            <w:r>
              <w:rPr>
                <w:rFonts w:hint="eastAsia" w:cs="宋体"/>
                <w:color w:val="auto"/>
                <w:szCs w:val="22"/>
              </w:rPr>
              <w:t>设计自动化备份与灾难恢复方案</w:t>
            </w:r>
          </w:p>
        </w:tc>
      </w:tr>
      <w:bookmarkEnd w:id="4"/>
    </w:tbl>
    <w:p w14:paraId="1F17C2FB">
      <w:pPr>
        <w:ind w:firstLine="440" w:firstLineChars="200"/>
        <w:jc w:val="both"/>
      </w:pPr>
    </w:p>
    <w:p w14:paraId="6D9FC783">
      <w:pPr>
        <w:ind w:firstLine="440" w:firstLineChars="200"/>
        <w:jc w:val="both"/>
      </w:pPr>
      <w:r>
        <w:rPr>
          <w:rFonts w:hint="eastAsia"/>
          <w:b/>
          <w:bCs/>
        </w:rPr>
        <w:t>（1）稳定币设计与发行：</w:t>
      </w:r>
      <w:r>
        <w:rPr>
          <w:rFonts w:hint="eastAsia"/>
        </w:rPr>
        <w:t>稳定币的经济模型（如与法币或其他资产的挂钩方式）、发行量的控制机制、稳定币的智能合约负责处理稳定币的发行、转账、销毁等操作，确保稳定币的规则能够在区块链上自动执行。</w:t>
      </w:r>
    </w:p>
    <w:p w14:paraId="25B5CC80">
      <w:pPr>
        <w:ind w:firstLine="440" w:firstLineChars="200"/>
        <w:jc w:val="both"/>
      </w:pPr>
      <w:r>
        <w:rPr>
          <w:b/>
          <w:bCs/>
        </w:rPr>
        <w:t>Beosin</w:t>
      </w:r>
      <w:r>
        <w:t>提供智能合约设计与开发服务，专注于智能合约的编写、审计、测试等工作，确保稳定币的发行逻辑和安全性。</w:t>
      </w:r>
      <w:r>
        <w:rPr>
          <w:rFonts w:hint="eastAsia"/>
        </w:rPr>
        <w:t>负责稳定币的经济模型设计、市场需求分析以及业务规则设计。</w:t>
      </w:r>
      <w:r>
        <w:rPr>
          <w:rFonts w:hint="eastAsia"/>
          <w:b/>
          <w:bCs/>
        </w:rPr>
        <w:t>内部团队</w:t>
      </w:r>
      <w:r>
        <w:rPr>
          <w:rFonts w:hint="eastAsia"/>
        </w:rPr>
        <w:t>将专注于与市场和金融系统的结合，构建</w:t>
      </w:r>
      <w:r>
        <w:t>100%法定货币储备支持模型</w:t>
      </w:r>
      <w:r>
        <w:rPr>
          <w:rFonts w:hint="eastAsia"/>
        </w:rPr>
        <w:t>、设计无缝铸造与赎回机制、超额准备金和保险机制，优化发行规则等。开发</w:t>
      </w:r>
      <w:r>
        <w:t>加密资产抵押借贷</w:t>
      </w:r>
      <w:r>
        <w:rPr>
          <w:rFonts w:hint="eastAsia"/>
        </w:rPr>
        <w:t>，</w:t>
      </w:r>
      <w:r>
        <w:t>稳定币收益池</w:t>
      </w:r>
      <w:r>
        <w:rPr>
          <w:rFonts w:hint="eastAsia"/>
        </w:rPr>
        <w:t>，定期存款类，</w:t>
      </w:r>
      <w:r>
        <w:t>NFT赠礼和治理投票</w:t>
      </w:r>
      <w:r>
        <w:rPr>
          <w:rFonts w:hint="eastAsia"/>
        </w:rPr>
        <w:t>等额外收益功能。</w:t>
      </w:r>
    </w:p>
    <w:p w14:paraId="4A731128">
      <w:pPr>
        <w:ind w:firstLine="440" w:firstLineChars="200"/>
        <w:jc w:val="both"/>
      </w:pPr>
      <w:r>
        <w:rPr>
          <w:rFonts w:hint="eastAsia"/>
          <w:b/>
          <w:bCs/>
        </w:rPr>
        <w:t>（2）钱包与托管服务：</w:t>
      </w:r>
      <w:r>
        <w:rPr>
          <w:rFonts w:hint="eastAsia"/>
        </w:rPr>
        <w:t>钱包管理：提供稳定币的存储、转账和查看余额等功能，通常与用户账户进行绑定。资产托管：提供加密货币和稳定币的安全存储解决方案，通常包括冷钱包、热钱包和多签名钱包等不同形式。</w:t>
      </w:r>
    </w:p>
    <w:p w14:paraId="3B661063">
      <w:pPr>
        <w:ind w:firstLine="440" w:firstLineChars="200"/>
        <w:jc w:val="both"/>
      </w:pPr>
      <w:r>
        <w:rPr>
          <w:b/>
          <w:bCs/>
        </w:rPr>
        <w:t>Cobo</w:t>
      </w:r>
      <w:r>
        <w:t>提供专业的资产托管服务，包括多种形式的钱包解决方案，冷钱包、热钱包、硬件钱包等。Cobo能够确保稳定币和其他加密资产的安全存储和管理。</w:t>
      </w:r>
      <w:r>
        <w:rPr>
          <w:rFonts w:hint="eastAsia"/>
          <w:b/>
          <w:bCs/>
        </w:rPr>
        <w:t>内部团队</w:t>
      </w:r>
      <w:r>
        <w:rPr>
          <w:rFonts w:hint="eastAsia"/>
        </w:rPr>
        <w:t>负责将钱包与匿名通信系统集成，确保用户能够通过稳定币钱包进行交易和操作。</w:t>
      </w:r>
      <w:r>
        <w:t>开发钱包与平台的交互功能，如充值、提现、余额查询等。</w:t>
      </w:r>
    </w:p>
    <w:p w14:paraId="558F6C2C">
      <w:pPr>
        <w:ind w:firstLine="440" w:firstLineChars="200"/>
        <w:jc w:val="both"/>
        <w:rPr>
          <w:b/>
          <w:bCs/>
        </w:rPr>
      </w:pPr>
      <w:r>
        <w:rPr>
          <w:rFonts w:hint="eastAsia"/>
          <w:b/>
          <w:bCs/>
        </w:rPr>
        <w:t>（3）法币托管与清结算：</w:t>
      </w:r>
      <w:r>
        <w:rPr>
          <w:rFonts w:hint="eastAsia"/>
        </w:rPr>
        <w:t>为稳定币提供与法币的兑换渠道，允许用户将稳定币兑换为法币，或将法币兑换为稳定币。通过系统支持法币的清算与结算操作，确保交易的资金能够顺利划转并符合监管要求。</w:t>
      </w:r>
    </w:p>
    <w:p w14:paraId="7A35B563">
      <w:pPr>
        <w:ind w:firstLine="440" w:firstLineChars="200"/>
        <w:jc w:val="both"/>
      </w:pPr>
      <w:r>
        <w:rPr>
          <w:b/>
          <w:bCs/>
        </w:rPr>
        <w:t>Circle</w:t>
      </w:r>
      <w:r>
        <w:t>提供了稳定币USDC与法币的兑换服务，支持法币与稳定币之间的流动。</w:t>
      </w:r>
      <w:r>
        <w:rPr>
          <w:b/>
          <w:bCs/>
        </w:rPr>
        <w:t>PayPal</w:t>
      </w:r>
      <w:r>
        <w:t>和传统</w:t>
      </w:r>
      <w:r>
        <w:rPr>
          <w:b/>
          <w:bCs/>
        </w:rPr>
        <w:t>银行</w:t>
      </w:r>
      <w:r>
        <w:t>支持法币的存储和清算，帮助平台处理法币的结算问题。</w:t>
      </w:r>
      <w:r>
        <w:rPr>
          <w:rFonts w:hint="eastAsia"/>
          <w:b/>
          <w:bCs/>
        </w:rPr>
        <w:t>内部团队</w:t>
      </w:r>
      <w:r>
        <w:rPr>
          <w:rFonts w:hint="eastAsia"/>
        </w:rPr>
        <w:t>负责开发法币兑换系统，并确保与银行及支付平台的接口对接，确保法币与稳定币之间的兑换顺畅。还需要集成合规性检查系统（如</w:t>
      </w:r>
      <w:r>
        <w:t>KYC/AML），确保法币交易符合监管要求。</w:t>
      </w:r>
    </w:p>
    <w:p w14:paraId="797C9C42">
      <w:pPr>
        <w:ind w:firstLine="440" w:firstLineChars="200"/>
        <w:jc w:val="both"/>
      </w:pPr>
      <w:r>
        <w:rPr>
          <w:rFonts w:hint="eastAsia"/>
          <w:b/>
          <w:bCs/>
        </w:rPr>
        <w:t>（</w:t>
      </w:r>
      <w:r>
        <w:rPr>
          <w:b/>
          <w:bCs/>
        </w:rPr>
        <w:t>4</w:t>
      </w:r>
      <w:r>
        <w:rPr>
          <w:rFonts w:hint="eastAsia"/>
          <w:b/>
          <w:bCs/>
        </w:rPr>
        <w:t>）交易隐私保护与加密技术：</w:t>
      </w:r>
      <w:r>
        <w:rPr>
          <w:rFonts w:hint="eastAsia"/>
        </w:rPr>
        <w:t>确保交易数据在传输过程中得到加密保护，不泄露用户的敏感信息。</w:t>
      </w:r>
    </w:p>
    <w:p w14:paraId="3C839593">
      <w:pPr>
        <w:ind w:firstLine="440" w:firstLineChars="200"/>
        <w:jc w:val="both"/>
      </w:pPr>
      <w:r>
        <w:rPr>
          <w:b/>
          <w:bCs/>
        </w:rPr>
        <w:t>Beosin</w:t>
      </w:r>
      <w:r>
        <w:t>提供加密技术支持，帮助开发隐私保护协议，确保用户交易的数据和资金的隐私性。例如，采用加密协议来加密交易内容或使用零知识证明技术保证交易的隐私性。</w:t>
      </w:r>
      <w:r>
        <w:rPr>
          <w:rFonts w:hint="eastAsia"/>
          <w:b/>
          <w:bCs/>
        </w:rPr>
        <w:t>内部团队</w:t>
      </w:r>
      <w:r>
        <w:rPr>
          <w:rFonts w:hint="eastAsia"/>
        </w:rPr>
        <w:t>负责加密协议的实现与集成，确保合约层面支持隐私交易。</w:t>
      </w:r>
    </w:p>
    <w:p w14:paraId="1F0DFD26">
      <w:pPr>
        <w:ind w:firstLine="440" w:firstLineChars="200"/>
        <w:jc w:val="both"/>
      </w:pPr>
      <w:r>
        <w:rPr>
          <w:rFonts w:hint="eastAsia"/>
          <w:b/>
          <w:bCs/>
        </w:rPr>
        <w:t>（5）智能合约审计与安全防护：</w:t>
      </w:r>
      <w:r>
        <w:rPr>
          <w:rFonts w:hint="eastAsia"/>
        </w:rPr>
        <w:t>智能合约审计：定期对已发布的智能合约进行安全审计，查找可能存在的漏洞或安全隐患。漏洞修复与防护：确保智能合约的安全性，在发现潜在漏洞后及时修复并采取防护措施，避免资金损失和平台被攻击。</w:t>
      </w:r>
    </w:p>
    <w:p w14:paraId="76B55EFD">
      <w:pPr>
        <w:ind w:firstLine="440" w:firstLineChars="200"/>
        <w:jc w:val="both"/>
      </w:pPr>
      <w:r>
        <w:rPr>
          <w:b/>
          <w:bCs/>
        </w:rPr>
        <w:t>Beosin</w:t>
      </w:r>
      <w:r>
        <w:t>提供全面的智能合约审计服务，能够对稳定币项目的智能合约进行安全性检查，发现漏洞并提供修复建议。</w:t>
      </w:r>
      <w:r>
        <w:rPr>
          <w:rFonts w:hint="eastAsia"/>
          <w:b/>
          <w:bCs/>
        </w:rPr>
        <w:t>内部团队</w:t>
      </w:r>
      <w:r>
        <w:rPr>
          <w:rFonts w:hint="eastAsia"/>
        </w:rPr>
        <w:t>负责定期审计和修复已部署的智能合约。内部团队需要与</w:t>
      </w:r>
      <w:r>
        <w:t>Beosin的审计报告对接，确保漏洞修复和防护措施得到落实。</w:t>
      </w:r>
    </w:p>
    <w:p w14:paraId="2709F4FE">
      <w:pPr>
        <w:ind w:firstLine="440" w:firstLineChars="200"/>
        <w:jc w:val="both"/>
      </w:pPr>
      <w:r>
        <w:rPr>
          <w:rFonts w:hint="eastAsia"/>
          <w:b/>
          <w:bCs/>
        </w:rPr>
        <w:t>（6）跨链桥接：</w:t>
      </w:r>
      <w:r>
        <w:rPr>
          <w:rFonts w:hint="eastAsia"/>
        </w:rPr>
        <w:t>跨链资产流动：确保稳定币能够在多个区块链之间流通，使得用户可以跨不同的区块链进行交易和资产交换。智能合约开发：开发和部署跨链智能合约，保证跨链过程的透明性和安全性。</w:t>
      </w:r>
    </w:p>
    <w:p w14:paraId="44086919">
      <w:pPr>
        <w:ind w:firstLine="440" w:firstLineChars="200"/>
        <w:jc w:val="both"/>
      </w:pPr>
      <w:r>
        <w:rPr>
          <w:b/>
          <w:bCs/>
        </w:rPr>
        <w:t>Wormhole</w:t>
      </w:r>
      <w:r>
        <w:t>提供了一个成熟的跨链桥接解决方案，支持不同区块链之间的资产流通，确保不同链上的稳定币能够进行互操作。</w:t>
      </w:r>
      <w:r>
        <w:rPr>
          <w:rFonts w:hint="eastAsia"/>
          <w:b/>
          <w:bCs/>
        </w:rPr>
        <w:t>内部团队</w:t>
      </w:r>
      <w:r>
        <w:rPr>
          <w:rFonts w:hint="eastAsia"/>
        </w:rPr>
        <w:t>负责跨链智能合约的开发与集成，确保跨链流动性在稳定币项目中得以顺利实现。开发跨链的技术和集成接口，保证稳定币的流动性和市场的兼容性。</w:t>
      </w:r>
    </w:p>
    <w:p w14:paraId="11B4C019">
      <w:pPr>
        <w:ind w:firstLine="440" w:firstLineChars="200"/>
        <w:jc w:val="both"/>
      </w:pPr>
      <w:r>
        <w:rPr>
          <w:rFonts w:hint="eastAsia"/>
          <w:b/>
          <w:bCs/>
        </w:rPr>
        <w:t>（7）系统集成与用户体验：</w:t>
      </w:r>
      <w:r>
        <w:rPr>
          <w:rFonts w:hint="eastAsia"/>
        </w:rPr>
        <w:t>确保钱包、交易、合约等模块的无缝集成。通过</w:t>
      </w:r>
      <w:r>
        <w:t>UI/UX设计，提升平台的易用性和用户满意度，确保系统能够顺利地被用户操作和使用。</w:t>
      </w:r>
    </w:p>
    <w:p w14:paraId="5E3A34A7">
      <w:pPr>
        <w:ind w:firstLine="440" w:firstLineChars="200"/>
        <w:jc w:val="both"/>
      </w:pPr>
      <w:r>
        <w:rPr>
          <w:rFonts w:hint="eastAsia"/>
          <w:b/>
          <w:bCs/>
        </w:rPr>
        <w:t>内部团队</w:t>
      </w:r>
      <w:r>
        <w:rPr>
          <w:rFonts w:hint="eastAsia"/>
        </w:rPr>
        <w:t>负责设计系统界面，优化用户体验，确保平台的交互设计简洁、直观，并提供无缝的操作体验。内外部系统的集成和性能优化是这个模块的核心工作。</w:t>
      </w:r>
    </w:p>
    <w:p w14:paraId="7A02E5FF">
      <w:pPr>
        <w:ind w:firstLine="440" w:firstLineChars="200"/>
        <w:jc w:val="both"/>
      </w:pPr>
      <w:r>
        <w:rPr>
          <w:rFonts w:hint="eastAsia"/>
          <w:b/>
          <w:bCs/>
        </w:rPr>
        <w:t>（</w:t>
      </w:r>
      <w:r>
        <w:rPr>
          <w:b/>
          <w:bCs/>
        </w:rPr>
        <w:t>8</w:t>
      </w:r>
      <w:r>
        <w:rPr>
          <w:rFonts w:hint="eastAsia"/>
          <w:b/>
          <w:bCs/>
        </w:rPr>
        <w:t>）</w:t>
      </w:r>
      <w:r>
        <w:rPr>
          <w:b/>
          <w:bCs/>
        </w:rPr>
        <w:t>风控监控与告警</w:t>
      </w:r>
      <w:r>
        <w:rPr>
          <w:rFonts w:hint="eastAsia"/>
          <w:b/>
          <w:bCs/>
        </w:rPr>
        <w:t>：</w:t>
      </w:r>
      <w:r>
        <w:rPr>
          <w:rFonts w:hint="eastAsia"/>
        </w:rPr>
        <w:t>监控平台上的所有交易和用户行为，确保符合平台的安全与合规性要求。通过机器学习和行为分析，及时发现异常行为和潜在的风险，减少欺诈和洗钱等行为的发生。</w:t>
      </w:r>
    </w:p>
    <w:p w14:paraId="5C3E6717">
      <w:pPr>
        <w:ind w:firstLine="440" w:firstLineChars="200"/>
        <w:jc w:val="both"/>
      </w:pPr>
      <w:r>
        <w:rPr>
          <w:b/>
          <w:bCs/>
        </w:rPr>
        <w:t>Cobo</w:t>
      </w:r>
      <w:r>
        <w:t>提供安全托管和钱包管理，支持实时监控用户资产流动。</w:t>
      </w:r>
      <w:r>
        <w:rPr>
          <w:b/>
          <w:bCs/>
        </w:rPr>
        <w:t>Beosin</w:t>
      </w:r>
      <w:r>
        <w:t>提供的风控监控系统与Chainalysis的服务结合，确保交易数据的合规性和安全性</w:t>
      </w:r>
      <w:r>
        <w:rPr>
          <w:rFonts w:hint="eastAsia"/>
        </w:rPr>
        <w:t>。</w:t>
      </w:r>
      <w:r>
        <w:rPr>
          <w:rFonts w:hint="eastAsia"/>
          <w:b/>
          <w:bCs/>
        </w:rPr>
        <w:t>内部团队</w:t>
      </w:r>
      <w:r>
        <w:rPr>
          <w:rFonts w:hint="eastAsia"/>
        </w:rPr>
        <w:t>负责设计并实现交易监控系统，确保平台能够及时发现并响应潜在的风险。</w:t>
      </w:r>
    </w:p>
    <w:p w14:paraId="6105B625">
      <w:pPr>
        <w:ind w:firstLine="440" w:firstLineChars="200"/>
        <w:jc w:val="both"/>
      </w:pPr>
      <w:r>
        <w:rPr>
          <w:rFonts w:hint="eastAsia"/>
          <w:b/>
          <w:bCs/>
        </w:rPr>
        <w:t>（9）备份与灾难恢复：</w:t>
      </w:r>
      <w:r>
        <w:rPr>
          <w:rFonts w:hint="eastAsia"/>
        </w:rPr>
        <w:t>数据备份：定期备份关键数据，确保数据不丢失。灾难恢复：在发生故障时快速恢复数据和服务，确保平台能够在灾难发生时迅速恢复正常运行。</w:t>
      </w:r>
    </w:p>
    <w:p w14:paraId="33298CA6">
      <w:pPr>
        <w:ind w:firstLine="440" w:firstLineChars="200"/>
        <w:jc w:val="both"/>
      </w:pPr>
      <w:r>
        <w:rPr>
          <w:rFonts w:hint="eastAsia"/>
          <w:b/>
          <w:bCs/>
        </w:rPr>
        <w:t>内部团队</w:t>
      </w:r>
      <w:r>
        <w:rPr>
          <w:rFonts w:hint="eastAsia"/>
        </w:rPr>
        <w:t>设计并实现数据备份和灾难恢复方案，确保系统能够应对故障，迅速恢复服务。</w:t>
      </w:r>
    </w:p>
    <w:bookmarkEnd w:id="3"/>
    <w:p w14:paraId="44AACF59">
      <w:pPr>
        <w:pStyle w:val="3"/>
        <w:jc w:val="both"/>
      </w:pPr>
      <w:r>
        <w:rPr>
          <w:rFonts w:hint="eastAsia"/>
        </w:rPr>
        <w:t>1</w:t>
      </w:r>
      <w:r>
        <w:t xml:space="preserve"> 技术实现路线</w:t>
      </w:r>
    </w:p>
    <w:p w14:paraId="67E15D66">
      <w:pPr>
        <w:pStyle w:val="4"/>
        <w:jc w:val="both"/>
      </w:pPr>
      <w:r>
        <w:rPr>
          <w:rFonts w:hint="eastAsia"/>
        </w:rPr>
        <w:t>1</w:t>
      </w:r>
      <w:r>
        <w:t>.1 匿名通信系统架构与钱包集成</w:t>
      </w:r>
    </w:p>
    <w:p w14:paraId="4BC90A9D">
      <w:pPr>
        <w:ind w:firstLine="440" w:firstLineChars="200"/>
        <w:jc w:val="both"/>
      </w:pPr>
      <w:r>
        <w:t>在匿名通信&amp;钱包App中，用户通过加密通信网络进行匿名聊天，并可无缝使用内置钱包与Solana和Sui区块链交互，包括支付、参与DeFi等。托管银行持有的港元储备支持在两条链上的稳定币合约发行，跨链桥保证不同链上代币流通的锚定统一。</w:t>
      </w:r>
    </w:p>
    <w:p w14:paraId="7AA90CD6">
      <w:pPr>
        <w:ind w:firstLine="440" w:firstLineChars="200"/>
        <w:jc w:val="both"/>
      </w:pPr>
      <w:r>
        <w:t>集成模式：通信系统官方对话框接入钱包（类似微信公众号），该对话框提供钱包创建、余额查询、转账操作、交易通知、资产监控等功能。</w:t>
      </w:r>
      <w:r>
        <w:rPr>
          <w:b/>
          <w:bCs/>
        </w:rPr>
        <w:t>钱包创建</w:t>
      </w:r>
      <w:r>
        <w:t>：用户通过推送通知快速创建钱包。</w:t>
      </w:r>
      <w:r>
        <w:rPr>
          <w:b/>
          <w:bCs/>
        </w:rPr>
        <w:t>余额查询</w:t>
      </w:r>
      <w:r>
        <w:t>：通过推送通知查看钱包的实时余额。</w:t>
      </w:r>
      <w:r>
        <w:rPr>
          <w:b/>
          <w:bCs/>
        </w:rPr>
        <w:t>转账操作</w:t>
      </w:r>
      <w:r>
        <w:t>：在推送通知中接收并确认转账请求。</w:t>
      </w:r>
      <w:r>
        <w:rPr>
          <w:b/>
          <w:bCs/>
        </w:rPr>
        <w:t>交易通知</w:t>
      </w:r>
      <w:r>
        <w:t>：实时推送交易成功、失败或待处理的状态更新。</w:t>
      </w:r>
      <w:r>
        <w:rPr>
          <w:b/>
          <w:bCs/>
        </w:rPr>
        <w:t>资产监控</w:t>
      </w:r>
      <w:r>
        <w:t>：推送价格变动、市场趋势或交易提醒。</w:t>
      </w:r>
    </w:p>
    <w:p w14:paraId="425E6BD9">
      <w:pPr>
        <w:ind w:firstLine="440" w:firstLineChars="200"/>
        <w:jc w:val="both"/>
      </w:pPr>
      <w:r>
        <w:t>本系统的客户端是一款融合了</w:t>
      </w:r>
      <w:r>
        <w:rPr>
          <w:b/>
          <w:bCs/>
        </w:rPr>
        <w:t>安全聊天</w:t>
      </w:r>
      <w:r>
        <w:t>和</w:t>
      </w:r>
      <w:r>
        <w:rPr>
          <w:b/>
          <w:bCs/>
        </w:rPr>
        <w:t>加密钱包</w:t>
      </w:r>
      <w:r>
        <w:t>功能的匿名通信应用。用户可使用该应用进行端到端加密(IM)通讯，保护聊天内容及身份匿名性。类似于 Status 等去中心化通信工具所实现的，无需手机号或邮箱注册账户，消息采用端到端加密且不经过集中服务器，甚至连谁在和谁对话都不被网络节点所知。钱包与通讯模块共用一套公私钥体系，使用户可以在保持匿名聊天的同时管理数字资产——应用在后台以安全方式存储用户私钥（或采用多方计算 MPC 技术提高安全），确保只有用户本人控制资金。聊天和转账功能深度集成，例如用户在聊天界面即可一键发送稳定币给联系人，实现</w:t>
      </w:r>
      <w:r>
        <w:rPr>
          <w:b/>
          <w:bCs/>
        </w:rPr>
        <w:t>社交即支付</w:t>
      </w:r>
      <w:r>
        <w:t>的便捷体验。</w:t>
      </w:r>
    </w:p>
    <w:p w14:paraId="3B5C3248">
      <w:pPr>
        <w:ind w:firstLine="440" w:firstLineChars="200"/>
        <w:jc w:val="both"/>
      </w:pPr>
      <w:r>
        <w:t>为增强隐私保护，通信网络可能采用分布式节点转发或洋葱路由等技术隐藏消息元数据，进一步防止链上地址与用户身份的关联。另外，应用内设计了联系人间的</w:t>
      </w:r>
      <w:r>
        <w:rPr>
          <w:b/>
          <w:bCs/>
        </w:rPr>
        <w:t>加密转账</w:t>
      </w:r>
      <w:r>
        <w:t>通道，可将小额稳定币转账在应用内部签名确认后实时完成，免除上链手续费和延迟。这一机制类似 Mixin Messenger 等隐私钱包的做法，在确保每笔内部转账对应真实链上资产锁定的前提下，实现好友间小额支付“秒到”、“零费用”。当然，较大金额或应用外部转账则通过正常链上交易，以保证公开可验证。总之，匿名通信钱包将社交和金融融合：一方面聊天信息高度加密匿名，另一方面钱包界面直观易用，让</w:t>
      </w:r>
      <w:r>
        <w:rPr>
          <w:b/>
          <w:bCs/>
        </w:rPr>
        <w:t>非技术用户</w:t>
      </w:r>
      <w:r>
        <w:t>也能像发送信息一样简单地发送和接受稳定币，从而推动稳定币在日常支付和跨境汇款场景中的普及。</w:t>
      </w:r>
    </w:p>
    <w:p w14:paraId="5B01D4D0">
      <w:pPr>
        <w:pStyle w:val="4"/>
        <w:jc w:val="both"/>
      </w:pPr>
      <w:r>
        <w:rPr>
          <w:rFonts w:hint="eastAsia"/>
        </w:rPr>
        <w:t>1</w:t>
      </w:r>
      <w:r>
        <w:t>.2 跨链稳定币发行与托管架构（Sui/Solana）</w:t>
      </w:r>
    </w:p>
    <w:p w14:paraId="704E158A">
      <w:pPr>
        <w:ind w:firstLine="440" w:firstLineChars="200"/>
        <w:jc w:val="both"/>
      </w:pPr>
      <w:r>
        <w:t>本港元稳定币（暂称 HKD-S）将同时在 Solana 和 Sui 区块链上发行，构建</w:t>
      </w:r>
      <w:r>
        <w:rPr>
          <w:b/>
          <w:bCs/>
        </w:rPr>
        <w:t>跨链流通</w:t>
      </w:r>
      <w:r>
        <w:t>的架构。为保证各链上代币价值统一，系统采用“</w:t>
      </w:r>
      <w:r>
        <w:rPr>
          <w:b/>
          <w:bCs/>
        </w:rPr>
        <w:t>主储备+跨链桥</w:t>
      </w:r>
      <w:r>
        <w:t>”模式：由中心托管银行掌管的港元储备作为锚定基础，各链上的稳定币智能合约在收到托管方指令时铸造或销毁等值代币。Solana 上实现为 SPL 标准代币合约，Sui 上实现为 Move 语言编写的对象合约，二者初始总发行量均严格受限于托管储备。为在两链间转移代币，设计了跨链通信机制：当用户希望将稳定币从一条链转至另一条链，系统将通过</w:t>
      </w:r>
      <w:r>
        <w:rPr>
          <w:b/>
          <w:bCs/>
        </w:rPr>
        <w:t>锁定-铸造/烧毁</w:t>
      </w:r>
      <w:r>
        <w:t>流程来实现。一种方式是利用 Wormhole 等去中心化跨链桥，将用户欲跨出的稳定币在源链上锁定于桥合约中，并在目标链上铸造出等额映射代币；反之在回转时烧毁目标链代币并解锁源链代币。这种“锁定铸造”机制可确保跨链代币总量不变，所有链上流通的衍生代币都有原链资产1:1支撑，从而避免双重发行风险。</w:t>
      </w:r>
    </w:p>
    <w:p w14:paraId="7E9D3123">
      <w:pPr>
        <w:ind w:firstLine="440" w:firstLineChars="200"/>
        <w:jc w:val="both"/>
      </w:pPr>
      <w:r>
        <w:t>更优雅的方案是采用</w:t>
      </w:r>
      <w:r>
        <w:rPr>
          <w:b/>
          <w:bCs/>
        </w:rPr>
        <w:t>原生多链发行+跨链消息验证</w:t>
      </w:r>
      <w:r>
        <w:t>。即在两条链上分别部署稳定币合约，各自接受来自托管机构的铸造/销毁指令。同时引入可信的跨链消息协议，当检测到用户在一条链上发起跨链转移（如燃烧一定数量代币），由托管人或预言机服务出具经过签名的证明，通过跨链消息传递至另一链的合约，触发等额代币铸造给用户。这一模式类似于 Circle 公司推出的跨链传输协议（CCTP），通过“先烧毁后铸造”的原生方式，实现各链间稳定币的直接互换。其优点是无需锁定大量资金在桥合约中，所有链上的稳定币都是直接由储备支持，可根据需要在任意支持链上新铸，流动性不再割裂。本方案中，结合Solana高吞吐和Sui并行执行优势，计划逐步实现跨链消息验证，使HKD-S能够在多链环境下</w:t>
      </w:r>
      <w:r>
        <w:rPr>
          <w:b/>
          <w:bCs/>
        </w:rPr>
        <w:t>统一流通</w:t>
      </w:r>
      <w:r>
        <w:t>。在过渡期内，可先使用成熟的 Wormhole 跨链桥服务提供代币跨链功能。</w:t>
      </w:r>
    </w:p>
    <w:p w14:paraId="6F72FC08">
      <w:pPr>
        <w:jc w:val="both"/>
      </w:pPr>
      <w:r>
        <w:t>整个跨链发行架构如图1所示：</w:t>
      </w:r>
    </w:p>
    <w:p w14:paraId="293BA389">
      <w:pPr>
        <w:jc w:val="center"/>
      </w:pPr>
      <w:r>
        <w:drawing>
          <wp:inline distT="0" distB="0" distL="0" distR="0">
            <wp:extent cx="4707890" cy="2374265"/>
            <wp:effectExtent l="0" t="0" r="0" b="6985"/>
            <wp:docPr id="1" name="Picture 5" descr="5IO23NZAAA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5IO23NZAAAAGA"/>
                    <pic:cNvPicPr>
                      <a:picLocks noChangeAspect="1"/>
                    </pic:cNvPicPr>
                  </pic:nvPicPr>
                  <pic:blipFill>
                    <a:blip r:embed="rId6"/>
                    <a:stretch>
                      <a:fillRect/>
                    </a:stretch>
                  </pic:blipFill>
                  <pic:spPr>
                    <a:xfrm>
                      <a:off x="0" y="0"/>
                      <a:ext cx="4710653" cy="2375768"/>
                    </a:xfrm>
                    <a:prstGeom prst="rect">
                      <a:avLst/>
                    </a:prstGeom>
                  </pic:spPr>
                </pic:pic>
              </a:graphicData>
            </a:graphic>
          </wp:inline>
        </w:drawing>
      </w:r>
    </w:p>
    <w:p w14:paraId="6FFD9682">
      <w:pPr>
        <w:jc w:val="both"/>
      </w:pPr>
      <w:r>
        <w:t>图1 中蓝色椭圆表示匿名通讯钱包App；右侧绿色虚线框和蓝色虚线框分别代表Sui和Solana链上的稳定币合约和相关DeFi模块；底部绿色矩形表示托管银行和储备；灰色多边形表示跨链桥模块。用户通过应用可以直接与两条链上的合约交互（箭头表示交互流程），托管银行根据储备情况在两链上铸造/赎回稳定币并保持总量一致；跨链桥实现了Solana和Sui之间的稳定币跨链转移。这样的设计确保无论用户身处哪个链，都可获取和使用同一种港元稳定币，而且可以方便地在链间转换以适用不同生态的DeFi和支付场景。</w:t>
      </w:r>
    </w:p>
    <w:p w14:paraId="6E83EDF6">
      <w:pPr>
        <w:ind w:firstLine="440" w:firstLineChars="200"/>
        <w:jc w:val="both"/>
      </w:pPr>
      <w:r>
        <w:t>在安全方面，跨链机制可能引入多重签名或去中心化守护节点网络对跨链消息进行验证，防止伪造铸币指令。托管银行作为发行人会保留在链上合约的铸造权限，但将通过链下签名授权或多签合约来行使，以避免单点私钥泄露风险。两条链上的稳定币合约初始参数（如名称、精度、总量等）将设置一致，并支持链上查询总供应量和储备证明等功能，方便公众监督跨链总量是否匹配储备。</w:t>
      </w:r>
    </w:p>
    <w:p w14:paraId="564CF692">
      <w:pPr>
        <w:pStyle w:val="4"/>
        <w:jc w:val="both"/>
      </w:pPr>
      <w:r>
        <w:rPr>
          <w:rFonts w:hint="eastAsia"/>
        </w:rPr>
        <w:t>1</w:t>
      </w:r>
      <w:r>
        <w:t>.3 港币锚定模型与 RWA 资产储备设计</w:t>
      </w:r>
    </w:p>
    <w:p w14:paraId="619C10C9">
      <w:pPr>
        <w:ind w:firstLine="440" w:firstLineChars="200"/>
        <w:jc w:val="both"/>
      </w:pPr>
      <w:r>
        <w:t>本稳定币采用</w:t>
      </w:r>
      <w:r>
        <w:rPr>
          <w:b/>
          <w:bCs/>
        </w:rPr>
        <w:t>100%法定货币储备支持</w:t>
      </w:r>
      <w:r>
        <w:t>模型：每发行1枚 HKD-S 稳定币，托管银行账户中即有1港元或等值高流动性资产作为储备保证。香港监管要求储备资产必须价值等于流通稳定币面值，且限定为现金、香港政府债券、代币化银行存款等高质量高流动性资产，严禁部分储备或算法锚定模式。本系统将严格遵循这一要求，设计储备组合以</w:t>
      </w:r>
      <w:r>
        <w:rPr>
          <w:b/>
          <w:bCs/>
        </w:rPr>
        <w:t>安全性和流动性</w:t>
      </w:r>
      <w:r>
        <w:t>为首要目标。例如，储备的大部分（例如80%）将持有短期港元现金或政府票据，用于随时满足赎回需求；一小部分（例如不超过20%）可配置于风险极低的港元计价债券或优质商业票据，以获得略高利息收益。储备资产全部存放于受监管的香港持牌银行托管账户，与发行人自有资产隔离保管，并定期公布储备构成及审计报告。这种透明措施有助于增进公众和监管对稳定币储备充足性的信心。</w:t>
      </w:r>
    </w:p>
    <w:p w14:paraId="3B3CCF61">
      <w:pPr>
        <w:ind w:firstLine="440" w:firstLineChars="200"/>
        <w:jc w:val="both"/>
      </w:pPr>
      <w:r>
        <w:t>为保持港元1:1锚定，系统提供</w:t>
      </w:r>
      <w:r>
        <w:rPr>
          <w:b/>
          <w:bCs/>
        </w:rPr>
        <w:t>无缝铸造与赎回</w:t>
      </w:r>
      <w:r>
        <w:t>机制：当托管银行确认收到用户存入的港币资金后，即刻在链上铸造等额HKD-S发送给用户地址；反之用户申请赎回时，智能合约会燃烧用户交回的稳定币，托管银行在1个工作日内将等额港币汇至用户绑定的银行账户。通过这一铸销闭环，HKD-S价格将稳定锚定在1港元附近——若二级市场价格跌破1港元，套利者可购入廉价HKD-S并按面值赎回获利，推动价格回升；若价格高于1港元，套利者可存入港币铸造HKD-S抛售，增加供给令价格回落。因此，只要始终允许</w:t>
      </w:r>
      <w:r>
        <w:rPr>
          <w:b/>
          <w:bCs/>
        </w:rPr>
        <w:t>自由赎回</w:t>
      </w:r>
      <w:r>
        <w:t>且储备充足，市场机制将自动维持代币与港元的平价。监管规定用户应可按面值“无附加费用或条件”无限制赎回——本系统将在合规范围内尽量实现免费、小额即时赎回服务（大型批量赎回可能收取象征性费用以覆盖银行转账成本，但会依据监管豁免权酌情处理）。</w:t>
      </w:r>
    </w:p>
    <w:p w14:paraId="26EC8658">
      <w:pPr>
        <w:ind w:firstLine="440" w:firstLineChars="200"/>
        <w:jc w:val="both"/>
      </w:pPr>
      <w:r>
        <w:t>此外，我们考虑构建</w:t>
      </w:r>
      <w:r>
        <w:rPr>
          <w:b/>
          <w:bCs/>
        </w:rPr>
        <w:t>超额准备金</w:t>
      </w:r>
      <w:r>
        <w:t>和保险机制以增强稳定性。尽管基本模式为1:1准备金，但由于某些储备资产（如债券）市值可能波动或存在违约极小概率，发行人将根据需要留存一部分资本金作为储备金的超额覆盖。根据香港金管局酌情要求，针对非现金储备部分可采取超额抵押，以缓解外汇风险和市场波动。同时，发行人计划投保相关保险（如托管账户险或技术故障险），以防范极端情况下储备资产损失或合约被攻击造成的用户损失。总体而言，港元锚定模型坚持</w:t>
      </w:r>
      <w:r>
        <w:rPr>
          <w:b/>
          <w:bCs/>
        </w:rPr>
        <w:t>等值足额储备</w:t>
      </w:r>
      <w:r>
        <w:t>原则，在制度和技术上提供多层保障，力求使HKD-S达到类似银行存款的稳定可靠性。对于储备的运作和风险管理，我们将定期向监管提交报告，并引入独立会计师年度审计储备资产，以确保锚定机制经得起长期考验。</w:t>
      </w:r>
    </w:p>
    <w:p w14:paraId="5AEAAA18">
      <w:pPr>
        <w:pStyle w:val="4"/>
        <w:jc w:val="both"/>
      </w:pPr>
      <w:r>
        <w:rPr>
          <w:rFonts w:hint="eastAsia"/>
        </w:rPr>
        <w:t>1</w:t>
      </w:r>
      <w:r>
        <w:t>.4 用户注册流程</w:t>
      </w:r>
    </w:p>
    <w:p w14:paraId="778C4989">
      <w:pPr>
        <w:ind w:firstLine="440" w:firstLineChars="200"/>
        <w:jc w:val="both"/>
      </w:pPr>
      <w:r>
        <w:t>在稳定币系统中，注册流程通常指用户在智能合约中完成一次性的初始化登记，用于链上身份识别、权限赋予或KYC状态绑定。注册的本质不是创建钱包（因为钱包是链下生成的），而是链上合约对该钱包地址进行标记或状态记录。具体流程如下：</w:t>
      </w:r>
    </w:p>
    <w:p w14:paraId="5BEDFF69">
      <w:pPr>
        <w:ind w:firstLine="440" w:firstLineChars="200"/>
        <w:jc w:val="both"/>
      </w:pPr>
      <w:r>
        <w:t xml:space="preserve">当用户首次交互（如发起转账、铸币请求或提交注册交易）时，合约会调用一个如 </w:t>
      </w:r>
      <w:r>
        <w:rPr>
          <w:rStyle w:val="20"/>
        </w:rPr>
        <w:t>register()</w:t>
      </w:r>
      <w:r>
        <w:t xml:space="preserve"> 或 </w:t>
      </w:r>
      <w:r>
        <w:rPr>
          <w:rStyle w:val="20"/>
        </w:rPr>
        <w:t>initAccount()</w:t>
      </w:r>
      <w:r>
        <w:t xml:space="preserve"> 的函数。该函数将用户地址写入一个状态映射中，用于确认该地址是否已注册。此外，合约可绑定注册时间、KYC 标识符、所属角色等附加信息。在更复杂的实现中，合约会与外部身份系统（如基于 ERC-735 的身份合约或链上 KYC Oracle）交互，读取身份验证结果并写入链上状态。例如，通过 </w:t>
      </w:r>
      <w:r>
        <w:rPr>
          <w:rStyle w:val="20"/>
        </w:rPr>
        <w:t>require(KYCRegistry[msg.sender].verified == true)</w:t>
      </w:r>
      <w:r>
        <w:t xml:space="preserve"> 强制用户只有在链上身份验证通过后才允许注册。这一流程通常配合事件日志以供链下审计与系统追踪。注册逻辑也可能和权限模块（如 AccessControl）集成，注册即授予某种角色，控制后续操作权限。</w:t>
      </w:r>
    </w:p>
    <w:p w14:paraId="546C35B0">
      <w:pPr>
        <w:pStyle w:val="4"/>
        <w:jc w:val="both"/>
      </w:pPr>
      <w:r>
        <w:rPr>
          <w:rFonts w:hint="eastAsia"/>
        </w:rPr>
        <w:t>1</w:t>
      </w:r>
      <w:r>
        <w:t>.5 稳定币的铸造/赎回流程</w:t>
      </w:r>
    </w:p>
    <w:p w14:paraId="565472E8">
      <w:pPr>
        <w:ind w:firstLine="440" w:firstLineChars="200"/>
        <w:jc w:val="both"/>
      </w:pPr>
      <w:r>
        <w:t>为了方便读者理解，我们以用户视角说明HKD-S稳定币的铸造（Mint）和赎回（Redeem）全流程，并绘制流程图予以展示：</w:t>
      </w:r>
    </w:p>
    <w:p w14:paraId="00C9238C">
      <w:pPr>
        <w:jc w:val="center"/>
      </w:pPr>
      <w:r>
        <w:drawing>
          <wp:inline distT="0" distB="0" distL="0" distR="0">
            <wp:extent cx="4593590" cy="2634615"/>
            <wp:effectExtent l="0" t="0" r="0" b="0"/>
            <wp:docPr id="2" name="Picture 6" descr="SBDK5NZAACQ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SBDK5NZAACQH2"/>
                    <pic:cNvPicPr>
                      <a:picLocks noChangeAspect="1"/>
                    </pic:cNvPicPr>
                  </pic:nvPicPr>
                  <pic:blipFill>
                    <a:blip r:embed="rId7"/>
                    <a:stretch>
                      <a:fillRect/>
                    </a:stretch>
                  </pic:blipFill>
                  <pic:spPr>
                    <a:xfrm>
                      <a:off x="0" y="0"/>
                      <a:ext cx="4607630" cy="2642611"/>
                    </a:xfrm>
                    <a:prstGeom prst="rect">
                      <a:avLst/>
                    </a:prstGeom>
                  </pic:spPr>
                </pic:pic>
              </a:graphicData>
            </a:graphic>
          </wp:inline>
        </w:drawing>
      </w:r>
    </w:p>
    <w:p w14:paraId="3F656F9A">
      <w:pPr>
        <w:jc w:val="both"/>
      </w:pPr>
      <w:r>
        <w:t>图2：HKD-S 稳定币的铸造与赎回流程序列图。左侧为用户及其匿名钱包App，中间为托管银行，右侧为区块链智能合约。图中箭头表示消息或资产流动方向。上半部分（步骤1-3）为铸造流程：用户存入港币，银行确认后请求智能合约铸造，同等量稳定币发放至用户钱包。下半部分（步骤4-6）为赎回流程：用户发起赎回请求并将稳定币发送回指定合约，合约销毁代币并通知银行，银行将对应港币汇款给用户。</w:t>
      </w:r>
    </w:p>
    <w:p w14:paraId="31773433">
      <w:pPr>
        <w:jc w:val="both"/>
      </w:pPr>
      <w:r>
        <w:rPr>
          <w:b/>
          <w:bCs/>
        </w:rPr>
        <w:t>(1) 用户申请铸造：</w:t>
      </w:r>
      <w:r>
        <w:t>当用户希望将法币港元换成HKD-S时，可在匿名钱包App中发起“充值铸币”请求。应用会引导用户完成必要的实名/KYC认证（根据监管，小额可能豁免，大额必须实名），并提供托管银行专用账户信息。随后用户通过银行转账等方式将一定数额港币充值到该托管账户。App在前端显示充值指引及汇率，后台监听银行到账通知。</w:t>
      </w:r>
    </w:p>
    <w:p w14:paraId="451A51E2">
      <w:pPr>
        <w:jc w:val="both"/>
      </w:pPr>
      <w:r>
        <w:rPr>
          <w:b/>
          <w:bCs/>
        </w:rPr>
        <w:t>(2) 托管银行确认到账：</w:t>
      </w:r>
      <w:r>
        <w:t>当用户的港币资金进入托管账户后，托管银行系统会验证款项来源与用户身份匹配无误。符合条件时，银行通过安全服务器向区块链稳定币合约发送一条签名铸币指令（Mint Request），内容包括用户的钱包地址和应铸造的HKD-S数量。在跨链情况下，银行可选择在用户指定的链上铸币（例如用户需要Solana版本，则调用Solana合约）。该铸币请求在链上广播，由稳定币合约的铸造权限账号（托管银行控制）进行验证后执行。</w:t>
      </w:r>
    </w:p>
    <w:p w14:paraId="1DC41E46">
      <w:pPr>
        <w:jc w:val="both"/>
      </w:pPr>
      <w:r>
        <w:rPr>
          <w:b/>
          <w:bCs/>
        </w:rPr>
        <w:t>(3) 区块链合约铸造代币：</w:t>
      </w:r>
      <w:r>
        <w:t>稳定币合约接收到合法的铸币请求后，即刻铸造相应数量的HKD-S代币记入用户的钱包地址。这一过程通常在几秒内完成（Solana确认快，Sui并行处理效率高），随后用户通过App即可看到自己的稳定币余额增加了相应港元数额。至此，用户完成了法币港元到链上稳定币的转换。值得注意的是，系统在铸造后会同步更新内部账本记录当前总发行量，并由托管银行调整储备资产分类（将用户充值款转入储备池）。此时1 HKD-S = 1 HKD储备资产，锚定关系成立。</w:t>
      </w:r>
    </w:p>
    <w:p w14:paraId="07CA2EBD">
      <w:pPr>
        <w:jc w:val="both"/>
      </w:pPr>
      <w:r>
        <w:rPr>
          <w:b/>
          <w:bCs/>
        </w:rPr>
        <w:t>(4) 用户申请赎回：</w:t>
      </w:r>
      <w:r>
        <w:t>反向情况下，用户希望将手中的HKD-S换回港币，可在App中发起“赎回提现”请求。应用将提示用户选择收款银行账户（用户需提前绑定本人银行账户，通过KYC审核），以及拟赎回的稳定币数量。提交请求后，App引导用户将相应数量的HKD-S发送到系统指定的赎回合约地址（或者直接在App上一键确认，由钱包自动签名转出到托管银行控制的地址）。用户交易在链上得到确认即表示赎回申请锁定，此时这些稳定币进入赎回待处理状态。</w:t>
      </w:r>
    </w:p>
    <w:p w14:paraId="726FAAD3">
      <w:pPr>
        <w:jc w:val="both"/>
      </w:pPr>
      <w:r>
        <w:rPr>
          <w:b/>
          <w:bCs/>
        </w:rPr>
        <w:t>(5) 智能合约销毁代币：</w:t>
      </w:r>
      <w:r>
        <w:t>当监测到用户的赎回稳定币已到账，链上赎回合约会立即触发销毁（Burn）流程，将相应数量的HKD-S从流通中移除。同时，合约或后台服务向托管银行系统发送经过验证签名的消息，包含销毁数量和用户银行账户等信息。这样确保银行知道用户确实已交回了这些稳定币。销毁操作会记录在链上总供给变量中，使公开可见的HKD-S供应量减少等同数量，保持与储备资产的平衡。</w:t>
      </w:r>
    </w:p>
    <w:p w14:paraId="40F95A43">
      <w:pPr>
        <w:jc w:val="both"/>
      </w:pPr>
      <w:r>
        <w:rPr>
          <w:b/>
          <w:bCs/>
        </w:rPr>
        <w:t>(6) 托管银行划拨港币：</w:t>
      </w:r>
      <w:r>
        <w:t>托管银行在收到赎回通知后，在规定时限内（香港监管要求不超过T+1工作日）将等额的港币资金从储备账户划转至用户的个人银行账户。一般采用快速支付系统(FPS)或实时转账方式，确保用户尽快拿到现金。完成划拨后，银行系统会更新储备账目，链上则无需额外操作——用户原本持有的稳定币已被销毁，其价值对应的法币现已返还给用户。整个赎回流程至此结束。</w:t>
      </w:r>
    </w:p>
    <w:p w14:paraId="39088EB0">
      <w:pPr>
        <w:jc w:val="both"/>
      </w:pPr>
      <w:r>
        <w:t>通过上述铸造/赎回机制，HKD-S稳定币实现了与港元储备的</w:t>
      </w:r>
      <w:r>
        <w:rPr>
          <w:b/>
          <w:bCs/>
        </w:rPr>
        <w:t>双向兑换</w:t>
      </w:r>
      <w:r>
        <w:t>闭环，使用户资产可在链上链下自由切换。这对于建立市场信任和满足监管要求至关重要：用户始终有信心一枚稳定币等价于1港元并可按需兑换。在实际系统中，我们会尽量优化每步流程的用户体验，例如提供进度通知、减少重复KYC流程，以及通过智能合约和银行API对接将整个过程自动化，让“小白用户”也能便捷地买入或兑出现实货币。</w:t>
      </w:r>
    </w:p>
    <w:p w14:paraId="1856C151">
      <w:pPr>
        <w:jc w:val="both"/>
      </w:pPr>
      <w:r>
        <w:t>值得一提的是，在保证合规的前提下，本系统也探索</w:t>
      </w:r>
      <w:r>
        <w:rPr>
          <w:b/>
          <w:bCs/>
        </w:rPr>
        <w:t>小额匿名赎回</w:t>
      </w:r>
      <w:r>
        <w:t>的可能路径。例如参考数字人民币的“双层匿名”原则，小额交易可豁免繁琐身份验证，而大额交易才严格备案。未来我们或将与监管沟通，为一定限额以下的稳定币兑换提供快速通道，满足用户合理隐私需求，同时对大额提现实行更严格的审核和报告，以防范洗钱等风险。</w:t>
      </w:r>
    </w:p>
    <w:p w14:paraId="53430FED">
      <w:pPr>
        <w:pStyle w:val="4"/>
        <w:jc w:val="both"/>
      </w:pPr>
      <w:r>
        <w:rPr>
          <w:rFonts w:hint="eastAsia"/>
        </w:rPr>
        <w:t>1</w:t>
      </w:r>
      <w:r>
        <w:t>.6 稳定币的转账交易流程</w:t>
      </w:r>
    </w:p>
    <w:p w14:paraId="4EC6C639">
      <w:pPr>
        <w:jc w:val="both"/>
      </w:pPr>
      <w:r>
        <w:rPr>
          <w:b/>
          <w:bCs/>
        </w:rPr>
        <w:t>(1) 发起转账请求</w:t>
      </w:r>
    </w:p>
    <w:p w14:paraId="3AAF4B5B">
      <w:pPr>
        <w:ind w:firstLine="440" w:firstLineChars="200"/>
        <w:jc w:val="both"/>
      </w:pPr>
      <w:r>
        <w:t>转账流程的起始由发送方发起。发送方首先通过钱包接口与区块链网络进行交互，构建转账交易。转账交易中包含以下基本信息：</w:t>
      </w:r>
    </w:p>
    <w:p w14:paraId="71EAA2F2">
      <w:pPr>
        <w:jc w:val="both"/>
      </w:pPr>
      <w:r>
        <w:t>发送方地址（From）：即发起转账的用户地址。</w:t>
      </w:r>
    </w:p>
    <w:p w14:paraId="517A034B">
      <w:pPr>
        <w:jc w:val="both"/>
      </w:pPr>
      <w:r>
        <w:t>接收方地址（To）：即接受稳定币的用户地址。</w:t>
      </w:r>
    </w:p>
    <w:p w14:paraId="50DD24F1">
      <w:pPr>
        <w:jc w:val="both"/>
      </w:pPr>
      <w:r>
        <w:t>转账金额（Amount）：转账的稳定币数量。</w:t>
      </w:r>
    </w:p>
    <w:p w14:paraId="4EDF2371">
      <w:pPr>
        <w:jc w:val="both"/>
      </w:pPr>
      <w:r>
        <w:t>交易备注（Optional）：可选的附加信息，通常用于交易标识或备注。</w:t>
      </w:r>
    </w:p>
    <w:p w14:paraId="615F837C">
      <w:pPr>
        <w:jc w:val="both"/>
      </w:pPr>
      <w:r>
        <w:t>一旦交易请求生成，钱包将这些参数打包为交易数据，准备提交到区块链网络。</w:t>
      </w:r>
    </w:p>
    <w:p w14:paraId="2844194B">
      <w:pPr>
        <w:jc w:val="both"/>
      </w:pPr>
      <w:r>
        <w:rPr>
          <w:b/>
          <w:bCs/>
        </w:rPr>
        <w:t>(2) 智能合约验证交易</w:t>
      </w:r>
    </w:p>
    <w:p w14:paraId="578B25A4">
      <w:pPr>
        <w:ind w:firstLine="440" w:firstLineChars="200"/>
        <w:jc w:val="both"/>
      </w:pPr>
      <w:r>
        <w:t>当交易请求通过钱包接口提交时，稳定币系统的智能合约将介入并执行以下操作：</w:t>
      </w:r>
    </w:p>
    <w:p w14:paraId="102FE4CA">
      <w:pPr>
        <w:jc w:val="both"/>
      </w:pPr>
      <w:r>
        <w:t>验证发送方余额：智能合约会首先检查发送方账户的稳定币余额是否足够支付转账金额。如果余额不足，交易将被拒绝并返回错误提示。</w:t>
      </w:r>
    </w:p>
    <w:p w14:paraId="1868D58E">
      <w:pPr>
        <w:jc w:val="both"/>
      </w:pPr>
      <w:r>
        <w:t>检查交易规则：智能合约验证交易是否符合预定规则，例如每笔交易是否符合合规性要求，是否存在反洗钱等检查。</w:t>
      </w:r>
    </w:p>
    <w:p w14:paraId="08D55698">
      <w:pPr>
        <w:jc w:val="both"/>
      </w:pPr>
      <w:r>
        <w:t>时间戳和nonce验证：为了防止重放攻击，智能合约会检查交易的时间戳和nonce（防止重放的唯一标识符），确保交易是最新的且未被篡改。</w:t>
      </w:r>
    </w:p>
    <w:p w14:paraId="7B67CCEC">
      <w:pPr>
        <w:jc w:val="both"/>
      </w:pPr>
      <w:r>
        <w:rPr>
          <w:b/>
          <w:bCs/>
        </w:rPr>
        <w:t>(3) 发送方账户的稳定币转移</w:t>
      </w:r>
    </w:p>
    <w:p w14:paraId="582D736B">
      <w:pPr>
        <w:ind w:firstLine="440" w:firstLineChars="200"/>
        <w:jc w:val="both"/>
      </w:pPr>
      <w:r>
        <w:t>如果验证通过，智能合约将根据转账请求，执行以下操作：</w:t>
      </w:r>
    </w:p>
    <w:p w14:paraId="62B1A91C">
      <w:pPr>
        <w:jc w:val="both"/>
      </w:pPr>
      <w:r>
        <w:t>扣除发送方账户余额：智能合约从发送方的账户中扣除相应数量的稳定币。</w:t>
      </w:r>
    </w:p>
    <w:p w14:paraId="54B17DD3">
      <w:pPr>
        <w:jc w:val="both"/>
      </w:pPr>
      <w:r>
        <w:t>增加接收方账户余额：智能合约将相同数量的稳定币转账到接收方的账户。</w:t>
      </w:r>
    </w:p>
    <w:p w14:paraId="3834DBA6">
      <w:pPr>
        <w:jc w:val="both"/>
      </w:pPr>
      <w:r>
        <w:t>在此过程中，智能合约将根据预定规则更新账户的状态，确保账户余额的准确性。所有的账户变动会被记录在区块链的账本中，确保数据的透明性与不可篡改性。</w:t>
      </w:r>
    </w:p>
    <w:p w14:paraId="5EDB3A88">
      <w:pPr>
        <w:jc w:val="both"/>
      </w:pPr>
      <w:r>
        <w:rPr>
          <w:b/>
          <w:bCs/>
        </w:rPr>
        <w:t>(4) 生成交易哈希</w:t>
      </w:r>
    </w:p>
    <w:p w14:paraId="1B615B56">
      <w:pPr>
        <w:ind w:firstLine="440" w:firstLineChars="200"/>
        <w:jc w:val="both"/>
      </w:pPr>
      <w:r>
        <w:t>在交易成功执行后，智能合约会生成一个交易哈希（Transaction Hash），这个哈希作为交易的唯一标识符，记录交易的详细信息，包括发送方、接收方、转账金额、时间戳等。这一哈希会被写入区块链中，任何人都可以通过该哈希查询交易的状态和详情。</w:t>
      </w:r>
    </w:p>
    <w:p w14:paraId="00F9A340">
      <w:pPr>
        <w:jc w:val="both"/>
      </w:pPr>
      <w:r>
        <w:rPr>
          <w:b/>
          <w:bCs/>
        </w:rPr>
        <w:t>(5) 交易确认和广播</w:t>
      </w:r>
    </w:p>
    <w:p w14:paraId="03F879CA">
      <w:pPr>
        <w:ind w:firstLine="440" w:firstLineChars="200"/>
        <w:jc w:val="both"/>
      </w:pPr>
      <w:r>
        <w:t>当交易被成功执行后，区块链网络会广播该交易信息，并通过共识机制确保该交易被网络中的节点确认。交易确认后，系统会向发送方和接收方发送交易完成的通知，交易状态将更新为“成功”。</w:t>
      </w:r>
    </w:p>
    <w:p w14:paraId="6E64DBF3">
      <w:pPr>
        <w:jc w:val="both"/>
      </w:pPr>
      <w:r>
        <w:rPr>
          <w:b/>
          <w:bCs/>
        </w:rPr>
        <w:t>(6) 更新交易历史与账单</w:t>
      </w:r>
    </w:p>
    <w:p w14:paraId="2E56ED00">
      <w:pPr>
        <w:ind w:firstLine="440" w:firstLineChars="200"/>
        <w:jc w:val="both"/>
      </w:pPr>
      <w:r>
        <w:t>在交易完成后，智能合约会更新交易历史，确保交易记录被永久保存，方便未来的审计、查询和对账。每笔交易记录通常包括交易哈希（Transaction Hash）、发送方和接收方地址、转账金额、时间戳、交易状态（如成功、失败）等信息。</w:t>
      </w:r>
    </w:p>
    <w:p w14:paraId="57CEECFE">
      <w:pPr>
        <w:ind w:firstLine="440" w:firstLineChars="200"/>
        <w:jc w:val="both"/>
      </w:pPr>
      <w:r>
        <w:t>这些记录被存储在区块链的去中心化账本中，保证交易的透明性和安全性。</w:t>
      </w:r>
    </w:p>
    <w:p w14:paraId="3866BDDE">
      <w:pPr>
        <w:pStyle w:val="4"/>
        <w:jc w:val="both"/>
      </w:pPr>
      <w:r>
        <w:rPr>
          <w:rFonts w:hint="eastAsia"/>
        </w:rPr>
        <w:t>1</w:t>
      </w:r>
      <w:r>
        <w:t>.7 用户抵押、收益池与定存类 DeFi 产品设计</w:t>
      </w:r>
    </w:p>
    <w:p w14:paraId="588EAF36">
      <w:pPr>
        <w:ind w:firstLine="440" w:firstLineChars="200"/>
        <w:jc w:val="both"/>
      </w:pPr>
      <w:r>
        <w:t>围绕HKD-S稳定币，我们计划在链上拓展一系列DeFi模块，为用户提供抵押借贷、收益累积和定期存款等增值服务。这些设计一方面提升稳定币的使用场景和持有收益，另一方面为平台创造可持续的业务收入。以下分别介绍各模块功能：</w:t>
      </w:r>
    </w:p>
    <w:p w14:paraId="74E481FB">
      <w:pPr>
        <w:numPr>
          <w:ilvl w:val="0"/>
          <w:numId w:val="2"/>
        </w:numPr>
        <w:jc w:val="both"/>
      </w:pPr>
      <w:r>
        <w:t>加密资产抵押借贷：用户可以将持有的其他加密资产（如 BTC、ETH 等主流币）抵押给平台的借贷合约，以借出等值的HKD-S稳定币。借出的稳定币可用于消费、投资或兑换法币，用户需按约定利率支付利息。借贷合约采取超额抵押方式，例如150%的抵押率，确保借出的稳定币有足额加密资产支撑，降低借款违约风险。如果抵押物价值下跌触及清算线，合约将自动拍卖抵押物以回收稳定币款项，保证稳定币池的偿付能力。该借贷机制类似去中心化协议 MakerDAO 或 Aave，但锚定标的是港元计价资产。通过这个模块，用户可在无需出售手上加密资产的情况下获取港元流动性，同时平台收取一定利息收益和借贷手续费。值得注意的是，根据香港法规，此类借贷服务涉及的稳定币发行仍需遵守储备支持原则，不会影响HKD-S整体的1:1锚定——借出的稳定币来源于其他用户存入的稳定币资金池或系统额外准备的额度，并非凭空增发。</w:t>
      </w:r>
    </w:p>
    <w:p w14:paraId="7D5B7271">
      <w:pPr>
        <w:numPr>
          <w:ilvl w:val="0"/>
          <w:numId w:val="2"/>
        </w:numPr>
        <w:jc w:val="both"/>
      </w:pPr>
      <w:r>
        <w:rPr>
          <w:b/>
          <w:bCs/>
        </w:rPr>
        <w:t>稳定币收益池：为鼓励用户持有并使用HKD-S，我们将推出收益池（Yield Pool）产品。持币用户可自愿将一定数量的HKD-S存入收益池合约一段时间，获取利息回报。收益来源主要有两方面：其一，平台将池中稳定币用于安全的短期投资（如存入去中心化交易所流动性池、参与低风险农Yield项目或配置于许可范围内的RWA收益工具），获得的利息或手续费收益按比例返还给存款用户；其二，托管储备本身产生的利息收入也可部分注入收益池，与用户分享。例如，当香港银行存款利率或政府债券利率为年化2-3%时，我们可以拿出其中1-2%回馈给稳定币持有人，以提高HKD-S的持有吸引力。需要强调的是，为符合监管“不得给稳定币支付利息”的要求，收益池会作为独立的自愿理财产品</w:t>
      </w:r>
      <w:r>
        <w:t>呈现，而非基础稳定币的自动利息。用户明确认购该服务才会获得收益，类似传统银行的理财或货币基金。这样既遵守了“不将稳定币当作存款付息”的规定，又实现了稳定币的“类存款”收益功能。当然，收益池可能被视作受监管的理财产品，我们将在香港及其它司法管辖区获取必要牌照，确保产品设计和信息披露符合法律要求。</w:t>
      </w:r>
    </w:p>
    <w:p w14:paraId="3842476C">
      <w:pPr>
        <w:numPr>
          <w:ilvl w:val="0"/>
          <w:numId w:val="2"/>
        </w:numPr>
        <w:jc w:val="both"/>
      </w:pPr>
      <w:r>
        <w:rPr>
          <w:b/>
          <w:bCs/>
        </w:rPr>
        <w:t>定期存款类 DeFi 产品：针对有长期持有需求的用户，平台还将提供定期存款类的稳定币理财产品。用户可以选择锁定一定数量HKD-S在智能合约中一段固定期限（例如3个月、6个月或1年），到期可获得较活期收益更高的利率回报。这类似于把稳定币做定期存款</w:t>
      </w:r>
      <w:r>
        <w:t>或发行</w:t>
      </w:r>
      <w:r>
        <w:rPr>
          <w:b/>
          <w:bCs/>
        </w:rPr>
        <w:t>稳定币债券</w:t>
      </w:r>
      <w:r>
        <w:t>。由于锁定期限内用户无法自由赎回稳定币，我们能够将这部分资金投入期限匹配的投资以获取更高收益（例如购买短期政府债券或优质票据），因此给予用户更高利率作为补偿。举例来说，活期收益池年利率2%，而6个月定存产品年化利率可达3%。在设计此类产品时，我们将注意避免其被认定为证券或基金而落入监管灰色地带——例如以</w:t>
      </w:r>
      <w:r>
        <w:rPr>
          <w:b/>
          <w:bCs/>
        </w:rPr>
        <w:t>白名单合格投资者</w:t>
      </w:r>
      <w:r>
        <w:t>的方式发行，或与持牌资产管理机构合作推出，由其发行链上代币化定期产品再对接我们的稳定币用户。这样既拓展了HKD-S的应用场景，又确保合规稳健。定存产品的利息同样来源于RWA投资或借贷利息差收益，具体细节将在产品推出时公布。</w:t>
      </w:r>
    </w:p>
    <w:p w14:paraId="61BAC323">
      <w:pPr>
        <w:numPr>
          <w:ilvl w:val="0"/>
          <w:numId w:val="2"/>
        </w:numPr>
        <w:jc w:val="both"/>
      </w:pPr>
      <w:r>
        <w:t>NFT赠礼和治理投票：作为匿名通信应用内的特色功能，我们计划引入NFT赠礼和社区投票机制。用户可以使用HKD-S购买应用内的数字礼物（如表情贴纸NFT、限量徽章等）赠予他人，或参与聊天群组的投票和打赏。这些操作背后由链上智能合约支持：例如NFT礼物由合约铸造并发送，投票通过持有代币签名表决。每笔此类操作会收取微小的手续费用，以HKD-S计价，从用户余额中扣除。费用一部分用于矿工/验证者支付链上Gas，另一部分作为平台收入。例如，发送一枚NFT表情可能收费0.1 HKD-S，其中0.01归平台。由于单笔金额很小且匿名应用频繁，预期这块收入规模可随着用户数增长而累积。为了适应这种高频小额场景，我们可能在二层网络或侧链上执行NFT和投票合约，批量结算费用，以降低Gas成本，提升用户体验。所有这些增值功能既丰富了应用生态，也为HKD-S创造了实际使用需求，促进其在社交场景中的流通。</w:t>
      </w:r>
    </w:p>
    <w:p w14:paraId="54DD0BCD">
      <w:pPr>
        <w:ind w:firstLine="440" w:firstLineChars="200"/>
        <w:jc w:val="both"/>
      </w:pPr>
      <w:r>
        <w:t>通过以上模块设计，HKD-S稳定币系统不再只是简单的法币代币，而是一个具备</w:t>
      </w:r>
      <w:r>
        <w:rPr>
          <w:b/>
          <w:bCs/>
          <w:color w:val="C00000"/>
        </w:rPr>
        <w:t>存、贷、投、娱</w:t>
      </w:r>
      <w:r>
        <w:t>多种功能的综合金融生态。用户不仅可以将它当作现金等价物支付、转账，还可以用于理财增值和社区互动；同时平台在这些业务中获取多元收入，增强商业可持续性。在具体实现上，各模块均通过智能合约与核心稳定币合约交互（见图1中的DeFi模块箭头），确保资金流转公开透明。例如，抵押借贷合约会调用稳定币合约转移用户押品和借出资金；收益池合约会与稳定币合约配合完成用户存取款和利息派发等。我们将采用模块化设计，使各功能契合良好、接口清晰，便于后续维护和功能扩展。</w:t>
      </w:r>
    </w:p>
    <w:p w14:paraId="3F1A9B81">
      <w:pPr>
        <w:pStyle w:val="4"/>
        <w:jc w:val="both"/>
      </w:pPr>
      <w:r>
        <w:rPr>
          <w:rFonts w:hint="eastAsia"/>
        </w:rPr>
        <w:t>1</w:t>
      </w:r>
      <w:r>
        <w:t>.8 智能合约功能设计与链上模块交互</w:t>
      </w:r>
    </w:p>
    <w:p w14:paraId="7ACC6A25">
      <w:pPr>
        <w:ind w:firstLine="440" w:firstLineChars="200"/>
        <w:jc w:val="both"/>
      </w:pPr>
      <w:r>
        <w:t>在Solana和Sui链上，我们将部署一系列智能合约模块，共同构成HKD-S稳定币系统的链上基础架构：</w:t>
      </w:r>
    </w:p>
    <w:p w14:paraId="0F10F5D2">
      <w:pPr>
        <w:numPr>
          <w:ilvl w:val="0"/>
          <w:numId w:val="2"/>
        </w:numPr>
        <w:jc w:val="both"/>
      </w:pPr>
      <w:r>
        <w:rPr>
          <w:b/>
          <w:bCs/>
        </w:rPr>
        <w:t>稳定币合约（HKD-S Token）：</w:t>
      </w:r>
      <w:r>
        <w:t>分别在Solana和Sui上部署的代币合约，负责记录HKD-S的发行和转移。Solana上为符合SPL标准的代币，由托管银行持有铸造/销毁权限。Sui上为Move语言实现的对象，带有中心权限控制供应变动。这两个合约是系统的核心，其他模块均围绕它们运作。合约包含功能：铸造（仅限托管账户调用）、销毁、转账、冻结（若监管要求，可实现对特定地址冻结，但将谨慎使用）等。为增强安全性，铸造权限将由多签账户控制，需要托管银行多名授权人共同签名才能执行，以防单点妥协。</w:t>
      </w:r>
    </w:p>
    <w:p w14:paraId="18B32DD1">
      <w:pPr>
        <w:numPr>
          <w:ilvl w:val="0"/>
          <w:numId w:val="2"/>
        </w:numPr>
        <w:jc w:val="both"/>
      </w:pPr>
      <w:r>
        <w:rPr>
          <w:b/>
          <w:bCs/>
        </w:rPr>
        <w:t>跨链桥接合约：</w:t>
      </w:r>
      <w:r>
        <w:t>在Solana和Sui分别部署或接入跨链桥合约，用于处理HKD-S跨链转移。可能直接使用 Wormhole 提供的通用消息合约，也可能自建轻量桥。其职责是在用户锁定/烧毁代币时发出事件，并验证来自另一链的铸造授权消息。桥接合约和稳定币合约将配合，实现跨链转移时的原子操作：只有确认源链代币已锁定/销毁，目标链合约才铸造放行。所有跨链消息都会经过签名验证，安全性与成熟桥协议看齐。</w:t>
      </w:r>
    </w:p>
    <w:p w14:paraId="2CF16B11">
      <w:pPr>
        <w:numPr>
          <w:ilvl w:val="0"/>
          <w:numId w:val="2"/>
        </w:numPr>
        <w:jc w:val="both"/>
      </w:pPr>
      <w:r>
        <w:rPr>
          <w:b/>
          <w:bCs/>
        </w:rPr>
        <w:t>抵押借贷合约：</w:t>
      </w:r>
      <w:r>
        <w:t>部署在Solana和Sui上的借贷协议合约，实现用户抵押资产和借出HKD-S功能。由于两链智能合约语言不同，我们将分别开发兼容逻辑。例如在Sui上用Move编写抵押品管理、清算等模块，在Solana上用Rust编写对应程序。两者接口和参数保持一致，用户通过应用无需感知底层差异。借贷合约与稳定币合约交互：当用户借出HKD-S时，调用稳定币合约将相应数额转入用户地址；用户还款时，合约接收HKD-S并触发返还抵押品。风险参数（抵押率、利率等）由合约中的治理变量控制，可通过日后DAO治理投票调整。</w:t>
      </w:r>
    </w:p>
    <w:p w14:paraId="44A5313C">
      <w:pPr>
        <w:numPr>
          <w:ilvl w:val="0"/>
          <w:numId w:val="2"/>
        </w:numPr>
        <w:jc w:val="both"/>
      </w:pPr>
      <w:r>
        <w:rPr>
          <w:b/>
          <w:bCs/>
        </w:rPr>
        <w:t>收益池与定存合约：</w:t>
      </w:r>
      <w:r>
        <w:t>负责管理用户存入的HKD-S和计算收益。在链上，这类合约可能采用代币化凭证模式：用户存入一定HKD-S，合约铸造出代表其份额的收益凭证代币（例如HKD-S-earn）；退出时用户交回凭证换出HKD-S本金和收益。这样收益的结算和复利计算可以通过凭证价格增长来实现。定存合约类似，但增加了锁定期和提前赎回惩罚等逻辑。收益池合约定期根据外部收益情况调整凭证兑换率，并可调用稳定币合约将收益发放给用户或收取少量业绩费给平台。整个过程中资金流转公开可见。</w:t>
      </w:r>
    </w:p>
    <w:p w14:paraId="105E9E45">
      <w:pPr>
        <w:numPr>
          <w:ilvl w:val="0"/>
          <w:numId w:val="2"/>
        </w:numPr>
        <w:jc w:val="both"/>
      </w:pPr>
      <w:r>
        <w:rPr>
          <w:b/>
          <w:bCs/>
        </w:rPr>
        <w:t>NFT及投票合约：</w:t>
      </w:r>
      <w:r>
        <w:t>这些属于应用层的合约模块，如NFT铸造/转让合约、投票计数合约等。它们主要与稳定币合约交互来收取费用。比如用户发送NFT礼物时，合约会要求用户支付0.x HKD-S到平台收入地址，此操作通过调用稳定币合约完成扣款。投票合约可能会根据投票结果调用其他功能模块或者简单记录结果上链。</w:t>
      </w:r>
    </w:p>
    <w:p w14:paraId="18EA7DE2">
      <w:pPr>
        <w:ind w:firstLine="440" w:firstLineChars="200"/>
        <w:jc w:val="both"/>
      </w:pPr>
      <w:r>
        <w:t>上述合约模块在链上通过</w:t>
      </w:r>
      <w:r>
        <w:rPr>
          <w:b/>
          <w:bCs/>
        </w:rPr>
        <w:t>模块间调用和事件机制</w:t>
      </w:r>
      <w:r>
        <w:t>相互协作，共同实现完整业务流程。例如，当托管银行链下系统验证到账后，会通过预言机合约在链上触发铸币模块调用稳定币合约铸造；再如用户经由应用提交抵押借贷请求，应用后端整合用户签名后同时调用抵押合约和稳定币合约，先锁定抵押物再转出稳定币给用户，一系列操作通过原子交易确保一致性。Solana支持将多个指令打包在一个事务中提交，因此相关合约调用可以在一次交易内完成，保证操作要么全部成功要么全部失败，避免中间状态。Sui则支持对象间的批处理和事务隔离，也能实现类似效果。这些特性保证了跨模块交互的事务原子性和系统一致性。</w:t>
      </w:r>
    </w:p>
    <w:p w14:paraId="76EBFF25">
      <w:pPr>
        <w:ind w:firstLine="440" w:firstLineChars="200"/>
        <w:jc w:val="both"/>
      </w:pPr>
      <w:r>
        <w:t>值得一提的是，我们采用模块化架构设计，各功能合约相对独立但通过清晰接口通信。这不仅方便系统升级和维护（例如以后可以替换借贷模型或增加新功能模块），也有助于安全审计——每个合约可分别审计、逐个授权部署，减少单点复杂度。我们计划在主网上线前完成所有合约的第三方安全审计，并在测试网进行充分的模拟攻击测试，涵盖跨链消息篡改、利率操纵、重入攻击等潜在风险点，最大限度保证智能合约的安全可靠。</w:t>
      </w:r>
    </w:p>
    <w:p w14:paraId="56A8298C">
      <w:pPr>
        <w:pStyle w:val="3"/>
        <w:jc w:val="both"/>
      </w:pPr>
      <w:r>
        <w:rPr>
          <w:rFonts w:hint="eastAsia"/>
        </w:rPr>
        <w:t>2</w:t>
      </w:r>
      <w:r>
        <w:t xml:space="preserve"> 盈利商业模式</w:t>
      </w:r>
    </w:p>
    <w:p w14:paraId="0C4ECA7C">
      <w:pPr>
        <w:ind w:firstLine="440" w:firstLineChars="200"/>
        <w:jc w:val="both"/>
      </w:pPr>
      <w:r>
        <w:t>构建一个可持续的稳定币体系，离不开清晰的盈利模式支撑。HKD-S稳定币系统将在保证用户低成本使用的前提下，通过多种途径获取收入，以覆盖运营成本并为投资者创造回报。以下分项阐述主要盈利来源：</w:t>
      </w:r>
    </w:p>
    <w:p w14:paraId="45BABCBB">
      <w:pPr>
        <w:pStyle w:val="4"/>
        <w:jc w:val="both"/>
      </w:pPr>
      <w:r>
        <w:rPr>
          <w:rFonts w:hint="eastAsia"/>
        </w:rPr>
        <w:t>2</w:t>
      </w:r>
      <w:r>
        <w:t>.1 铸造与赎回手续费</w:t>
      </w:r>
    </w:p>
    <w:p w14:paraId="27E728ED">
      <w:pPr>
        <w:ind w:firstLine="440" w:firstLineChars="200"/>
        <w:jc w:val="both"/>
      </w:pPr>
      <w:r>
        <w:t>稳定币铸造/赎回手续费是传统稳定币发行人的基本收入来源之一。当机构或大额客户申请铸造或赎回HKD-S时，平台可收取一定比例的手续费。如每笔0.1%-0.2%铸造或赎回金额，或设定最低固定费用。这笔费用用于覆盖银行转账、合规审核等成本，并弥补小额交易免费服务的开销。例如，用户充值100万港元铸造HKD-S，按0.1%费率将支付1,000港元手续费；若赎回则类似。相比传统跨境汇款的手续费，这一费用仍属低廉，可以被大部分用户接受。需要注意，根据香港《稳定币条例》，</w:t>
      </w:r>
      <w:r>
        <w:rPr>
          <w:b/>
          <w:bCs/>
        </w:rPr>
        <w:t>不允许对一般用户的赎回收取费用</w:t>
      </w:r>
      <w:r>
        <w:t>以避免将稳定币变相为有成本的存款。因此，我们会针对普通散户用户实行免费赎回政策，将手续费主要针对机构、频繁大额兑换者收取，并事先在用户协议中披露清楚。这部分收入规模取决于稳定币流通量和进出频率。预计在体系成熟后，年度铸赎总额可达流通市值的若干倍，如市值10亿港元，年铸赎或有20-30亿港元，则按0.1%费率年收入可达数百万港元。我们将根据市场竞争情况动态调整费率，在吸引用户和确保收入之间取得平衡（必要时可阶段性免除小额兑换费以推广）。总之，铸造/赎回手续费作为基础收入，既直接反映了稳定币使用量的增长，也在一定程度上调节着用户行为（例如避免系统被大量频繁套利交易滥用）。</w:t>
      </w:r>
    </w:p>
    <w:p w14:paraId="6A19E183">
      <w:pPr>
        <w:pStyle w:val="4"/>
        <w:jc w:val="both"/>
      </w:pPr>
      <w:r>
        <w:rPr>
          <w:rFonts w:hint="eastAsia"/>
        </w:rPr>
        <w:t>2</w:t>
      </w:r>
      <w:r>
        <w:t>.2 抵押借贷利息收入</w:t>
      </w:r>
    </w:p>
    <w:p w14:paraId="7DED617C">
      <w:pPr>
        <w:ind w:firstLine="440" w:firstLineChars="200"/>
        <w:jc w:val="both"/>
      </w:pPr>
      <w:r>
        <w:t>用户使用平台提供的抵押借贷服务，将为平台带来持续的利息收益。当用户抵押加密资产借出HKD-S时，需按借贷合约约定利率定期支付利息。例如年利率5%或更高，具体根据市场和抵押物风险评估决定。平台作为借出资金的提供方（或撮合方），可以将其中一部分利息收入计为利润。假设系统内抵押贷款余额达到1亿港元，平均利率5%，那么每年产生的利息总额500万港元中，可有一定比例（例如20-30%）归平台所有，其余大部分可用于奖励存入资金的出借用户或进入收益池再分配。与传统银行类似，这形成了</w:t>
      </w:r>
      <w:r>
        <w:rPr>
          <w:b/>
          <w:bCs/>
        </w:rPr>
        <w:t>利差收入</w:t>
      </w:r>
      <w:r>
        <w:t>模式：用户借款利率减去出资方（存款用户或资金池）的利率差即为平台收益。例如平台吸引部分用户将HKD-S存入借贷池赚取3%年息，同时将这笔资金贷给借方收取5%，则中间2%的利差归平台。平台承担了一定的风险管理和清算职责，因此收取利差合情合理。随着借贷业务规模扩大，此项收入有望成为主要收入来源之一。尤其对于企业用户而言，能够用加密资产快速获得港元稳定币贷款具有相当吸引力，平台可针对这部分客户定制服务并适当提高费率。需要强调，我们会严格控制借贷风险，确保借出资金不超过体系可承受范围，并建立保险基金防范极端清算损失——只有这样利息收入才是可持续的。</w:t>
      </w:r>
    </w:p>
    <w:p w14:paraId="16C1DEC4">
      <w:pPr>
        <w:pStyle w:val="4"/>
        <w:jc w:val="both"/>
      </w:pPr>
      <w:r>
        <w:rPr>
          <w:rFonts w:hint="eastAsia"/>
        </w:rPr>
        <w:t>2</w:t>
      </w:r>
      <w:r>
        <w:t>.3 稳定币流动性池管理与利差套利</w:t>
      </w:r>
    </w:p>
    <w:p w14:paraId="268BBD7A">
      <w:pPr>
        <w:ind w:firstLine="440" w:firstLineChars="200"/>
        <w:jc w:val="both"/>
      </w:pPr>
      <w:commentRangeStart w:id="1"/>
      <w:r>
        <w:t>作为稳定币发行方，平台有独特优势参与二级市场的流动性管理和套利，以获取收益。一方面，我们将投入自有资金在各大去中心化交易所（DEX）和做市平台为HKD-S提供流动性。如在Solana链上的Saber或Sui上的相关AMM池中，与USDC、USDT等稳定币组成交易对。当用户在这些平台交换HKD-S时，平台作为流动性提供者可赚取交易手续费分成。此外，通过持续监控市场价格，我们的做市算法可以适时调整报价，</w:t>
      </w:r>
      <w:r>
        <w:rPr>
          <w:b/>
          <w:bCs/>
        </w:rPr>
        <w:t>利用价差获得额外盈利</w:t>
      </w:r>
      <w:r>
        <w:t>。例如，当HKD-S在某交易池中因供需失衡小幅跌至0.99港元，平台算法会买入并待其回调至1.00时卖出，完成一次套利赚取0.01差价。同时平台也可以在自己体系内实现无风险套利：当某链HKD-S价格低于1，直接购入并通过赎回机制向托管银行兑换1港元，实现套利；反之价格高时，铸造抛售。虽然公开市场上第三方套利者也会执行类似操作，但作为发行方，我们拥有更快的响应速度和成本优势，可以在一定程度上扮演“最后的做市商”角色，维持锚定的同时顺带获利。这方面收入和稳定币的市场深度、波动性相关。流动性管理良好时，HKD-S价格波动微小，套利空间有限；但在波动较大或流动性暂时不足时，平台介入可以既稳定市场又获取可观收益。当然，市场套利机会不可预测，我们定位这块为辅助手段，</w:t>
      </w:r>
      <w:r>
        <w:rPr>
          <w:b/>
          <w:bCs/>
        </w:rPr>
        <w:t>优先目标是维持币值稳定</w:t>
      </w:r>
      <w:r>
        <w:t>，收益只是附带的。我们将建立专业交易团队和自动做市机器人，7x24小时监控各链和中心化交易所HKD-S行情，审慎开展套利交易，既避免操纵嫌疑又充分利用市场机会。</w:t>
      </w:r>
      <w:commentRangeEnd w:id="1"/>
      <w:r>
        <w:commentReference w:id="1"/>
      </w:r>
    </w:p>
    <w:p w14:paraId="59F0B49B">
      <w:pPr>
        <w:pStyle w:val="4"/>
        <w:jc w:val="both"/>
      </w:pPr>
      <w:r>
        <w:t>2.4 RWA资产收益分润模型</w:t>
      </w:r>
    </w:p>
    <w:p w14:paraId="024D7C7F">
      <w:pPr>
        <w:ind w:firstLine="440" w:firstLineChars="200"/>
        <w:jc w:val="both"/>
      </w:pPr>
      <w:r>
        <w:t>如前文所述，HKD-S的储备大部分将投资于稳健的现实世界资产（RWA），例如港元定期存款、政府债券等。这些资产本身会产生利息或收益。例如2023-2024年间香港3个月国库券利率约在4%左右，银行存款利率1-2%不等。如果我们持有10亿港元储备，按平均年化3%的收益率计算，每年将有约3000万港元的利息收入。这笔收益是发行稳定币的重要利润来源之一。我们计划采用</w:t>
      </w:r>
      <w:r>
        <w:rPr>
          <w:b/>
          <w:bCs/>
        </w:rPr>
        <w:t>分润模型</w:t>
      </w:r>
      <w:r>
        <w:t>进行合理分配：首先，优先用于覆盖运营成本（如托管费、系统维护、人力等）以及风险准备金提取；其次，可拿出一定比例反馈给稳定币的持有者或生态用户（例如通过收益池利息形式发放，增强用户黏性）；剩余部分则作为平台利润回报给投资人或用于再投入扩大业务。这样既确保稳定币项目自身可持续，又给予用户分享生态成长红利的机会。一些成熟稳定币发行商（如USDC发行方Circle）也采取类似模式，将储备利息作为主要盈利点。在香港监管环境下，我们需注意不直接向普通持币用户承诺收益以规避存款定义，但可以通过生态回馈等方式间接实现。例如，用部分储备利息设立用户激励基金，支持HKD-S在支付、跨境贸易中的推广，通过投放补贴等形式返利用户。这在账面上计入市场推广开支，但本质来源于储备收益。随着稳定币流通规模扩大，储备规模增加，RWA收益也将水涨船高。可以预见，在港元利率较高的年份，储备利息可能成为收入的</w:t>
      </w:r>
      <w:r>
        <w:rPr>
          <w:b/>
          <w:bCs/>
        </w:rPr>
        <w:t>压舱石</w:t>
      </w:r>
      <w:r>
        <w:t>。我们会建立信息披露制度，定期公布储备资产的收益情况和分配比例，确保持有人和投资者知情权。从长远看，若法规允许，我们也考虑推出</w:t>
      </w:r>
      <w:r>
        <w:rPr>
          <w:b/>
          <w:bCs/>
        </w:rPr>
        <w:t>收益型稳定币</w:t>
      </w:r>
      <w:r>
        <w:t>或代币化货币基金产品，将这部分利息收益直接通过新代币分发给投资者，类似基金份额。这需要额外牌照支持，在合规可行时再行推进。</w:t>
      </w:r>
    </w:p>
    <w:p w14:paraId="71ADD3F9">
      <w:pPr>
        <w:pStyle w:val="4"/>
        <w:jc w:val="both"/>
      </w:pPr>
      <w:r>
        <w:rPr>
          <w:rFonts w:hint="eastAsia"/>
        </w:rPr>
        <w:t>2</w:t>
      </w:r>
      <w:r>
        <w:t xml:space="preserve">.5 </w:t>
      </w:r>
      <w:commentRangeStart w:id="2"/>
      <w:r>
        <w:t>通信系统</w:t>
      </w:r>
      <w:commentRangeEnd w:id="2"/>
      <w:r>
        <w:commentReference w:id="2"/>
      </w:r>
      <w:r>
        <w:t>内手续费</w:t>
      </w:r>
    </w:p>
    <w:p w14:paraId="34A9EE5F">
      <w:pPr>
        <w:ind w:firstLine="440" w:firstLineChars="200"/>
        <w:jc w:val="both"/>
      </w:pPr>
      <w:r>
        <w:t>匿名通信钱包应用内的各项增值服务将产生大量微额交易手续费，聚沙成塔亦是一笔可观收入来源。具体包括：</w:t>
      </w:r>
      <w:r>
        <w:rPr>
          <w:b/>
          <w:bCs/>
        </w:rPr>
        <w:t>转账手续费</w:t>
      </w:r>
      <w:r>
        <w:t>——虽然好友间小额转账大部分免费，但超过一定额度或高频调用区块链转账接口的情况，可收取每笔0.01 HKD-S左右的网络费；</w:t>
      </w:r>
      <w:r>
        <w:rPr>
          <w:b/>
          <w:bCs/>
        </w:rPr>
        <w:t>群组投票手续费</w:t>
      </w:r>
      <w:r>
        <w:t>——群主发起一次付费投票可能收取固定1 HKD-S的创建费，用于避免垃圾投票；</w:t>
      </w:r>
      <w:r>
        <w:rPr>
          <w:b/>
          <w:bCs/>
        </w:rPr>
        <w:t>NFT赠礼手续费</w:t>
      </w:r>
      <w:r>
        <w:t>——用户购买NFT礼物时，加价收取少许平台服务费，如礼物价值5 HKD-S，则实际支付5.5 HKD-S，其中0.5为平台所得；</w:t>
      </w:r>
      <w:r>
        <w:rPr>
          <w:b/>
          <w:bCs/>
        </w:rPr>
        <w:t>数字商品交易佣金</w:t>
      </w:r>
      <w:r>
        <w:t>——未来若开放聊天内置的数字商品交易市场（如贴纸、表情包、数字藏品交易），平台对每笔成交收取比如2%—5%的佣金，以HKD-S结算。这些手续费单笔金额微小，但胜在笔数巨大、高频日常发生。例如假设日均有10万次各类小额操作，每次平均手续费0.02港元，则日收入2000港元，月度约6万，用户量扩大后数字会更可观。而这些费用的边际成本很低，多为智能合约自动收取，几乎纯利润。我们将谨慎设置收费项和费率，在不影响用户体验的前提下实现“细水长流”。对于普通用户感知明显的收费会有相应提示和免费额度策略，防止因过度收费流失用户。在监管上，此类手续费属于平台提供增值服务的正常收入，不涉及金融利率或证券事项，具备合规性。这块收入随着生态活跃度提升而增长，也是我们专注打造良好用户体验的动力所在——用户越活跃，平台收益越多，形成良性循环。</w:t>
      </w:r>
    </w:p>
    <w:p w14:paraId="762A871A">
      <w:pPr>
        <w:pStyle w:val="4"/>
        <w:jc w:val="both"/>
      </w:pPr>
      <w:r>
        <w:rPr>
          <w:rFonts w:hint="eastAsia"/>
        </w:rPr>
        <w:t>2</w:t>
      </w:r>
      <w:r>
        <w:t>.6 企业开放API/SDK及身份验证增值服务</w:t>
      </w:r>
    </w:p>
    <w:p w14:paraId="588DF36B">
      <w:pPr>
        <w:ind w:firstLine="440" w:firstLineChars="200"/>
        <w:jc w:val="both"/>
      </w:pPr>
      <w:r>
        <w:t>最后，面向企业和商业伙伴的增值服务也是重要的盈利点。我们将构建完善的</w:t>
      </w:r>
      <w:r>
        <w:rPr>
          <w:b/>
          <w:bCs/>
        </w:rPr>
        <w:t>开发者API和SDK</w:t>
      </w:r>
      <w:r>
        <w:t>，使其他企业或开发者可以将HKD-S稳定币集成到自己系统中。例如电商平台可通过API接受HKD-S支付，金融机构可接入查询链上交易或发起批量转账等。对于一般性API调用，我们可能按调用次数或交易量收费；对于深度定制合作（如帮助银行对接我们的跨链转账系统），则采取项目式收费或收取技术服务费。随着香港及大湾区对稳定币的兴趣上升，许多传统企业希望利用稳定币提高跨境结算效率。我们可以为其提供</w:t>
      </w:r>
      <w:r>
        <w:rPr>
          <w:b/>
          <w:bCs/>
        </w:rPr>
        <w:t>白标钱包解决方案</w:t>
      </w:r>
      <w:r>
        <w:t>或</w:t>
      </w:r>
      <w:r>
        <w:rPr>
          <w:b/>
          <w:bCs/>
        </w:rPr>
        <w:t>支付网关接口</w:t>
      </w:r>
      <w:r>
        <w:t>，按年订阅或交易额提成收费。这实际上将我们的基础设施当作服务（Stablecoin as a Service）输出，潜在市场广阔。</w:t>
      </w:r>
    </w:p>
    <w:p w14:paraId="58C03D31">
      <w:pPr>
        <w:ind w:firstLine="440" w:firstLineChars="200"/>
        <w:jc w:val="both"/>
      </w:pPr>
      <w:r>
        <w:t>另一个企业服务方向是</w:t>
      </w:r>
      <w:r>
        <w:rPr>
          <w:b/>
          <w:bCs/>
        </w:rPr>
        <w:t>身份认证和合规支持</w:t>
      </w:r>
      <w:r>
        <w:t>。匿名通信应用本身强调用户匿名，但在需要时也允许用户自愿完成KYC实名。我们可开发一种链上身份验证凭证（如Soulbound Token）来标识经过认证的用户身份属性，而不暴露具体隐私数据。企业客户若希望验证某用户的信用或身份（在用户授权下），可通过我们的验证服务接口获取结果。对此类身份验证请求，我们可向发起企业收取每次查询费用或认证套餐费。这类似传统征信服务，只不过基于区块链的可信验证。同时，针对金融机构客户，我们可输出我们的AML风控系统能力，帮助他们监测链上可疑交易，收取软件授权费。</w:t>
      </w:r>
    </w:p>
    <w:p w14:paraId="61F85B2A">
      <w:pPr>
        <w:ind w:firstLine="440" w:firstLineChars="200"/>
        <w:jc w:val="both"/>
      </w:pPr>
      <w:r>
        <w:t>最后，在合规许可下，我们甚至可以与港府合作，充当eHKD（数字港元）项目的技术支持方或分销渠道。一旦香港金管局推行官方数字港元，我们的系统和用户基础可成为其生态有益补充，为此获得政府合约收入。但这属于延伸设想，非目前商业模式核心。</w:t>
      </w:r>
    </w:p>
    <w:p w14:paraId="0FCE3659">
      <w:pPr>
        <w:ind w:firstLine="440" w:firstLineChars="200"/>
        <w:jc w:val="both"/>
      </w:pPr>
      <w:r>
        <w:t>综上，企业服务板块通过技术输出、定制开发和合规支持多维度变现。相较C端收费，B端合作往往单笔金额更高、周期更长，能为平台提供稳定现金流。我们将积极拓展与各类机构的合作，</w:t>
      </w:r>
      <w:r>
        <w:rPr>
          <w:b/>
          <w:bCs/>
        </w:rPr>
        <w:t>以香港为起点</w:t>
      </w:r>
      <w:r>
        <w:t>，辐射粤港澳大湾区乃至东南亚地区。例如，协助内地企业通过我们的稳定币在港进行RWA融资和跨境贸易结算，为其提供一站式技术+合规解决方案并收取服务费。这契合香港推动稳定币与实体经济融合的大方向，市场前景广阔。</w:t>
      </w:r>
    </w:p>
    <w:p w14:paraId="7507B0DF">
      <w:pPr>
        <w:pStyle w:val="3"/>
        <w:jc w:val="both"/>
      </w:pPr>
      <w:r>
        <w:rPr>
          <w:rFonts w:hint="eastAsia"/>
        </w:rPr>
        <w:t>3</w:t>
      </w:r>
      <w:r>
        <w:t xml:space="preserve"> 运维管理</w:t>
      </w:r>
    </w:p>
    <w:p w14:paraId="43195239">
      <w:pPr>
        <w:pStyle w:val="4"/>
        <w:jc w:val="both"/>
      </w:pPr>
      <w:r>
        <w:rPr>
          <w:rFonts w:hint="eastAsia"/>
        </w:rPr>
        <w:t>3</w:t>
      </w:r>
      <w:r>
        <w:t>.1 系统组成</w:t>
      </w:r>
    </w:p>
    <w:p w14:paraId="3D742E3F">
      <w:pPr>
        <w:jc w:val="both"/>
      </w:pPr>
      <w:r>
        <w:rPr>
          <w:b/>
          <w:bCs/>
        </w:rPr>
        <w:t>1 链上合约系统</w:t>
      </w:r>
    </w:p>
    <w:p w14:paraId="2D1F030D">
      <w:pPr>
        <w:ind w:firstLine="440" w:firstLineChars="200"/>
        <w:jc w:val="both"/>
      </w:pPr>
      <w:r>
        <w:t>稳定币核心合约（铸造、销毁、转账、授权）</w:t>
      </w:r>
    </w:p>
    <w:p w14:paraId="19C4CD3C">
      <w:pPr>
        <w:ind w:firstLine="440" w:firstLineChars="200"/>
        <w:jc w:val="both"/>
      </w:pPr>
      <w:r>
        <w:t>监管控制模块（冻结、暂停、黑名单、白名单）</w:t>
      </w:r>
    </w:p>
    <w:p w14:paraId="2E024386">
      <w:pPr>
        <w:ind w:firstLine="440" w:firstLineChars="200"/>
        <w:jc w:val="both"/>
      </w:pPr>
      <w:r>
        <w:t>角色与权限控制（合约管理员、铸币员、赎回人等）</w:t>
      </w:r>
    </w:p>
    <w:p w14:paraId="27E54585">
      <w:pPr>
        <w:ind w:firstLine="440" w:firstLineChars="200"/>
        <w:jc w:val="both"/>
      </w:pPr>
      <w:r>
        <w:t>注册与身份绑定系统（KYC/AML认证数据同步）</w:t>
      </w:r>
    </w:p>
    <w:p w14:paraId="21A8D0FE">
      <w:pPr>
        <w:jc w:val="both"/>
      </w:pPr>
      <w:r>
        <w:rPr>
          <w:b/>
          <w:bCs/>
        </w:rPr>
        <w:t>2 链下支持系统</w:t>
      </w:r>
    </w:p>
    <w:p w14:paraId="6466534C">
      <w:pPr>
        <w:ind w:firstLine="440" w:firstLineChars="200"/>
        <w:jc w:val="both"/>
      </w:pPr>
      <w:r>
        <w:t>KYC 服务（接入 SFC、HKMA 认可的身份验证供应商）</w:t>
      </w:r>
    </w:p>
    <w:p w14:paraId="44967F33">
      <w:pPr>
        <w:ind w:firstLine="440" w:firstLineChars="200"/>
        <w:jc w:val="both"/>
      </w:pPr>
      <w:r>
        <w:t>托管账户接口（连接本地银行或金融机构）</w:t>
      </w:r>
    </w:p>
    <w:p w14:paraId="5C9A9347">
      <w:pPr>
        <w:ind w:firstLine="440" w:firstLineChars="200"/>
        <w:jc w:val="both"/>
      </w:pPr>
      <w:r>
        <w:t>监控与告警服务（合约异常、资金流动监测）</w:t>
      </w:r>
    </w:p>
    <w:p w14:paraId="3110FD23">
      <w:pPr>
        <w:jc w:val="both"/>
      </w:pPr>
      <w:r>
        <w:rPr>
          <w:b/>
          <w:bCs/>
        </w:rPr>
        <w:t>3 桥接与跨链模块</w:t>
      </w:r>
    </w:p>
    <w:p w14:paraId="73CBE23B">
      <w:pPr>
        <w:ind w:firstLine="440" w:firstLineChars="200"/>
        <w:jc w:val="both"/>
      </w:pPr>
      <w:r>
        <w:t>跨链发行、Burn-Mint 模式同步（使用Wormhole 等）</w:t>
      </w:r>
    </w:p>
    <w:p w14:paraId="6FB2EC50">
      <w:pPr>
        <w:ind w:firstLine="440" w:firstLineChars="200"/>
        <w:jc w:val="both"/>
      </w:pPr>
      <w:r>
        <w:t>防重复铸币机制与中继验证者管理</w:t>
      </w:r>
    </w:p>
    <w:p w14:paraId="3E20B512">
      <w:pPr>
        <w:pStyle w:val="4"/>
        <w:jc w:val="both"/>
      </w:pPr>
      <w:r>
        <w:rPr>
          <w:rFonts w:hint="eastAsia"/>
          <w:bCs/>
        </w:rPr>
        <w:t>3</w:t>
      </w:r>
      <w:r>
        <w:rPr>
          <w:bCs/>
        </w:rPr>
        <w:t>.2 运维策略与职责分工</w:t>
      </w:r>
    </w:p>
    <w:p w14:paraId="07CF3EB2">
      <w:pPr>
        <w:ind w:firstLine="440" w:firstLineChars="200"/>
        <w:jc w:val="both"/>
      </w:pPr>
      <w:r>
        <w:rPr>
          <w:b/>
          <w:bCs/>
        </w:rPr>
        <w:t>合约管理员</w:t>
      </w:r>
      <w:r>
        <w:t>：拥有紧急暂停、权限管理、合约升级权利，仅可通过多签控制（如 Gnosis Safe）。</w:t>
      </w:r>
    </w:p>
    <w:p w14:paraId="34A4ED42">
      <w:pPr>
        <w:ind w:firstLine="440" w:firstLineChars="200"/>
        <w:jc w:val="both"/>
      </w:pPr>
      <w:r>
        <w:rPr>
          <w:b/>
          <w:bCs/>
        </w:rPr>
        <w:t>合规运营人员</w:t>
      </w:r>
      <w:r>
        <w:t>：负责 KYC 审核、异常交易上报、黑名单维护等操作。</w:t>
      </w:r>
    </w:p>
    <w:p w14:paraId="362ED877">
      <w:pPr>
        <w:ind w:firstLine="440" w:firstLineChars="200"/>
        <w:jc w:val="both"/>
      </w:pPr>
      <w:r>
        <w:rPr>
          <w:b/>
          <w:bCs/>
        </w:rPr>
        <w:t>系统维护员</w:t>
      </w:r>
      <w:r>
        <w:t>：负责链上与链下系统监控、节点维护、安全升级。</w:t>
      </w:r>
    </w:p>
    <w:p w14:paraId="3E331EC1">
      <w:pPr>
        <w:ind w:firstLine="440" w:firstLineChars="200"/>
        <w:jc w:val="both"/>
      </w:pPr>
      <w:r>
        <w:rPr>
          <w:b/>
          <w:bCs/>
        </w:rPr>
        <w:t>多签与权限安全：</w:t>
      </w:r>
      <w:r>
        <w:t>合约升级、管理员变更、资金迁移必须经 ≥2/3 多签完成。多签地址由独立的运营、技术、安全团队成员分别控制，确保分权。</w:t>
      </w:r>
    </w:p>
    <w:p w14:paraId="4A2F9D91">
      <w:pPr>
        <w:pStyle w:val="4"/>
        <w:jc w:val="both"/>
      </w:pPr>
      <w:r>
        <w:rPr>
          <w:rFonts w:hint="eastAsia"/>
          <w:bCs/>
        </w:rPr>
        <w:t>3</w:t>
      </w:r>
      <w:r>
        <w:rPr>
          <w:bCs/>
        </w:rPr>
        <w:t>.3 技术维护与监控</w:t>
      </w:r>
    </w:p>
    <w:p w14:paraId="1FBC9A25">
      <w:pPr>
        <w:jc w:val="both"/>
      </w:pPr>
      <w:r>
        <w:rPr>
          <w:b/>
          <w:bCs/>
        </w:rPr>
        <w:t>1 合约状态监控</w:t>
      </w:r>
    </w:p>
    <w:p w14:paraId="21724872">
      <w:pPr>
        <w:numPr>
          <w:ilvl w:val="0"/>
          <w:numId w:val="2"/>
        </w:numPr>
        <w:jc w:val="both"/>
      </w:pPr>
      <w:r>
        <w:t>实时监控合约事件（Transfer、Mint、Burn、Pause、Unpause、Blacklist 等），搭建仪表盘展示。</w:t>
      </w:r>
    </w:p>
    <w:p w14:paraId="3852106F">
      <w:pPr>
        <w:numPr>
          <w:ilvl w:val="0"/>
          <w:numId w:val="2"/>
        </w:numPr>
        <w:jc w:val="both"/>
      </w:pPr>
      <w:r>
        <w:t>异常监测脚本包括：</w:t>
      </w:r>
    </w:p>
    <w:p w14:paraId="3F4D560E">
      <w:pPr>
        <w:ind w:left="420"/>
        <w:jc w:val="both"/>
      </w:pPr>
      <w:r>
        <w:t>大额转账监控（超过设定阈值触发）</w:t>
      </w:r>
    </w:p>
    <w:p w14:paraId="14EB27DD">
      <w:pPr>
        <w:ind w:left="420"/>
        <w:jc w:val="both"/>
      </w:pPr>
      <w:r>
        <w:t>高频交易检测</w:t>
      </w:r>
    </w:p>
    <w:p w14:paraId="1C64F56C">
      <w:pPr>
        <w:ind w:left="420"/>
        <w:jc w:val="both"/>
      </w:pPr>
      <w:r>
        <w:t>可疑地址交互行为（如与已冻结地址反复交易）</w:t>
      </w:r>
    </w:p>
    <w:p w14:paraId="6827E32F">
      <w:pPr>
        <w:jc w:val="both"/>
      </w:pPr>
      <w:r>
        <w:rPr>
          <w:b/>
          <w:bCs/>
        </w:rPr>
        <w:t>2 网络与节点运维</w:t>
      </w:r>
    </w:p>
    <w:p w14:paraId="5D436FB1">
      <w:pPr>
        <w:numPr>
          <w:ilvl w:val="0"/>
          <w:numId w:val="2"/>
        </w:numPr>
        <w:jc w:val="both"/>
      </w:pPr>
      <w:r>
        <w:t>自建节点：需每日自动备份、节点证书轮换、区块延迟报警。</w:t>
      </w:r>
    </w:p>
    <w:p w14:paraId="7F20CF89">
      <w:pPr>
        <w:numPr>
          <w:ilvl w:val="0"/>
          <w:numId w:val="2"/>
        </w:numPr>
        <w:jc w:val="both"/>
      </w:pPr>
      <w:r>
        <w:t>托管节点（RPC提供商）：需与服务商签订 SLA，确保 ≥99.9% 可用性，并定期验证交易广播与接收一致性。</w:t>
      </w:r>
    </w:p>
    <w:p w14:paraId="28C6ACBD">
      <w:pPr>
        <w:jc w:val="both"/>
      </w:pPr>
      <w:r>
        <w:rPr>
          <w:b/>
          <w:bCs/>
        </w:rPr>
        <w:t>3 合约升级与变更</w:t>
      </w:r>
    </w:p>
    <w:p w14:paraId="68DD8CC6">
      <w:pPr>
        <w:numPr>
          <w:ilvl w:val="0"/>
          <w:numId w:val="2"/>
        </w:numPr>
        <w:jc w:val="both"/>
      </w:pPr>
      <w:r>
        <w:t>使用代理合约（UUPS 或 Transparent Proxy）进行逻辑升级。</w:t>
      </w:r>
    </w:p>
    <w:p w14:paraId="166E7806">
      <w:pPr>
        <w:numPr>
          <w:ilvl w:val="0"/>
          <w:numId w:val="2"/>
        </w:numPr>
        <w:jc w:val="both"/>
      </w:pPr>
      <w:r>
        <w:t>所有合约变更必须经过以下流程：</w:t>
      </w:r>
    </w:p>
    <w:p w14:paraId="26FF4DD5">
      <w:pPr>
        <w:ind w:left="420"/>
        <w:jc w:val="both"/>
      </w:pPr>
      <w:r>
        <w:t>代码审计报告（由独立第三方出具）</w:t>
      </w:r>
    </w:p>
    <w:p w14:paraId="2B599B14">
      <w:pPr>
        <w:ind w:left="420"/>
        <w:jc w:val="both"/>
      </w:pPr>
      <w:r>
        <w:t>DAO 或理事会表决</w:t>
      </w:r>
    </w:p>
    <w:p w14:paraId="279F18AC">
      <w:pPr>
        <w:ind w:left="420"/>
        <w:jc w:val="both"/>
      </w:pPr>
      <w:r>
        <w:t>多签确认后部署升级逻辑</w:t>
      </w:r>
    </w:p>
    <w:p w14:paraId="1D824020">
      <w:pPr>
        <w:jc w:val="both"/>
      </w:pPr>
      <w:r>
        <w:rPr>
          <w:b/>
          <w:bCs/>
        </w:rPr>
        <w:t>4 合约代码安全</w:t>
      </w:r>
    </w:p>
    <w:p w14:paraId="28E2C399">
      <w:pPr>
        <w:numPr>
          <w:ilvl w:val="0"/>
          <w:numId w:val="2"/>
        </w:numPr>
        <w:jc w:val="both"/>
      </w:pPr>
      <w:r>
        <w:t>对于所编写和部署的智能合约，需要进行智能合约的漏洞安全检测。</w:t>
      </w:r>
    </w:p>
    <w:p w14:paraId="1E76925C">
      <w:pPr>
        <w:numPr>
          <w:ilvl w:val="0"/>
          <w:numId w:val="2"/>
        </w:numPr>
        <w:jc w:val="both"/>
      </w:pPr>
      <w:r>
        <w:t>进行业务逻辑闭环检测。</w:t>
      </w:r>
    </w:p>
    <w:p w14:paraId="45D99BBA">
      <w:pPr>
        <w:pStyle w:val="3"/>
        <w:jc w:val="both"/>
      </w:pPr>
      <w:r>
        <w:rPr>
          <w:rFonts w:hint="eastAsia"/>
        </w:rPr>
        <w:t>4</w:t>
      </w:r>
      <w:r>
        <w:t xml:space="preserve"> 监管合规与风险管理</w:t>
      </w:r>
    </w:p>
    <w:p w14:paraId="48381346">
      <w:pPr>
        <w:ind w:firstLine="440" w:firstLineChars="200"/>
        <w:jc w:val="both"/>
      </w:pPr>
      <w:r>
        <w:t>作为一款锚定法币的稳定币系统，合规运营和风险管控是成功的基石。我们深知必须严格遵守香港及相关司法管辖区的法规要求，并积极配合监管，才能赢得长期信任。以下从监管牌照、储备管理、用户保护等方面说明本项目的合规和风控措施：</w:t>
      </w:r>
    </w:p>
    <w:p w14:paraId="2A484311">
      <w:pPr>
        <w:ind w:firstLine="440" w:firstLineChars="200"/>
        <w:jc w:val="both"/>
      </w:pPr>
      <w:r>
        <w:t>牌照申请及主体合规：根据香港金管局发布的稳定币监管框架，发行人须在港设立实体公司并申请稳定币发行牌照。我们已启动在香港成立专项公司，并计划在《稳定币条例》正式生效（2025年8月）后立即递交牌照申请。公司将满足最低实缴资本2500万港元的要求（若与持牌银行合作可豁免），并已物色具备经验且常驻香港的管理团队成员担任CEO、风控负责人等关键职位。我们深知牌照审批强调申请人的治理和履约能力，因此董事会和高管层会配备在传统金融和加密领域均有经验的专业人士，确保业务稳健开展。在境外市场，如需，我们也将分别寻求当地监管认可（例如新加坡的数字支付代币牌照）以合法展业。</w:t>
      </w:r>
    </w:p>
    <w:p w14:paraId="3141A676">
      <w:pPr>
        <w:ind w:firstLine="440" w:firstLineChars="200"/>
        <w:jc w:val="both"/>
      </w:pPr>
      <w:r>
        <w:t>储备托管与信息披露：</w:t>
      </w:r>
      <w:r>
        <w:rPr>
          <w:b/>
          <w:bCs/>
        </w:rPr>
        <w:t>我们承诺严格按监管要求管理储备资产：100%等值港元资产储备，存放于香港持牌银行的独立托管账户，与发行主体资产隔离。我们将与知名会计师事务所合作，建立月度的储备审阅和年度的审计制度，审计报告将向公众公布。储备的构成、市值及流动性信息也会定期在官方网站披露，接受公众监督。</w:t>
      </w:r>
      <w:r>
        <w:t>同时，我们计划引入链上储备证明（Proof of Reserve）方案：定期由托管银行出具储备账户余额证明，生成哈希上链存证，用户可比对发行的稳定币总量验证1:1覆盖。这种透明度将远高于传统银行体系的披露频率，增强用户信心。另外，遵循监管规定，我们不会将储备挪作高风险投资或作为公司抵押品——储备资产仅投资于条例允许的“优质高流动性”范围，并留足现金头寸以应对挤兑需求。我们也不会在未获监管许可情况下将储备收益分配给稳定币持有人，避免将稳定币运作成类似存款或证券产品。</w:t>
      </w:r>
    </w:p>
    <w:p w14:paraId="3E9BDB0D">
      <w:pPr>
        <w:ind w:firstLine="440" w:firstLineChars="200"/>
        <w:jc w:val="both"/>
      </w:pPr>
      <w:r>
        <w:rPr>
          <w:b/>
          <w:bCs/>
        </w:rPr>
        <w:t>用户权益保护：对于用户的每一笔铸造和赎回申请，我们都将建立明确、简便的流程保障用户权益。依据条例，用户有权在T+1内无条件按1:1赎回，我们将力争做到更快（例如T+0当日划转）。同时，我们制定了用户协议</w:t>
      </w:r>
      <w:r>
        <w:t>，清楚载明稳定币的性质、可能风险（如价格波动、链上风险）、用户权利义务等。在匿名性方面，我们采取“小额匿名、大额实名”的分级模式：一定额度以下的交易可在应用内匿名完成，但一旦涉及法币出入或金额较大，我们将要求用户进行适当的身份验证（如KYC）并保存交易记录，以符合法例的反洗钱（AML）和反恐融资（CFT）要求。所有用户数据和交易信息将按照香港个人隐私条例安全存储，仅在符合法律程序的情况下（例如执法调查）提供给监管。我们也将加入香港金管局倡议的稳定币持有人保障计划，如建立应急兑付基金或参与行业互助协议，万一出现极端情况（例如发行人破产），用户有机会通过该机制获得赔付。总之，我们在设计上既尊重用户匿名需求，又确保不违反监管关于KYC/可追溯的底线要求，力求取得</w:t>
      </w:r>
      <w:r>
        <w:rPr>
          <w:b/>
          <w:bCs/>
        </w:rPr>
        <w:t>隐私与合规的平衡</w:t>
      </w:r>
      <w:r>
        <w:t>。</w:t>
      </w:r>
    </w:p>
    <w:p w14:paraId="7C2F67EC">
      <w:pPr>
        <w:ind w:firstLine="440" w:firstLineChars="200"/>
        <w:jc w:val="both"/>
      </w:pPr>
      <w:r>
        <w:t>AML/KYC与交易监测：我们搭建了完善的AML风控系统，与Chainalysis、Elliptic等区块链分析工具合作，将链上交易监测与线下身份尽职调查相结合。这一系统可以实时扫描可疑交易，例如异常大额频繁转账、与已知高风险地址交互等，并触发人工复核和必要时的报告。用户在初次进行法币充值或提现前，必须完成KYC流程，我们将核验身份证明、住址证明并通过全球制裁名单筛查，确保不向受制裁个人或高风险主体提供服务。对于企业用户或场外做市商等大户，我们会施行更严格的尽调，包括了解其资金来源和用途。所有这些符合香港AMLO等法规要求。在区块链层面，我们会利用Chainalysis KYT等工具对链上每笔HKD-S转账评分，一旦发现涉嫌洗钱的模式，将及时冻结相关地址提现功能并向执法部门报告（前提是我们有冻结权限且获得监管指令）。由于HKD-S交易很多可能发生在匿名应用内部，我们特别设立了限额和行为分析：未实名用户每日交易额和频次设限，超出则需临时验证。这样既保护了绝大多数善意用户的匿名权，又让不法分子难以利用匿名渠道洗钱。在反恐上，我们也将与执法机构保持沟通渠道，一旦发现涉恐资金流动，立即配合调查冻结。遵守Travel Rule方面，凡涉及法币的进出，我们会收集并在需要时提供用户和收款人基本识别信息，确保跨境交易符合FATF建议。</w:t>
      </w:r>
    </w:p>
    <w:p w14:paraId="41B2BFA5">
      <w:pPr>
        <w:ind w:firstLine="440" w:firstLineChars="200"/>
        <w:jc w:val="both"/>
      </w:pPr>
      <w:r>
        <w:t>网络与智能合约安全：我们高度重视技术系统的安全稳健，投入大量资源构建多层次的防护体系。在智能合约层面，所有合约在部署前均通过了至少两家独立安全公司的审计，我们会公开审计报告摘要供用户查阅。一旦发现漏洞，立即暂停相关功能并升级修补。我们还设立了漏洞赏金计划，鼓励白帽黑客协助我们找出潜在漏洞。链下系统方面，托管银行接口、用户App后台均采用金融级安全标准开发，部署严格的访问控制和加密措施。用户的私钥由应用在本地安全存储，或者采用MPC分片保管，服务器端不触碰私钥，以防范集中盗窃风险。通信网络方面，我们通过分布式架构和信源匿名设计保证即使服务器被攻破，仍无法还原用户通讯内容。同时我们配备容灾方案，所有关键服务有热备份节点和地理冗余，确保即使局部设施故障，系统仍可连续运行。针对DDOS等攻击，我们接入云防火墙和流量清洗服务保护前端服务稳定。我们也遵循金管局对虚拟资产平台的IT安全指引，定期进行渗透测试和应急演练，并邀请独立评估公司测评系统抵御网络攻击能力。可以说，从智能合约到应用服务器，我们构筑了全方位的技术防线，力求将用户资产被盗、系统被攻击瘫痪的风险降至最低。</w:t>
      </w:r>
    </w:p>
    <w:p w14:paraId="016F00FA">
      <w:pPr>
        <w:ind w:firstLine="440" w:firstLineChars="200"/>
        <w:jc w:val="both"/>
      </w:pPr>
      <w:r>
        <w:t>法律和税务合规：在法律层面，我们聘请了香港和国际律师团队，确保业务模式符合法律要求。例如在营销宣传中不会使用存款、投资等受规管词语，避免误导用户认知。公司章程和用户协议明确稳定币持有人不享有利息收益权，以避免被认定为证券或存款。税务方面，我们也会依法申报在港收益，尽可能利用香港利得税优惠等政策降低成本，但不会采取任何逃税行为。对于跨境交易涉及的外汇管理和税务问题，我们也有预案（例如限制直接向内地居民出售稳定币，以遵守内地外汇规定）。总之，我们将合规视为生命线，主动拥抱监管。我们相信，在香港监管沙盒的指导和自身严格自律下，HKD-S稳定币系统将成为行业规范运作的标杆之一。</w:t>
      </w:r>
    </w:p>
    <w:p w14:paraId="1A8516BE">
      <w:pPr>
        <w:pStyle w:val="3"/>
        <w:jc w:val="both"/>
      </w:pPr>
      <w:r>
        <w:t>结论</w:t>
      </w:r>
    </w:p>
    <w:p w14:paraId="7EC63908">
      <w:pPr>
        <w:ind w:firstLine="440" w:firstLineChars="200"/>
        <w:jc w:val="both"/>
      </w:pPr>
      <w:r>
        <w:t>本白皮书提出的基于 Solana 和 Sui 区块链的港元锚定稳定币系统，旨在融合匿名通信技术与可信稳定币金融模块，打造新一代数字金融基础设施。通过银行托管的100%港元储备，我们确保了稳定币价值的稳定和可兑换，结合多链发行和跨链互操作性，赋予其在不同区块链生态中的广泛可用性。匿名通信钱包的集成，使用户能够以隐私友好的方式获取和使用稳定币，在聊天社交、支付汇款、去中心化金融等场景中无缝切换角色。这种“通信+金融”的结合，有望极大降低普通用户进入Web3和数字资产世界的门槛，正如Status等应用所验证的那样。</w:t>
      </w:r>
    </w:p>
    <w:p w14:paraId="1586F496">
      <w:pPr>
        <w:ind w:firstLine="440" w:firstLineChars="200"/>
        <w:jc w:val="both"/>
      </w:pPr>
      <w:r>
        <w:t>从商业可行性看，我们设计了涵盖手续费、利差、投资收益、增值服务等多元化的盈利模式，配合稳健的储备收益，使项目具备自我造血能力和长期运营潜力。更重要的是，我们始终将合规与风控置于核心位置——严格遵守香港稳定币法规要求，落实储备审计和即时赎回承诺，建立完善的AML/KYC和网络安全体系，以赢得监管机构的信任。我们深信，稳定币作为连接传统金融与数字金融的桥梁，只有在合规安全的基础上，才能释放其真正潜力，为跨境支付、贸易结算和RWA融资等场景带来变革。香港作为全球金融中心和加密友好监管者，为本项目提供了理想的发展土壤。在获得必要牌照和监管批准后，我们将积极配合监管进行试点和推广，与其他持牌机构共同构建健康有序的稳定币生态。</w:t>
      </w:r>
    </w:p>
    <w:p w14:paraId="7561E658">
      <w:pPr>
        <w:ind w:firstLine="440" w:firstLineChars="200"/>
        <w:jc w:val="both"/>
      </w:pPr>
      <w:r>
        <w:t>面向未来，HKD-S稳定币系统有望成为香港数码金融战略的重要组成部分。一方面，它可以作为eHKD正式发行前的有益补充，验证技术路线并培养市场认知；另一方面，如果运行成熟，它也可推广至其他货币和地区，成为跨境贸易和侨汇的新型支付清算网络。展望下一阶段，我们将寻求与银行、支付公司和大型互联网平台合作，将HKD-S接入更广泛的支付场景和线上线下消费生态，争取让港元稳定币真正融入大众生活。同时，我们会持续优化匿名通信和隐私保护技术，在保障合法合规的前提下，为全球用户提供</w:t>
      </w:r>
      <w:r>
        <w:rPr>
          <w:b/>
          <w:bCs/>
        </w:rPr>
        <w:t>安全、自主、低成本</w:t>
      </w:r>
      <w:r>
        <w:t>的金融交流渠道。这一切努力，皆为了践行我们的愿景：</w:t>
      </w:r>
      <w:r>
        <w:rPr>
          <w:b/>
          <w:bCs/>
        </w:rPr>
        <w:t>桥接传统金融与去中心化网络，让每个人都能便捷地掌控自己的财富，并自由地与世界交互价值</w:t>
      </w:r>
      <w:r>
        <w:t>。</w:t>
      </w:r>
    </w:p>
    <w:p w14:paraId="47CEC597">
      <w:pPr>
        <w:ind w:firstLine="440" w:firstLineChars="200"/>
        <w:jc w:val="both"/>
      </w:pPr>
      <w:r>
        <w:t>我们相信，在用户、投资者和监管方的共同支持下，HKD-S港元稳定币系统将茁壮成长，成为粤港澳大湾区乃至亚洲数字经济的新引擎。在稳健运营中积累信誉，在合规框架下创新突破。本白皮书只是一个开始，后续我们期待与各方深入交流合作，将纸面蓝图化为现实应用。香港正迎来稳定币时代的新篇章，我们愿意也有信心站在时代前沿，推动这场金融创新，为用户创造价值、为行业树立典范、为监管提供范本。</w:t>
      </w:r>
      <w:bookmarkEnd w:id="1"/>
    </w:p>
    <w:sectPr>
      <w:pgSz w:w="11906" w:h="16838"/>
      <w:pgMar w:top="1440" w:right="1803" w:bottom="1440" w:left="1803" w:header="13" w:footer="13" w:gutter="0"/>
      <w:cols w:space="0" w:num="1"/>
      <w:docGrid w:type="lines" w:linePitch="24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est" w:date="2025-06-17T16:57:19Z" w:initials="">
    <w:p w14:paraId="5EDDD92B">
      <w:pPr>
        <w:pStyle w:val="8"/>
        <w:rPr>
          <w:rFonts w:hint="default" w:eastAsia="微软雅黑"/>
          <w:lang w:val="en-US" w:eastAsia="zh-CN"/>
        </w:rPr>
      </w:pPr>
      <w:r>
        <w:rPr>
          <w:rFonts w:hint="eastAsia"/>
          <w:lang w:val="en-US" w:eastAsia="zh-CN"/>
        </w:rPr>
        <w:t xml:space="preserve">有个典型购房场景，B卖A的房，A需先还清贷款，中介才会给A钱，此时A可通过暂时抵押借贷来实现短期资金周转，利息能达到近1000/天/100w水平。 </w:t>
      </w:r>
    </w:p>
  </w:comment>
  <w:comment w:id="1" w:author="test" w:date="2025-06-17T20:38:13Z" w:initials="">
    <w:p w14:paraId="6768B9FA">
      <w:pPr>
        <w:pStyle w:val="11"/>
        <w:keepNext w:val="0"/>
        <w:keepLines w:val="0"/>
        <w:widowControl/>
        <w:suppressLineNumbers w:val="0"/>
        <w:rPr>
          <w:b w:val="0"/>
          <w:bCs w:val="0"/>
        </w:rPr>
      </w:pPr>
      <w:r>
        <w:rPr>
          <w:rFonts w:hint="eastAsia"/>
          <w:lang w:val="en-US" w:eastAsia="zh-CN"/>
        </w:rPr>
        <w:t>我们的稳定币</w:t>
      </w:r>
      <w:r>
        <w:rPr>
          <w:rStyle w:val="15"/>
          <w:b w:val="0"/>
          <w:bCs w:val="0"/>
        </w:rPr>
        <w:t>属于“法币储备型稳定币”，其锚定逻辑核心是：</w:t>
      </w:r>
    </w:p>
    <w:p w14:paraId="38B75D79">
      <w:pPr>
        <w:pStyle w:val="11"/>
        <w:keepNext w:val="0"/>
        <w:keepLines w:val="0"/>
        <w:widowControl/>
        <w:suppressLineNumbers w:val="0"/>
        <w:ind w:left="720" w:right="720"/>
        <w:rPr>
          <w:b w:val="0"/>
          <w:bCs w:val="0"/>
        </w:rPr>
      </w:pPr>
      <w:r>
        <w:rPr>
          <w:rStyle w:val="15"/>
          <w:rFonts w:hint="eastAsia" w:ascii="宋体" w:hAnsi="宋体" w:eastAsia="宋体" w:cs="宋体"/>
          <w:b w:val="0"/>
          <w:bCs w:val="0"/>
          <w:sz w:val="24"/>
          <w:szCs w:val="24"/>
        </w:rPr>
        <w:t>1 枚稳定币 = 储备账户中 1 单位法币或等值资产</w:t>
      </w:r>
      <w:r>
        <w:rPr>
          <w:rFonts w:hint="eastAsia" w:ascii="宋体" w:hAnsi="宋体" w:eastAsia="宋体" w:cs="宋体"/>
          <w:b w:val="0"/>
          <w:bCs w:val="0"/>
          <w:sz w:val="24"/>
          <w:szCs w:val="24"/>
        </w:rPr>
        <w:br w:type="textWrapping"/>
      </w:r>
      <w:r>
        <w:rPr>
          <w:rStyle w:val="15"/>
          <w:rFonts w:hint="eastAsia" w:ascii="宋体" w:hAnsi="宋体" w:eastAsia="宋体" w:cs="宋体"/>
          <w:b w:val="0"/>
          <w:bCs w:val="0"/>
          <w:sz w:val="24"/>
          <w:szCs w:val="24"/>
        </w:rPr>
        <w:t>价格锚定机制 = 铸造与赎回的套利空间 + 自由兑换权利 + 储备背书</w:t>
      </w:r>
    </w:p>
    <w:p w14:paraId="216E6057">
      <w:pPr>
        <w:pStyle w:val="11"/>
        <w:keepNext w:val="0"/>
        <w:keepLines w:val="0"/>
        <w:widowControl/>
        <w:suppressLineNumbers w:val="0"/>
        <w:rPr>
          <w:rFonts w:hint="default" w:eastAsia="微软雅黑"/>
          <w:b w:val="0"/>
          <w:bCs w:val="0"/>
          <w:lang w:val="en-US" w:eastAsia="zh-CN"/>
        </w:rPr>
      </w:pPr>
      <w:r>
        <w:rPr>
          <w:rFonts w:hint="eastAsia"/>
          <w:b w:val="0"/>
          <w:bCs w:val="0"/>
          <w:lang w:val="en-US" w:eastAsia="zh-CN"/>
        </w:rPr>
        <w:t>这段可以改一下 不要被误解为类似算法稳定币：</w:t>
      </w:r>
    </w:p>
    <w:p w14:paraId="35962D6A">
      <w:pPr>
        <w:pStyle w:val="11"/>
        <w:keepNext w:val="0"/>
        <w:keepLines w:val="0"/>
        <w:widowControl/>
        <w:suppressLineNumbers w:val="0"/>
      </w:pPr>
      <w:r>
        <w:rPr>
          <w:b w:val="0"/>
          <w:bCs w:val="0"/>
        </w:rPr>
        <w:t>HKD-S作为100%港元资产储备支持的稳定币，其锚定机制主要依赖于：</w:t>
      </w:r>
      <w:r>
        <w:rPr>
          <w:rStyle w:val="15"/>
          <w:b w:val="0"/>
          <w:bCs w:val="0"/>
        </w:rPr>
        <w:t>用户可随时1:1兑换港元的赎回机制</w:t>
      </w:r>
      <w:r>
        <w:rPr>
          <w:b w:val="0"/>
          <w:bCs w:val="0"/>
        </w:rPr>
        <w:t>。只要该机制持续开</w:t>
      </w:r>
      <w:r>
        <w:t>放且储备充足，任何偏离锚定价格的交易行为都会触发市场套利，从而自然回归1港元的平价。例如，当市场上HKD-S价格低于1港元时，套利者可购买并赎回获得1港元利润；反之亦然。这种机制确保HKD-S的锚定不依赖于算法调节或投机性交易，而是由实际资产支撑和兑换通道保障。</w:t>
      </w:r>
    </w:p>
    <w:p w14:paraId="12666F7C">
      <w:pPr>
        <w:pStyle w:val="11"/>
        <w:keepNext w:val="0"/>
        <w:keepLines w:val="0"/>
        <w:widowControl/>
        <w:suppressLineNumbers w:val="0"/>
      </w:pPr>
      <w:r>
        <w:t>在此基础上，作为发行方，我们也可参与市场流动性管理，为去中心化交易所（DEX）提供HKD-S的交易对流动性（如与USDC、USDT组成稳定币交易池），从而获得交易手续费收益。平台也可根据价格监控适度参与套利，但其作用是增强流动性与价格稳定的辅助手段，而非稳定币价格锚定的根本机制。我们不会依赖算法或内部做市行为来控制价格，而始终以1:1储备与开放赎回为锚定保障的核心。</w:t>
      </w:r>
    </w:p>
    <w:p w14:paraId="03CBA43F">
      <w:pPr>
        <w:pStyle w:val="8"/>
      </w:pPr>
    </w:p>
  </w:comment>
  <w:comment w:id="2" w:author="test" w:date="2025-06-17T20:47:57Z" w:initials="">
    <w:p w14:paraId="572208E3">
      <w:pPr>
        <w:pStyle w:val="8"/>
        <w:rPr>
          <w:rFonts w:hint="default" w:eastAsia="微软雅黑"/>
          <w:lang w:val="en-US" w:eastAsia="zh-CN"/>
        </w:rPr>
      </w:pPr>
      <w:r>
        <w:rPr>
          <w:rFonts w:hint="eastAsia"/>
          <w:lang w:val="en-US" w:eastAsia="zh-CN"/>
        </w:rPr>
        <w:t>要么按那个“企业密信”改个新名字看看</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DDD92B" w15:done="0"/>
  <w15:commentEx w15:paraId="03CBA43F" w15:done="0"/>
  <w15:commentEx w15:paraId="572208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Segoe UI Emoji">
    <w:altName w:val="Apple Color Emoji"/>
    <w:panose1 w:val="020B0502040204020203"/>
    <w:charset w:val="00"/>
    <w:family w:val="swiss"/>
    <w:pitch w:val="default"/>
    <w:sig w:usb0="00000000" w:usb1="00000000" w:usb2="08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22"/>
      <w:suff w:val="space"/>
      <w:lvlText w:val="%1 "/>
      <w:lvlJc w:val="right"/>
      <w:rPr>
        <w:rFonts w:ascii="微软雅黑" w:hAnsi="微软雅黑" w:eastAsia="微软雅黑" w:cs="微软雅黑"/>
        <w:color w:val="C0C6CF"/>
        <w:sz w:val="16"/>
      </w:rPr>
    </w:lvl>
  </w:abstractNum>
  <w:abstractNum w:abstractNumId="1">
    <w:nsid w:val="20000002"/>
    <w:multiLevelType w:val="multilevel"/>
    <w:tmpl w:val="20000002"/>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lvl w:ilvl="8" w:tentative="0">
      <w:start w:val="0"/>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est">
    <w15:presenceInfo w15:providerId="WPS Office" w15:userId="1146129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trackRevisions w:val="1"/>
  <w:documentProtection w:enforcement="0"/>
  <w:defaultTabStop w:val="4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B4"/>
    <w:rsid w:val="001B4DEB"/>
    <w:rsid w:val="00265FEB"/>
    <w:rsid w:val="002704E2"/>
    <w:rsid w:val="00320EFD"/>
    <w:rsid w:val="00333C5B"/>
    <w:rsid w:val="004A4E59"/>
    <w:rsid w:val="004F7604"/>
    <w:rsid w:val="00535060"/>
    <w:rsid w:val="00560AE0"/>
    <w:rsid w:val="00561EB6"/>
    <w:rsid w:val="00571CF1"/>
    <w:rsid w:val="0057627D"/>
    <w:rsid w:val="005908B4"/>
    <w:rsid w:val="006733FB"/>
    <w:rsid w:val="006D4B9F"/>
    <w:rsid w:val="006F356A"/>
    <w:rsid w:val="007532B7"/>
    <w:rsid w:val="00771A67"/>
    <w:rsid w:val="007D3068"/>
    <w:rsid w:val="008638A7"/>
    <w:rsid w:val="008F2FAA"/>
    <w:rsid w:val="009041DB"/>
    <w:rsid w:val="009C2A98"/>
    <w:rsid w:val="00A26FD6"/>
    <w:rsid w:val="00A35751"/>
    <w:rsid w:val="00A70F41"/>
    <w:rsid w:val="00AB25C0"/>
    <w:rsid w:val="00AD5058"/>
    <w:rsid w:val="00AE5ED7"/>
    <w:rsid w:val="00B2366C"/>
    <w:rsid w:val="00B53BFE"/>
    <w:rsid w:val="00BA430D"/>
    <w:rsid w:val="00C22DDC"/>
    <w:rsid w:val="00CA4A96"/>
    <w:rsid w:val="00CE31F3"/>
    <w:rsid w:val="00D23861"/>
    <w:rsid w:val="00D97AB9"/>
    <w:rsid w:val="00E83AEA"/>
    <w:rsid w:val="00EF4A1C"/>
    <w:rsid w:val="00F42757"/>
    <w:rsid w:val="2F769C20"/>
    <w:rsid w:val="3EFFD2BB"/>
    <w:rsid w:val="3FFED9B1"/>
    <w:rsid w:val="4E7FD253"/>
    <w:rsid w:val="56B7BB7E"/>
    <w:rsid w:val="6BFE9C28"/>
    <w:rsid w:val="6EDFC4B1"/>
    <w:rsid w:val="6F7730F0"/>
    <w:rsid w:val="79BA30E5"/>
    <w:rsid w:val="7BCF3AD4"/>
    <w:rsid w:val="7D7D0FA2"/>
    <w:rsid w:val="7DC7BB4B"/>
    <w:rsid w:val="7DCC25A8"/>
    <w:rsid w:val="7EFC6E60"/>
    <w:rsid w:val="BFBFBF71"/>
    <w:rsid w:val="DF6BD719"/>
    <w:rsid w:val="E7FC78E4"/>
    <w:rsid w:val="EF9D4597"/>
    <w:rsid w:val="EFF9DB61"/>
    <w:rsid w:val="F97E1EDA"/>
    <w:rsid w:val="FAFD00FF"/>
    <w:rsid w:val="FBFF0C46"/>
    <w:rsid w:val="FCFBEECC"/>
    <w:rsid w:val="FDFFD65F"/>
    <w:rsid w:val="FDFFFA0A"/>
    <w:rsid w:val="FEDF12BB"/>
    <w:rsid w:val="FF0F6AF8"/>
    <w:rsid w:val="FF76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微软雅黑" w:hAnsi="微软雅黑" w:eastAsia="微软雅黑" w:cs="微软雅黑"/>
      <w:color w:val="080F17"/>
      <w:sz w:val="22"/>
      <w:lang w:val="en-US" w:eastAsia="zh-CN" w:bidi="ar-SA"/>
    </w:rPr>
  </w:style>
  <w:style w:type="paragraph" w:styleId="2">
    <w:name w:val="heading 1"/>
    <w:basedOn w:val="1"/>
    <w:qFormat/>
    <w:uiPriority w:val="0"/>
    <w:pPr>
      <w:spacing w:before="390" w:after="120" w:line="634" w:lineRule="exact"/>
      <w:outlineLvl w:val="0"/>
    </w:pPr>
    <w:rPr>
      <w:b/>
      <w:sz w:val="38"/>
    </w:rPr>
  </w:style>
  <w:style w:type="paragraph" w:styleId="3">
    <w:name w:val="heading 2"/>
    <w:basedOn w:val="1"/>
    <w:link w:val="25"/>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rPr>
  </w:style>
  <w:style w:type="paragraph" w:styleId="7">
    <w:name w:val="heading 6"/>
    <w:basedOn w:val="1"/>
    <w:qFormat/>
    <w:uiPriority w:val="0"/>
    <w:pPr>
      <w:spacing w:before="240" w:after="120" w:line="390" w:lineRule="exact"/>
      <w:outlineLvl w:val="5"/>
    </w:pPr>
    <w:rPr>
      <w:b/>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annotation text"/>
    <w:basedOn w:val="1"/>
    <w:uiPriority w:val="0"/>
    <w:pPr>
      <w:jc w:val="left"/>
    </w:pPr>
  </w:style>
  <w:style w:type="paragraph" w:styleId="9">
    <w:name w:val="footer"/>
    <w:basedOn w:val="1"/>
    <w:link w:val="28"/>
    <w:uiPriority w:val="0"/>
    <w:pPr>
      <w:tabs>
        <w:tab w:val="center" w:pos="4153"/>
        <w:tab w:val="right" w:pos="8306"/>
      </w:tabs>
      <w:snapToGrid w:val="0"/>
    </w:pPr>
    <w:rPr>
      <w:sz w:val="18"/>
      <w:szCs w:val="18"/>
    </w:rPr>
  </w:style>
  <w:style w:type="paragraph" w:styleId="10">
    <w:name w:val="header"/>
    <w:basedOn w:val="1"/>
    <w:link w:val="27"/>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
  </w:style>
  <w:style w:type="character" w:styleId="15">
    <w:name w:val="Strong"/>
    <w:basedOn w:val="14"/>
    <w:qFormat/>
    <w:uiPriority w:val="22"/>
    <w:rPr>
      <w:b/>
      <w:bCs/>
    </w:rPr>
  </w:style>
  <w:style w:type="character" w:styleId="16">
    <w:name w:val="Hyperlink"/>
    <w:qFormat/>
    <w:uiPriority w:val="0"/>
    <w:rPr>
      <w:color w:val="0A6CFF"/>
      <w:u w:val="single" w:color="0A6CFF"/>
    </w:rPr>
  </w:style>
  <w:style w:type="paragraph" w:customStyle="1" w:styleId="17">
    <w:name w:val="MainTitle"/>
    <w:basedOn w:val="1"/>
    <w:qFormat/>
    <w:uiPriority w:val="0"/>
    <w:pPr>
      <w:pBdr>
        <w:bottom w:val="single" w:color="E2E6ED" w:sz="6" w:space="5"/>
      </w:pBdr>
      <w:spacing w:before="180" w:after="480" w:line="780" w:lineRule="exact"/>
    </w:pPr>
    <w:rPr>
      <w:b/>
      <w:sz w:val="44"/>
    </w:rPr>
  </w:style>
  <w:style w:type="character" w:customStyle="1" w:styleId="18">
    <w:name w:val="DateTime"/>
    <w:qFormat/>
    <w:uiPriority w:val="0"/>
    <w:rPr>
      <w:color w:val="0A6CFF"/>
    </w:rPr>
  </w:style>
  <w:style w:type="paragraph" w:customStyle="1" w:styleId="19">
    <w:name w:val="Blockquote"/>
    <w:basedOn w:val="1"/>
    <w:qFormat/>
    <w:uiPriority w:val="0"/>
    <w:pPr>
      <w:pBdr>
        <w:left w:val="single" w:color="E2E6ED" w:sz="36" w:space="12"/>
      </w:pBdr>
      <w:ind w:left="330"/>
    </w:pPr>
    <w:rPr>
      <w:color w:val="767C85"/>
    </w:rPr>
  </w:style>
  <w:style w:type="character" w:customStyle="1" w:styleId="20">
    <w:name w:val="Code"/>
    <w:qFormat/>
    <w:uiPriority w:val="0"/>
    <w:rPr>
      <w:bdr w:val="single" w:color="E2E6ED" w:sz="6" w:space="0"/>
    </w:rPr>
  </w:style>
  <w:style w:type="character" w:customStyle="1" w:styleId="21">
    <w:name w:val="Emoji"/>
    <w:qFormat/>
    <w:uiPriority w:val="0"/>
    <w:rPr>
      <w:rFonts w:ascii="Segoe UI Emoji" w:hAnsi="Segoe UI Emoji" w:eastAsia="Segoe UI Emoji" w:cs="Segoe UI Emoji"/>
    </w:rPr>
  </w:style>
  <w:style w:type="paragraph" w:customStyle="1" w:styleId="22">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line="300" w:lineRule="exact"/>
      <w:ind w:left="540"/>
    </w:pPr>
    <w:rPr>
      <w:sz w:val="18"/>
    </w:rPr>
  </w:style>
  <w:style w:type="table" w:customStyle="1" w:styleId="23">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top w:w="0" w:type="dxa"/>
        <w:left w:w="108" w:type="dxa"/>
        <w:bottom w:w="0" w:type="dxa"/>
        <w:right w:w="108" w:type="dxa"/>
      </w:tblCellMar>
    </w:tblPr>
  </w:style>
  <w:style w:type="paragraph" w:customStyle="1" w:styleId="24">
    <w:name w:val="Seperate"/>
    <w:basedOn w:val="1"/>
    <w:qFormat/>
    <w:uiPriority w:val="0"/>
    <w:pPr>
      <w:spacing w:line="120" w:lineRule="exact"/>
    </w:pPr>
  </w:style>
  <w:style w:type="character" w:customStyle="1" w:styleId="25">
    <w:name w:val="标题 2 字符"/>
    <w:basedOn w:val="14"/>
    <w:link w:val="3"/>
    <w:uiPriority w:val="0"/>
    <w:rPr>
      <w:rFonts w:ascii="微软雅黑" w:hAnsi="微软雅黑" w:eastAsia="微软雅黑" w:cs="微软雅黑"/>
      <w:b/>
      <w:color w:val="080F17"/>
      <w:sz w:val="32"/>
    </w:rPr>
  </w:style>
  <w:style w:type="paragraph" w:styleId="26">
    <w:name w:val="List Paragraph"/>
    <w:basedOn w:val="1"/>
    <w:uiPriority w:val="99"/>
    <w:pPr>
      <w:ind w:firstLine="420" w:firstLineChars="200"/>
    </w:pPr>
  </w:style>
  <w:style w:type="character" w:customStyle="1" w:styleId="27">
    <w:name w:val="页眉 字符"/>
    <w:basedOn w:val="14"/>
    <w:link w:val="10"/>
    <w:uiPriority w:val="99"/>
    <w:rPr>
      <w:rFonts w:ascii="微软雅黑" w:hAnsi="微软雅黑" w:eastAsia="微软雅黑" w:cs="微软雅黑"/>
      <w:color w:val="080F17"/>
      <w:sz w:val="18"/>
      <w:szCs w:val="18"/>
    </w:rPr>
  </w:style>
  <w:style w:type="character" w:customStyle="1" w:styleId="28">
    <w:name w:val="页脚 字符"/>
    <w:basedOn w:val="14"/>
    <w:link w:val="9"/>
    <w:uiPriority w:val="0"/>
    <w:rPr>
      <w:rFonts w:ascii="微软雅黑" w:hAnsi="微软雅黑" w:eastAsia="微软雅黑" w:cs="微软雅黑"/>
      <w:color w:val="080F17"/>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10141</Words>
  <Characters>11663</Characters>
  <Lines>388</Lines>
  <Paragraphs>269</Paragraphs>
  <TotalTime>161</TotalTime>
  <ScaleCrop>false</ScaleCrop>
  <LinksUpToDate>false</LinksUpToDate>
  <CharactersWithSpaces>21535</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2025-06-16T17:08:00Z</dcterms:created>
  <dc:creator>webotl</dc:creator>
  <cp:lastModifiedBy>test</cp:lastModifiedBy>
  <cp:lastPrinted>2025-06-17T15:15:00Z</cp:lastPrinted>
  <dcterms:modified xsi:type="dcterms:W3CDTF">2025-06-17T20:48:50Z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2052-7.5.1.8994</vt:lpwstr>
  </property>
  <property fmtid="{D5CDD505-2E9C-101B-9397-08002B2CF9AE}" pid="4" name="ICV">
    <vt:lpwstr>F4044C3A1E5F06AA6C1C5168DEBBB004_42</vt:lpwstr>
  </property>
</Properties>
</file>