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315c7c63bcdcb308f7b589db038b41f87fdf7f5"/>
    <w:p>
      <w:pPr>
        <w:pStyle w:val="Heading1"/>
        <w:keepNext/>
        <w:jc w:val="center"/>
      </w:pPr>
      <w:r>
        <w:rPr>
          <w:rFonts w:ascii="Times New Roman" w:hAnsi="Times New Roman"/>
          <w:b/>
          <w:sz w:val="32"/>
        </w:rPr>
        <w:t xml:space="preserve">ASTER: Authorization-Scoped Threshold Exact-Domain Credential Derivation with Failure-Safe Root-Epoch Healing</w:t>
      </w:r>
    </w:p>
    <w:p>
      <w:pPr>
        <w:pStyle w:val="FirstParagraph"/>
        <w:jc w:val="center"/>
      </w:pPr>
      <w:r>
        <w:rPr>
          <w:rFonts w:ascii="Times New Roman" w:hAnsi="Times New Roman"/>
          <w:b/>
          <w:bCs/>
          <w:sz w:val="20"/>
        </w:rPr>
        <w:t xml:space="preserve">Yuanyi Zhang</w:t>
      </w:r>
      <w:r>
        <w:rPr>
          <w:rFonts w:ascii="Times New Roman" w:hAnsi="Times New Roman"/>
          <w:sz w:val="20"/>
        </w:rPr>
        <w:br/>
      </w:r>
      <w:r>
        <w:rPr>
          <w:rFonts w:ascii="Times New Roman" w:hAnsi="Times New Roman"/>
          <w:sz w:val="20"/>
        </w:rPr>
        <w:t xml:space="preserve">Hangzhou Information Technology Branch, Information Technology Institute, China Railway Shanghai Group Co., Ltd., Hangzhou 310009, Zhejiang, China</w:t>
      </w:r>
      <w:r>
        <w:rPr>
          <w:rFonts w:ascii="Times New Roman" w:hAnsi="Times New Roman"/>
          <w:sz w:val="20"/>
        </w:rPr>
        <w:br/>
      </w:r>
      <w:r>
        <w:rPr>
          <w:rFonts w:ascii="Times New Roman" w:hAnsi="Times New Roman"/>
          <w:sz w:val="20"/>
        </w:rPr>
        <w:t xml:space="preserve">E-mail:</w:t>
      </w:r>
      <w:r>
        <w:rPr>
          <w:rFonts w:ascii="Times New Roman" w:hAnsi="Times New Roman"/>
          <w:sz w:val="20"/>
        </w:rPr>
        <w:t xml:space="preserve"> </w:t>
      </w:r>
      <w:hyperlink r:id="rId20">
        <w:r>
          <w:rPr>
            <w:rStyle w:val="Hyperlink"/>
          </w:rPr>
          <w:t xml:space="preserve">revanton@icloud.com</w:t>
        </w:r>
      </w:hyperlink>
    </w:p>
    <w:bookmarkStart w:id="21" w:name="abstract"/>
    <w:p>
      <w:pPr>
        <w:pStyle w:val="Heading2"/>
        <w:keepNext/>
      </w:pPr>
      <w:r>
        <w:t xml:space="preserve">Abstract</w:t>
      </w:r>
    </w:p>
    <w:p>
      <w:pPr>
        <w:pStyle w:val="FirstParagraph"/>
        <w:jc w:val="both"/>
      </w:pPr>
      <w:r>
        <w:t xml:space="preserve">Enterprise networks continue to contain applications, appliances, directories, operation consoles, and vendor-maintained systems whose only modifiable authentication secret is a policy-constrained text password. Deterministic password generators avoid storing service-password values, but most practical constructions place a reusable master or lineage key on the endpoint during derivation. A compromise that coincides with legitimate use can therefore expand from one observed password to an entire credential lineage or, under a global root, to multiple services. Moving the root to a distributed PRF service removes direct key reconstruction but introduces a distinct deployment risk: an authorization that is not bound to the complete credential context can be amplified into many legitimate outputs while the distributed key remains hidden. Moreover, proactive share refresh protects an unchanged secret against mobile compromise but does not heal a root key that has already been disclosed.</w:t>
      </w:r>
    </w:p>
    <w:p>
      <w:pPr>
        <w:pStyle w:val="BodyText"/>
        <w:jc w:val="both"/>
      </w:pPr>
      <w:r>
        <w:t xml:space="preserve">This paper presents ASTER, an authorization-scoped threshold architecture for exact-domain legacy credential derivation and post-compromise Root-Epoch healing. ASTER compiles each bounded password policy into a finite accepted language and uses inverse Rank/Unrank functions. A threshold evaluator realizes a keyed permutation over the exact rank domain, so generation g deterministically maps to one accepted password without replacement. Each evaluation requires a short-lived, single-use capability bound to the complete credential context, Root-Epoch, password generation, operation, freshness generation, expiry, and nonce. Normal operation releases only the authorized password; neither a Root-Epoch key nor a reusable per-lineage derivation key is reconstructed on the endpoint. When root compromise is suspected, ASTER generates an independent new Root-Epoch key and migrates credentials individually. Candidate passwords are checked against authenticated cross-epoch history inside the distributed computation, and a durable evidence-bounded state machine preserves both old and candidate reconstruction paths when the remote password-change outcome is ambiguous.</w:t>
      </w:r>
    </w:p>
    <w:p>
      <w:pPr>
        <w:pStyle w:val="BodyText"/>
        <w:jc w:val="both"/>
      </w:pPr>
      <w:r>
        <w:t xml:space="preserve">We formalize exact-domain injectivity, capability confinement, authorization-budget non-amplification, failure-safe migration, safe epoch retirement, and a scoped post-compromise healing property. A semantic reference model currently exercises nine positive and negative-control tests covering exact-scope authorization, deterministic reconstruction, no-repeat generation, cross-epoch history exclusion, ambiguous outcomes, and retirement safety. The cryptographic evaluation is intentionally separated from the semantic model: the full artifact will instantiate a 2-of-3 threshold/MPC evaluator, integrate the existing exact policy compiler, and evaluate local, LAN, and WAN deployments with real HTTP-form and LDAP-style adapters. ASTER does not claim a new MPC, secret-sharing, OPRF, FPE, or finite-language primitive; its contribution is the credential-specific composition that simultaneously removes reusable derivation secrets from the normal endpoint, constrains output authority, and supports failure-safe recovery after complete old-root disclosure.</w:t>
      </w:r>
    </w:p>
    <w:p>
      <w:pPr>
        <w:pStyle w:val="BodyText"/>
        <w:jc w:val="both"/>
      </w:pPr>
      <w:r>
        <w:rPr>
          <w:b/>
          <w:bCs/>
        </w:rPr>
        <w:t xml:space="preserve">Keywords:</w:t>
      </w:r>
      <w:r>
        <w:t xml:space="preserve"> </w:t>
      </w:r>
      <w:r>
        <w:t xml:space="preserve">deterministic credential derivation; threshold cryptography; password policy; format-preserving encryption; capability authorization; post-compromise security; password rotation; legacy authentication</w:t>
      </w:r>
    </w:p>
    <w:bookmarkEnd w:id="21"/>
    <w:bookmarkStart w:id="22" w:name="Xe3d0fc0bea9a42ce7605565d0964033d7f6ee47"/>
    <w:p>
      <w:pPr>
        <w:pStyle w:val="Heading2"/>
        <w:keepNext/>
      </w:pPr>
      <w:r>
        <w:t xml:space="preserve">1. Introduction</w:t>
      </w:r>
    </w:p>
    <w:p>
      <w:pPr>
        <w:pStyle w:val="FirstParagraph"/>
        <w:jc w:val="bot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jc w:val="both"/>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jc w:val="both"/>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jc w:val="both"/>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Recent work further strengthens threshold POPRFs: Baecker et al. provide a fully adaptive threshold partially-oblivious PRF with proactive key refresh [9], while concurrent 2026 work explores proactive and verifiable threshold OPRFs under a different cryptographic foundation [10].</w:t>
      </w:r>
    </w:p>
    <w:p>
      <w:pPr>
        <w:pStyle w:val="BodyText"/>
        <w:jc w:val="both"/>
      </w:pPr>
      <w:r>
        <w:t xml:space="preserve">These developments make it insufficient to claim novelty merely from splitting a root key among several servers. They also expose two problems that are easy to conflate.</w:t>
      </w:r>
    </w:p>
    <w:p>
      <w:pPr>
        <w:pStyle w:val="BodyText"/>
        <w:jc w:val="both"/>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jc w:val="both"/>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jc w:val="both"/>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jc w:val="both"/>
      </w:pPr>
      <w:r>
        <w:t xml:space="preserve">The central design principle is:</w:t>
      </w:r>
    </w:p>
    <w:p>
      <w:pPr>
        <w:pStyle w:val="BlockText"/>
        <w:spacing w:before="100" w:after="100"/>
        <w:ind w:left="360" w:right="360"/>
        <w:jc w:val="both"/>
        <w:shd w:fill="F2F2F2"/>
      </w:pPr>
      <w:r>
        <w:rPr>
          <w:b/>
          <w:bCs/>
          <w:i/>
        </w:rPr>
        <w:t xml:space="preserve">The endpoint should receive the least reusable authority compatible with the requested legacy login: one authorized password output for one complete credential context and one generation.</w:t>
      </w:r>
    </w:p>
    <w:p>
      <w:pPr>
        <w:pStyle w:val="FirstParagraph"/>
        <w:jc w:val="both"/>
      </w:pPr>
      <w:r>
        <w:t xml:space="preserve">ASTER makes four technical contributions.</w:t>
      </w:r>
    </w:p>
    <w:p>
      <w:pPr>
        <w:numPr>
          <w:ilvl w:val="0"/>
          <w:numId w:val="1001"/>
        </w:numPr>
        <w:jc w:val="both"/>
      </w:pPr>
      <w:r>
        <w:rPr>
          <w:b/>
          <w:bCs/>
        </w:rPr>
        <w:t xml:space="preserve">Non-reconstructing exact-domain credential sequence.</w:t>
      </w:r>
      <w:r>
        <w:t xml:space="preserve"> </w:t>
      </w:r>
      <w:r>
        <w:t xml:space="preserve">A bounded password policy is compiled to a finite accepted language L_P. Exact Rank/Unrank functions provide a bijection between L_P and [0,N_P), where N_P=|L_P|. A threshold evaluator applies a context-separated keyed permutation over [0,N_P), and generation g 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jc w:val="both"/>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 q valid single-use exact-scope capabilities authorize at most q distinct requested outputs. Projection-bound and wildcard capabilities are explicit negative controls.</w:t>
      </w:r>
    </w:p>
    <w:p>
      <w:pPr>
        <w:numPr>
          <w:ilvl w:val="0"/>
          <w:numId w:val="1001"/>
        </w:numPr>
        <w:jc w:val="both"/>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jc w:val="both"/>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jc w:val="bot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jc w:val="both"/>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gives the evaluation methodology and current reference-model evidence. Section 10 discusses limitations and deployment guidance, and Section 11 concludes.</w:t>
      </w:r>
    </w:p>
    <w:bookmarkEnd w:id="22"/>
    <w:bookmarkStart w:id="30" w:name="X1a56d5fb0c87a2ab273ed63133be56cea1eb3a6"/>
    <w:p>
      <w:pPr>
        <w:pStyle w:val="Heading2"/>
        <w:keepNext/>
      </w:pPr>
      <w:r>
        <w:t xml:space="preserve">2. Related Work and Novelty Boundary</w:t>
      </w:r>
    </w:p>
    <w:bookmarkStart w:id="23" w:name="X63863d18d654f8295fcb9dd52856dfcc3037277"/>
    <w:p>
      <w:pPr>
        <w:pStyle w:val="Heading3"/>
        <w:keepNext/>
      </w:pPr>
      <w:r>
        <w:t xml:space="preserve">2.1 Deterministic password generation</w:t>
      </w:r>
    </w:p>
    <w:p>
      <w:pPr>
        <w:pStyle w:val="FirstParagraph"/>
        <w:jc w:val="bot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jc w:val="both"/>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23"/>
    <w:bookmarkStart w:id="24" w:name="X9ae51de516474bdb6419e8e7c057ae6a0683ad4"/>
    <w:p>
      <w:pPr>
        <w:pStyle w:val="Heading3"/>
        <w:keepNext/>
      </w:pPr>
      <w:r>
        <w:t xml:space="preserve">2.2 Password-policy languages and verified generation</w:t>
      </w:r>
    </w:p>
    <w:p>
      <w:pPr>
        <w:pStyle w:val="FirstParagraph"/>
        <w:jc w:val="bot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[11]. Grilo, Ferreira, and Almeida studied formal verification of password-generation algorithms and used EasyCrypt to specify and prove correctness/security properties of a reference generator [12]. These works establish that policy semantics and uniform generation are substantial problems in their own right.</w:t>
      </w:r>
    </w:p>
    <w:p>
      <w:pPr>
        <w:pStyle w:val="BodyText"/>
        <w:jc w:val="both"/>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24"/>
    <w:bookmarkStart w:id="25" w:name="X87cd6d09f06a190f942f48cb16abfaca3f06aad"/>
    <w:p>
      <w:pPr>
        <w:pStyle w:val="Heading3"/>
        <w:keepNext/>
      </w:pPr>
      <w:r>
        <w:t xml:space="preserve">2.3 Arbitrary-domain ciphers and format-preserving encryption</w:t>
      </w:r>
    </w:p>
    <w:p>
      <w:pPr>
        <w:pStyle w:val="FirstParagraph"/>
        <w:jc w:val="both"/>
      </w:pPr>
      <w:r>
        <w:t xml:space="preserve">Black and Rogaway studied ciphers on arbitrary finite domains [13]. Bellare et al. formalized format-preserving encryption and analyzed rank-then-encipher and cycle-walking approaches for complex formats [14]. NIST SP 800-38G standardizes FF1 and historically FF3; the second public draft of Revision 1 removes FF3 and strengthens the FF1 domain-size requirement in response to cryptanalytic and implementation concerns [15].</w:t>
      </w:r>
    </w:p>
    <w:p>
      <w:pPr>
        <w:pStyle w:val="BodyText"/>
        <w:jc w:val="both"/>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25"/>
    <w:bookmarkStart w:id="26" w:name="Xfafbdb327b20ac0e1880957b6f77cebcc3973d5"/>
    <w:p>
      <w:pPr>
        <w:pStyle w:val="Heading3"/>
        <w:keepNext/>
      </w:pPr>
      <w:r>
        <w:t xml:space="preserve">2.4 Secret sharing, threshold cryptography, and distributed PRFs</w:t>
      </w:r>
    </w:p>
    <w:p>
      <w:pPr>
        <w:pStyle w:val="FirstParagraph"/>
        <w:jc w:val="both"/>
      </w:pPr>
      <w:r>
        <w:t xml:space="preserve">Shamir secret sharing provides information-theoretic secrecy below threshold in its ideal model [16].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jc w:val="both"/>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2025 fully adaptive threshold POPRF construction of Baecker et al. adds proactive key refresh and composable security [9]. Concurrent PIVOT work in 2026 investigates proactive threshold VOPRF share refresh without changing the underlying master key [10].</w:t>
      </w:r>
    </w:p>
    <w:p>
      <w:pPr>
        <w:pStyle w:val="BodyText"/>
        <w:jc w:val="both"/>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26"/>
    <w:bookmarkStart w:id="27" w:name="Xc83cb76e8d1a562084bc859f6a0a7fc8e4e151a"/>
    <w:p>
      <w:pPr>
        <w:pStyle w:val="Heading3"/>
        <w:keepNext/>
      </w:pPr>
      <w:r>
        <w:t xml:space="preserve">2.5 Multi-factor key derivation and recovery</w:t>
      </w:r>
    </w:p>
    <w:p>
      <w:pPr>
        <w:pStyle w:val="FirstParagraph"/>
        <w:jc w:val="both"/>
      </w:pPr>
      <w:r>
        <w:t xml:space="preserve">MFKDF generalizes password-based key derivation to multiple authentication factors and includes threshold constructions for factor loss [17]. Subsequent analysis identified weaknesses in the original constructions and highlighted the importance of precise threat models and state integrity [18]. This episode is directly relevant to ASTER's methodology: cryptographic building blocks are insufficient if metadata integrity, scope, and lifecycle state are underspecified.</w:t>
      </w:r>
    </w:p>
    <w:p>
      <w:pPr>
        <w:pStyle w:val="BodyText"/>
        <w:jc w:val="both"/>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27"/>
    <w:bookmarkStart w:id="28" w:name="X3b88aa25e801fbee6e7307cb121af5ea1efff41"/>
    <w:p>
      <w:pPr>
        <w:pStyle w:val="Heading3"/>
        <w:keepNext/>
      </w:pPr>
      <w:r>
        <w:t xml:space="preserve">2.6 Passwordless authentication</w:t>
      </w:r>
    </w:p>
    <w:p>
      <w:pPr>
        <w:pStyle w:val="FirstParagraph"/>
        <w:jc w:val="bot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28"/>
    <w:bookmarkStart w:id="29" w:name="X8312afb78da4034b7083dd00e91c87d39ae3229"/>
    <w:p>
      <w:pPr>
        <w:pStyle w:val="Heading3"/>
        <w:keepNext/>
      </w:pPr>
      <w:r>
        <w:t xml:space="preserve">2.7 Positioning summary</w:t>
      </w:r>
    </w:p>
    <w:p>
      <w:pPr>
        <w:pStyle w:val="FirstParagraph"/>
        <w:keepNext/>
        <w:jc w:val="left"/>
      </w:pPr>
      <w:r>
        <w:rPr>
          <w:b/>
        </w:rP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keepNext/>
        <w:jc w:val="left"/>
      </w:pPr>
      <w:r>
        <w:rPr>
          <w:b/>
          <w:bCs/>
        </w:rPr>
        <w:t xml:space="preserve">Table 1. Positioning against closest classes of prior work.</w:t>
      </w:r>
    </w:p>
    <w:tbl>
      <w:tblPr>
        <w:tblStyle w:val="Table"/>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fill="E7E6E6"/>
            <w:vAlign w:val="center"/>
          </w:tcPr>
          <w:p>
            <w:pPr>
              <w:pStyle w:val="Compact"/>
              <w:spacing w:after="0" w:line="240" w:lineRule="auto"/>
              <w:jc w:val="center"/>
            </w:pPr>
            <w:r>
              <w:rPr>
                <w:rFonts w:ascii="Times New Roman" w:hAnsi="Times New Roman"/>
                <w:b/>
                <w:sz w:val="16"/>
              </w:rPr>
              <w:t xml:space="preserve">Approach</w:t>
            </w:r>
          </w:p>
        </w:tc>
        <w:tc>
          <w:tcPr>
            <w:shd w:fill="E7E6E6"/>
            <w:vAlign w:val="center"/>
          </w:tcPr>
          <w:p>
            <w:pPr>
              <w:pStyle w:val="Compact"/>
              <w:spacing w:after="0" w:line="240" w:lineRule="auto"/>
              <w:jc w:val="center"/>
            </w:pPr>
            <w:r>
              <w:rPr>
                <w:rFonts w:ascii="Times New Roman" w:hAnsi="Times New Roman"/>
                <w:b/>
                <w:sz w:val="16"/>
              </w:rPr>
              <w:t xml:space="preserve">Legacy password</w:t>
            </w:r>
          </w:p>
        </w:tc>
        <w:tc>
          <w:tcPr>
            <w:shd w:fill="E7E6E6"/>
            <w:vAlign w:val="center"/>
          </w:tcPr>
          <w:p>
            <w:pPr>
              <w:pStyle w:val="Compact"/>
              <w:spacing w:after="0" w:line="240" w:lineRule="auto"/>
              <w:jc w:val="center"/>
            </w:pPr>
            <w:r>
              <w:rPr>
                <w:rFonts w:ascii="Times New Roman" w:hAnsi="Times New Roman"/>
                <w:b/>
                <w:sz w:val="16"/>
              </w:rPr>
              <w:t xml:space="preserve">No password vault</w:t>
            </w:r>
          </w:p>
        </w:tc>
        <w:tc>
          <w:tcPr>
            <w:shd w:fill="E7E6E6"/>
            <w:vAlign w:val="center"/>
          </w:tcPr>
          <w:p>
            <w:pPr>
              <w:pStyle w:val="Compact"/>
              <w:spacing w:after="0" w:line="240" w:lineRule="auto"/>
              <w:jc w:val="center"/>
            </w:pPr>
            <w:r>
              <w:rPr>
                <w:rFonts w:ascii="Times New Roman" w:hAnsi="Times New Roman"/>
                <w:b/>
                <w:sz w:val="16"/>
              </w:rPr>
              <w:t xml:space="preserve">Exact sequence</w:t>
            </w:r>
          </w:p>
        </w:tc>
        <w:tc>
          <w:tcPr>
            <w:shd w:fill="E7E6E6"/>
            <w:vAlign w:val="center"/>
          </w:tcPr>
          <w:p>
            <w:pPr>
              <w:pStyle w:val="Compact"/>
              <w:spacing w:after="0" w:line="240" w:lineRule="auto"/>
              <w:jc w:val="center"/>
            </w:pPr>
            <w:r>
              <w:rPr>
                <w:rFonts w:ascii="Times New Roman" w:hAnsi="Times New Roman"/>
                <w:b/>
                <w:sz w:val="16"/>
              </w:rPr>
              <w:t xml:space="preserve">No endpoint reusable key</w:t>
            </w:r>
          </w:p>
        </w:tc>
        <w:tc>
          <w:tcPr>
            <w:shd w:fill="E7E6E6"/>
            <w:vAlign w:val="center"/>
          </w:tcPr>
          <w:p>
            <w:pPr>
              <w:pStyle w:val="Compact"/>
              <w:spacing w:after="0" w:line="240" w:lineRule="auto"/>
              <w:jc w:val="center"/>
            </w:pPr>
            <w:r>
              <w:rPr>
                <w:rFonts w:ascii="Times New Roman" w:hAnsi="Times New Roman"/>
                <w:b/>
                <w:sz w:val="16"/>
              </w:rPr>
              <w:t xml:space="preserve">Exact generation auth.</w:t>
            </w:r>
          </w:p>
        </w:tc>
        <w:tc>
          <w:tcPr>
            <w:shd w:fill="E7E6E6"/>
            <w:vAlign w:val="center"/>
          </w:tcPr>
          <w:p>
            <w:pPr>
              <w:pStyle w:val="Compact"/>
              <w:spacing w:after="0" w:line="240" w:lineRule="auto"/>
              <w:jc w:val="center"/>
            </w:pPr>
            <w:r>
              <w:rPr>
                <w:rFonts w:ascii="Times New Roman" w:hAnsi="Times New Roman"/>
                <w:b/>
                <w:sz w:val="16"/>
              </w:rPr>
              <w:t xml:space="preserve">Root healing</w:t>
            </w:r>
          </w:p>
        </w:tc>
        <w:tc>
          <w:tcPr>
            <w:shd w:fill="E7E6E6"/>
            <w:vAlign w:val="center"/>
          </w:tcPr>
          <w:p>
            <w:pPr>
              <w:pStyle w:val="Compact"/>
              <w:spacing w:after="0" w:line="240" w:lineRule="auto"/>
              <w:jc w:val="center"/>
            </w:pPr>
            <w:r>
              <w:rPr>
                <w:rFonts w:ascii="Times New Roman" w:hAnsi="Times New Roman"/>
                <w:b/>
                <w:sz w:val="16"/>
              </w:rPr>
              <w:t xml:space="preserve">Safe ambiguous rotation</w:t>
            </w:r>
          </w:p>
        </w:tc>
      </w:tr>
      <w:tr>
        <w:tc>
          <w:tcPr>
            <w:vAlign w:val="center"/>
          </w:tcPr>
          <w:p>
            <w:pPr>
              <w:pStyle w:val="Compact"/>
              <w:spacing w:after="0" w:line="240" w:lineRule="auto"/>
              <w:jc w:val="left"/>
            </w:pPr>
            <w:r>
              <w:rPr>
                <w:rFonts w:ascii="Times New Roman" w:hAnsi="Times New Roman"/>
                <w:sz w:val="16"/>
              </w:rPr>
              <w:t xml:space="preserve">PwdHash [1]</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r>
      <w:tr>
        <w:tc>
          <w:tcPr>
            <w:vAlign w:val="center"/>
          </w:tcPr>
          <w:p>
            <w:pPr>
              <w:pStyle w:val="Compact"/>
              <w:spacing w:after="0" w:line="240" w:lineRule="auto"/>
              <w:jc w:val="left"/>
            </w:pPr>
            <w:r>
              <w:rPr>
                <w:rFonts w:ascii="Times New Roman" w:hAnsi="Times New Roman"/>
                <w:sz w:val="16"/>
              </w:rPr>
              <w:t xml:space="preserve">PALPAS [2]</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Not specified</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Not specified</w:t>
            </w:r>
          </w:p>
        </w:tc>
        <w:tc>
          <w:tcPr>
            <w:vAlign w:val="center"/>
          </w:tcPr>
          <w:p>
            <w:pPr>
              <w:pStyle w:val="Compact"/>
              <w:spacing w:after="0" w:line="240" w:lineRule="auto"/>
              <w:jc w:val="right"/>
            </w:pPr>
            <w:r>
              <w:rPr>
                <w:rFonts w:ascii="Times New Roman" w:hAnsi="Times New Roman"/>
                <w:sz w:val="16"/>
              </w:rPr>
              <w:t xml:space="preserve">Not specified</w:t>
            </w:r>
          </w:p>
        </w:tc>
      </w:tr>
      <w:tr>
        <w:tc>
          <w:tcPr>
            <w:vAlign w:val="center"/>
          </w:tcPr>
          <w:p>
            <w:pPr>
              <w:pStyle w:val="Compact"/>
              <w:spacing w:after="0" w:line="240" w:lineRule="auto"/>
              <w:jc w:val="left"/>
            </w:pPr>
            <w:r>
              <w:rPr>
                <w:rFonts w:ascii="Times New Roman" w:hAnsi="Times New Roman"/>
                <w:sz w:val="16"/>
              </w:rPr>
              <w:t xml:space="preserve">AutoPass [3]</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Not specified</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Not specified</w:t>
            </w:r>
          </w:p>
        </w:tc>
        <w:tc>
          <w:tcPr>
            <w:vAlign w:val="center"/>
          </w:tcPr>
          <w:p>
            <w:pPr>
              <w:pStyle w:val="Compact"/>
              <w:spacing w:after="0" w:line="240" w:lineRule="auto"/>
              <w:jc w:val="right"/>
            </w:pPr>
            <w:r>
              <w:rPr>
                <w:rFonts w:ascii="Times New Roman" w:hAnsi="Times New Roman"/>
                <w:sz w:val="16"/>
              </w:rPr>
              <w:t xml:space="preserve">Partial/implementation dependent</w:t>
            </w:r>
          </w:p>
        </w:tc>
      </w:tr>
      <w:tr>
        <w:tc>
          <w:tcPr>
            <w:vAlign w:val="center"/>
          </w:tcPr>
          <w:p>
            <w:pPr>
              <w:pStyle w:val="Compact"/>
              <w:spacing w:after="0" w:line="240" w:lineRule="auto"/>
              <w:jc w:val="left"/>
            </w:pPr>
            <w:r>
              <w:rPr>
                <w:rFonts w:ascii="Times New Roman" w:hAnsi="Times New Roman"/>
                <w:sz w:val="16"/>
              </w:rPr>
              <w:t xml:space="preserve">Pythia [6]</w:t>
            </w:r>
          </w:p>
        </w:tc>
        <w:tc>
          <w:tcPr>
            <w:vAlign w:val="center"/>
          </w:tcPr>
          <w:p>
            <w:pPr>
              <w:pStyle w:val="Compact"/>
              <w:spacing w:after="0" w:line="240" w:lineRule="auto"/>
              <w:jc w:val="right"/>
            </w:pPr>
            <w:r>
              <w:rPr>
                <w:rFonts w:ascii="Times New Roman" w:hAnsi="Times New Roman"/>
                <w:sz w:val="16"/>
              </w:rPr>
              <w:t xml:space="preserve">Application dependent</w:t>
            </w:r>
          </w:p>
        </w:tc>
        <w:tc>
          <w:tcPr>
            <w:vAlign w:val="center"/>
          </w:tcPr>
          <w:p>
            <w:pPr>
              <w:pStyle w:val="Compact"/>
              <w:spacing w:after="0" w:line="240" w:lineRule="auto"/>
              <w:jc w:val="right"/>
            </w:pPr>
            <w:r>
              <w:rPr>
                <w:rFonts w:ascii="Times New Roman" w:hAnsi="Times New Roman"/>
                <w:sz w:val="16"/>
              </w:rPr>
              <w:t xml:space="preserve">PRF service</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Yes for PRF key</w:t>
            </w:r>
          </w:p>
        </w:tc>
        <w:tc>
          <w:tcPr>
            <w:vAlign w:val="center"/>
          </w:tcPr>
          <w:p>
            <w:pPr>
              <w:pStyle w:val="Compact"/>
              <w:spacing w:after="0" w:line="240" w:lineRule="auto"/>
              <w:jc w:val="right"/>
            </w:pPr>
            <w:r>
              <w:rPr>
                <w:rFonts w:ascii="Times New Roman" w:hAnsi="Times New Roman"/>
                <w:sz w:val="16"/>
              </w:rPr>
              <w:t xml:space="preserve">Partially-oblivious input model</w:t>
            </w:r>
          </w:p>
        </w:tc>
        <w:tc>
          <w:tcPr>
            <w:vAlign w:val="center"/>
          </w:tcPr>
          <w:p>
            <w:pPr>
              <w:pStyle w:val="Compact"/>
              <w:spacing w:after="0" w:line="240" w:lineRule="auto"/>
              <w:jc w:val="right"/>
            </w:pPr>
            <w:r>
              <w:rPr>
                <w:rFonts w:ascii="Times New Roman" w:hAnsi="Times New Roman"/>
                <w:sz w:val="16"/>
              </w:rPr>
              <w:t xml:space="preserve">Key rotation, not credential migration</w:t>
            </w:r>
          </w:p>
        </w:tc>
        <w:tc>
          <w:tcPr>
            <w:vAlign w:val="center"/>
          </w:tcPr>
          <w:p>
            <w:pPr>
              <w:pStyle w:val="Compact"/>
              <w:spacing w:after="0" w:line="240" w:lineRule="auto"/>
              <w:jc w:val="right"/>
            </w:pPr>
            <w:r>
              <w:rPr>
                <w:rFonts w:ascii="Times New Roman" w:hAnsi="Times New Roman"/>
                <w:sz w:val="16"/>
              </w:rPr>
              <w:t xml:space="preserve">No</w:t>
            </w:r>
          </w:p>
        </w:tc>
      </w:tr>
      <w:tr>
        <w:tc>
          <w:tcPr>
            <w:vAlign w:val="center"/>
          </w:tcPr>
          <w:p>
            <w:pPr>
              <w:pStyle w:val="Compact"/>
              <w:spacing w:after="0" w:line="240" w:lineRule="auto"/>
              <w:jc w:val="left"/>
            </w:pPr>
            <w:r>
              <w:rPr>
                <w:rFonts w:ascii="Times New Roman" w:hAnsi="Times New Roman"/>
                <w:sz w:val="16"/>
              </w:rPr>
              <w:t xml:space="preserve">LaKey [7]</w:t>
            </w:r>
          </w:p>
        </w:tc>
        <w:tc>
          <w:tcPr>
            <w:vAlign w:val="center"/>
          </w:tcPr>
          <w:p>
            <w:pPr>
              <w:pStyle w:val="Compact"/>
              <w:spacing w:after="0" w:line="240" w:lineRule="auto"/>
              <w:jc w:val="right"/>
            </w:pPr>
            <w:r>
              <w:rPr>
                <w:rFonts w:ascii="Times New Roman" w:hAnsi="Times New Roman"/>
                <w:sz w:val="16"/>
              </w:rPr>
              <w:t xml:space="preserve">Application dependent</w:t>
            </w:r>
          </w:p>
        </w:tc>
        <w:tc>
          <w:tcPr>
            <w:vAlign w:val="center"/>
          </w:tcPr>
          <w:p>
            <w:pPr>
              <w:pStyle w:val="Compact"/>
              <w:spacing w:after="0" w:line="240" w:lineRule="auto"/>
              <w:jc w:val="right"/>
            </w:pPr>
            <w:r>
              <w:rPr>
                <w:rFonts w:ascii="Times New Roman" w:hAnsi="Times New Roman"/>
                <w:sz w:val="16"/>
              </w:rPr>
              <w:t xml:space="preserve">PRF service</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Application dependent</w:t>
            </w:r>
          </w:p>
        </w:tc>
        <w:tc>
          <w:tcPr>
            <w:vAlign w:val="center"/>
          </w:tcPr>
          <w:p>
            <w:pPr>
              <w:pStyle w:val="Compact"/>
              <w:spacing w:after="0" w:line="240" w:lineRule="auto"/>
              <w:jc w:val="right"/>
            </w:pPr>
            <w:r>
              <w:rPr>
                <w:rFonts w:ascii="Times New Roman" w:hAnsi="Times New Roman"/>
                <w:sz w:val="16"/>
              </w:rPr>
              <w:t xml:space="preserve">Not the credential-level focus</w:t>
            </w:r>
          </w:p>
        </w:tc>
        <w:tc>
          <w:tcPr>
            <w:vAlign w:val="center"/>
          </w:tcPr>
          <w:p>
            <w:pPr>
              <w:pStyle w:val="Compact"/>
              <w:spacing w:after="0" w:line="240" w:lineRule="auto"/>
              <w:jc w:val="right"/>
            </w:pPr>
            <w:r>
              <w:rPr>
                <w:rFonts w:ascii="Times New Roman" w:hAnsi="Times New Roman"/>
                <w:sz w:val="16"/>
              </w:rPr>
              <w:t xml:space="preserve">No</w:t>
            </w:r>
          </w:p>
        </w:tc>
      </w:tr>
      <w:tr>
        <w:tc>
          <w:tcPr>
            <w:vAlign w:val="center"/>
          </w:tcPr>
          <w:p>
            <w:pPr>
              <w:pStyle w:val="Compact"/>
              <w:spacing w:after="0" w:line="240" w:lineRule="auto"/>
              <w:jc w:val="left"/>
            </w:pPr>
            <w:r>
              <w:rPr>
                <w:rFonts w:ascii="Times New Roman" w:hAnsi="Times New Roman"/>
                <w:sz w:val="16"/>
              </w:rPr>
              <w:t xml:space="preserve">Threshold POPRF [9]</w:t>
            </w:r>
          </w:p>
        </w:tc>
        <w:tc>
          <w:tcPr>
            <w:vAlign w:val="center"/>
          </w:tcPr>
          <w:p>
            <w:pPr>
              <w:pStyle w:val="Compact"/>
              <w:spacing w:after="0" w:line="240" w:lineRule="auto"/>
              <w:jc w:val="right"/>
            </w:pPr>
            <w:r>
              <w:rPr>
                <w:rFonts w:ascii="Times New Roman" w:hAnsi="Times New Roman"/>
                <w:sz w:val="16"/>
              </w:rPr>
              <w:t xml:space="preserve">Application dependent</w:t>
            </w:r>
          </w:p>
        </w:tc>
        <w:tc>
          <w:tcPr>
            <w:vAlign w:val="center"/>
          </w:tcPr>
          <w:p>
            <w:pPr>
              <w:pStyle w:val="Compact"/>
              <w:spacing w:after="0" w:line="240" w:lineRule="auto"/>
              <w:jc w:val="right"/>
            </w:pPr>
            <w:r>
              <w:rPr>
                <w:rFonts w:ascii="Times New Roman" w:hAnsi="Times New Roman"/>
                <w:sz w:val="16"/>
              </w:rPr>
              <w:t xml:space="preserve">PRF service</w:t>
            </w:r>
          </w:p>
        </w:tc>
        <w:tc>
          <w:tcPr>
            <w:vAlign w:val="center"/>
          </w:tcPr>
          <w:p>
            <w:pPr>
              <w:pStyle w:val="Compact"/>
              <w:spacing w:after="0" w:line="240" w:lineRule="auto"/>
              <w:jc w:val="right"/>
            </w:pPr>
            <w:r>
              <w:rPr>
                <w:rFonts w:ascii="Times New Roman" w:hAnsi="Times New Roman"/>
                <w:sz w:val="16"/>
              </w:rPr>
              <w:t xml:space="preserve">No</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POPRF public input</w:t>
            </w:r>
          </w:p>
        </w:tc>
        <w:tc>
          <w:tcPr>
            <w:vAlign w:val="center"/>
          </w:tcPr>
          <w:p>
            <w:pPr>
              <w:pStyle w:val="Compact"/>
              <w:spacing w:after="0" w:line="240" w:lineRule="auto"/>
              <w:jc w:val="right"/>
            </w:pPr>
            <w:r>
              <w:rPr>
                <w:rFonts w:ascii="Times New Roman" w:hAnsi="Times New Roman"/>
                <w:sz w:val="16"/>
              </w:rPr>
              <w:t xml:space="preserve">Proactive refresh of same key</w:t>
            </w:r>
          </w:p>
        </w:tc>
        <w:tc>
          <w:tcPr>
            <w:vAlign w:val="center"/>
          </w:tcPr>
          <w:p>
            <w:pPr>
              <w:pStyle w:val="Compact"/>
              <w:spacing w:after="0" w:line="240" w:lineRule="auto"/>
              <w:jc w:val="right"/>
            </w:pPr>
            <w:r>
              <w:rPr>
                <w:rFonts w:ascii="Times New Roman" w:hAnsi="Times New Roman"/>
                <w:sz w:val="16"/>
              </w:rPr>
              <w:t xml:space="preserve">No</w:t>
            </w:r>
          </w:p>
        </w:tc>
      </w:tr>
      <w:tr>
        <w:tc>
          <w:tcPr>
            <w:vAlign w:val="center"/>
          </w:tcPr>
          <w:p>
            <w:pPr>
              <w:pStyle w:val="Compact"/>
              <w:spacing w:after="0" w:line="240" w:lineRule="auto"/>
              <w:jc w:val="left"/>
            </w:pPr>
            <w:r>
              <w:rPr>
                <w:rFonts w:ascii="Times New Roman" w:hAnsi="Times New Roman"/>
                <w:sz w:val="16"/>
              </w:rPr>
              <w:t xml:space="preserve">ASTER</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c>
          <w:tcPr>
            <w:vAlign w:val="center"/>
          </w:tcPr>
          <w:p>
            <w:pPr>
              <w:pStyle w:val="Compact"/>
              <w:spacing w:after="0" w:line="240" w:lineRule="auto"/>
              <w:jc w:val="right"/>
            </w:pPr>
            <w:r>
              <w:rPr>
                <w:rFonts w:ascii="Times New Roman" w:hAnsi="Times New Roman"/>
                <w:sz w:val="16"/>
              </w:rPr>
              <w:t xml:space="preserve">Yes</w:t>
            </w:r>
          </w:p>
        </w:tc>
      </w:tr>
    </w:tbl>
    <w:p>
      <w:pPr>
        <w:pStyle w:val="BodyText"/>
        <w:jc w:val="both"/>
      </w:pPr>
      <w:r>
        <w:t xml:space="preserve">The strongest novelty claim we consider defensible is therefore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29"/>
    <w:bookmarkEnd w:id="30"/>
    <w:bookmarkStart w:id="37" w:name="X47a321ceb58af146c3fa27657b0ccaeb3b10115"/>
    <w:p>
      <w:pPr>
        <w:pStyle w:val="Heading2"/>
        <w:keepNext/>
      </w:pPr>
      <w:r>
        <w:t xml:space="preserve">3. System Model, State, and Threat Model</w:t>
      </w:r>
    </w:p>
    <w:bookmarkStart w:id="31" w:name="Xfabb6b3c3caf15db333a528716769178cbbcb84"/>
    <w:p>
      <w:pPr>
        <w:pStyle w:val="Heading3"/>
        <w:keepNext/>
      </w:pPr>
      <w:r>
        <w:t xml:space="preserve">3.1 Entities</w:t>
      </w:r>
    </w:p>
    <w:p>
      <w:pPr>
        <w:pStyle w:val="FirstParagraph"/>
        <w:jc w:val="both"/>
      </w:pPr>
      <w:r>
        <w:t xml:space="preserve">ASTER consists of the following entities.</w:t>
      </w:r>
    </w:p>
    <w:p>
      <w:pPr>
        <w:pStyle w:val="Compact"/>
        <w:numPr>
          <w:ilvl w:val="0"/>
          <w:numId w:val="1002"/>
        </w:numPr>
        <w:jc w:val="both"/>
      </w:pPr>
      <w:r>
        <w:rPr>
          <w:b/>
          <w:bCs/>
        </w:rPr>
        <w:t xml:space="preserve">Client C</w:t>
      </w:r>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jc w:val="both"/>
      </w:pPr>
      <w:r>
        <w:rPr>
          <w:b/>
          <w:bCs/>
        </w:rPr>
        <w:t xml:space="preserve">Approval Authority A</w:t>
      </w:r>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jc w:val="both"/>
      </w:pPr>
      <w:r>
        <w:rPr>
          <w:b/>
          <w:bCs/>
        </w:rPr>
        <w:t xml:space="preserve">Evaluator domains E_1,...,E_n</w:t>
      </w:r>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jc w:val="both"/>
      </w:pPr>
      <w:r>
        <w:rPr>
          <w:b/>
          <w:bCs/>
        </w:rPr>
        <w:t xml:space="preserve">Legacy target R</w:t>
      </w:r>
      <w:r>
        <w:t xml:space="preserve">: a relying party whose modifiable secret is a textual password. ASTER does not require the target to know ASTER metadata.</w:t>
      </w:r>
    </w:p>
    <w:p>
      <w:pPr>
        <w:pStyle w:val="Compact"/>
        <w:numPr>
          <w:ilvl w:val="0"/>
          <w:numId w:val="1002"/>
        </w:numPr>
        <w:jc w:val="both"/>
      </w:pPr>
      <w:r>
        <w:rPr>
          <w:b/>
          <w:bCs/>
        </w:rPr>
        <w:t xml:space="preserve">Freshness service F</w:t>
      </w:r>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jc w:val="both"/>
      </w:pPr>
      <w:r>
        <w:rPr>
          <w:b/>
          <w:bCs/>
        </w:rPr>
        <w:t xml:space="preserve">Recovery trustees</w:t>
      </w:r>
      <w:r>
        <w:t xml:space="preserve">: offline or administratively independent holders used for break-glass recovery or evaluator reconstitution. They are not a normal evaluation oracle.</w:t>
      </w:r>
    </w:p>
    <w:bookmarkEnd w:id="31"/>
    <w:bookmarkStart w:id="32" w:name="Xed2a5d4dd6590b7ab153aabc7d1414b8cc2cca7"/>
    <w:p>
      <w:pPr>
        <w:pStyle w:val="Heading3"/>
        <w:keepNext/>
      </w:pPr>
      <w:r>
        <w:t xml:space="preserve">3.2 Credential context</w:t>
      </w:r>
    </w:p>
    <w:p>
      <w:pPr>
        <w:pStyle w:val="FirstParagraph"/>
        <w:jc w:val="both"/>
      </w:pPr>
      <w:r>
        <w:t xml:space="preserve">For a credential record, ASTER defines a canonical context</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C= (v,s,a,ℓ,σ,p,h_p,e_p),</w:t>
      </w:r>
    </w:p>
    <w:p>
      <w:pPr>
        <w:pStyle w:val="FirstParagraph"/>
        <w:jc w:val="both"/>
      </w:pPr>
      <w:r>
        <w:t xml:space="preserve">where v is a vault identifier, s is a service identifier, a is an account identifier, ℓ is a random lineage identifier, σ is a credential salt, p is the policy identifier, h_p is the canonical policy hash, and e_p is the policy epoch.</w:t>
      </w:r>
    </w:p>
    <w:p>
      <w:pPr>
        <w:pStyle w:val="BodyText"/>
        <w:jc w:val="both"/>
      </w:pPr>
      <w:r>
        <w:t xml:space="preserve">Lifecycle metadata additionally contains:</w:t>
      </w:r>
    </w:p>
    <w:p>
      <w:pPr>
        <w:pStyle w:val="Compact"/>
        <w:numPr>
          <w:ilvl w:val="0"/>
          <w:numId w:val="1003"/>
        </w:numPr>
        <w:jc w:val="both"/>
      </w:pPr>
      <w:r>
        <w:t xml:space="preserve">Root-Epoch e_r;</w:t>
      </w:r>
    </w:p>
    <w:p>
      <w:pPr>
        <w:pStyle w:val="Compact"/>
        <w:numPr>
          <w:ilvl w:val="0"/>
          <w:numId w:val="1003"/>
        </w:numPr>
        <w:jc w:val="both"/>
      </w:pPr>
      <w:r>
        <w:t xml:space="preserve">committed credential generation g;</w:t>
      </w:r>
    </w:p>
    <w:p>
      <w:pPr>
        <w:pStyle w:val="Compact"/>
        <w:numPr>
          <w:ilvl w:val="0"/>
          <w:numId w:val="1003"/>
        </w:numPr>
        <w:jc w:val="both"/>
      </w:pPr>
      <w:r>
        <w:t xml:space="preserve">freshness generation f;</w:t>
      </w:r>
    </w:p>
    <w:p>
      <w:pPr>
        <w:pStyle w:val="Compact"/>
        <w:numPr>
          <w:ilvl w:val="0"/>
          <w:numId w:val="1003"/>
        </w:numPr>
        <w:jc w:val="both"/>
      </w:pPr>
      <w:r>
        <w:t xml:space="preserve">recent authenticated history descriptors (e_r,g) needed by the target's password-history rule;</w:t>
      </w:r>
    </w:p>
    <w:p>
      <w:pPr>
        <w:pStyle w:val="Compact"/>
        <w:numPr>
          <w:ilvl w:val="0"/>
          <w:numId w:val="1003"/>
        </w:numPr>
        <w:jc w:val="both"/>
      </w:pPr>
      <w:r>
        <w:t xml:space="preserve">adapter metadata;</w:t>
      </w:r>
    </w:p>
    <w:p>
      <w:pPr>
        <w:pStyle w:val="Compact"/>
        <w:numPr>
          <w:ilvl w:val="0"/>
          <w:numId w:val="1003"/>
        </w:numPr>
        <w:jc w:val="both"/>
      </w:pPr>
      <w:r>
        <w:t xml:space="preserve">an optional pending migration operation.</w:t>
      </w:r>
    </w:p>
    <w:p>
      <w:pPr>
        <w:pStyle w:val="FirstParagraph"/>
        <w:jc w:val="both"/>
      </w:pPr>
      <w:r>
        <w:t xml:space="preserve">The service-password value itself is never persisted as a vault entry.</w:t>
      </w:r>
    </w:p>
    <w:bookmarkEnd w:id="32"/>
    <w:bookmarkStart w:id="33" w:name="X4bc7eb86fe016d2745154bbdc4e8c90d25294e7"/>
    <w:p>
      <w:pPr>
        <w:pStyle w:val="Heading3"/>
        <w:keepNext/>
      </w:pPr>
      <w:r>
        <w:t xml:space="preserve">3.3 Root-Epochs</w:t>
      </w:r>
    </w:p>
    <w:p>
      <w:pPr>
        <w:pStyle w:val="FirstParagraph"/>
        <w:jc w:val="both"/>
      </w:pPr>
      <w:r>
        <w:t xml:space="preserve">A Root-Epoch e identifies an independently generated threshold secret K_e. Epoch replacement is deliberately stronger than share refresh:</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K_(e+1) &lt;- Random(Kspace); K_(e+1) is independent of K_e.</w:t>
      </w:r>
    </w:p>
    <w:p>
      <w:pPr>
        <w:pStyle w:val="FirstParagraph"/>
        <w:jc w:val="both"/>
      </w:pPr>
      <w:r>
        <w:t xml:space="preserve">Refreshing the shares of K_e can be useful against a mobile adversary, but it does not change the Root-Epoch and does not satisfy ASTER's healing condition after K_e has been disclosed.</w:t>
      </w:r>
    </w:p>
    <w:bookmarkEnd w:id="33"/>
    <w:bookmarkStart w:id="34" w:name="Xb73ea4a60b4c16b4da2c94ff0ce95b2de4a5c58"/>
    <w:p>
      <w:pPr>
        <w:pStyle w:val="Heading3"/>
        <w:keepNext/>
      </w:pPr>
      <w:r>
        <w:t xml:space="preserve">3.4 Adversary</w:t>
      </w:r>
    </w:p>
    <w:p>
      <w:pPr>
        <w:pStyle w:val="FirstParagraph"/>
        <w:jc w:val="both"/>
      </w:pPr>
      <w:r>
        <w:t xml:space="preserve">The adversary may:</w:t>
      </w:r>
    </w:p>
    <w:p>
      <w:pPr>
        <w:pStyle w:val="Compact"/>
        <w:numPr>
          <w:ilvl w:val="0"/>
          <w:numId w:val="1004"/>
        </w:numPr>
        <w:jc w:val="both"/>
      </w:pPr>
      <w:r>
        <w:t xml:space="preserve">read all non-secret credential metadata and policy descriptions;</w:t>
      </w:r>
    </w:p>
    <w:p>
      <w:pPr>
        <w:pStyle w:val="Compact"/>
        <w:numPr>
          <w:ilvl w:val="0"/>
          <w:numId w:val="1004"/>
        </w:numPr>
        <w:jc w:val="both"/>
      </w:pPr>
      <w:r>
        <w:t xml:space="preserve">observe any password legitimately released to the endpoint;</w:t>
      </w:r>
    </w:p>
    <w:p>
      <w:pPr>
        <w:pStyle w:val="Compact"/>
        <w:numPr>
          <w:ilvl w:val="0"/>
          <w:numId w:val="1004"/>
        </w:numPr>
        <w:jc w:val="both"/>
      </w:pPr>
      <w:r>
        <w:t xml:space="preserve">compromise the endpoint before, during, or after a legitimate derivation;</w:t>
      </w:r>
    </w:p>
    <w:p>
      <w:pPr>
        <w:pStyle w:val="Compact"/>
        <w:numPr>
          <w:ilvl w:val="0"/>
          <w:numId w:val="1004"/>
        </w:numPr>
        <w:jc w:val="both"/>
      </w:pPr>
      <w:r>
        <w:t xml:space="preserve">steal or roll back the local metadata database;</w:t>
      </w:r>
    </w:p>
    <w:p>
      <w:pPr>
        <w:pStyle w:val="Compact"/>
        <w:numPr>
          <w:ilvl w:val="0"/>
          <w:numId w:val="1004"/>
        </w:numPr>
        <w:jc w:val="both"/>
      </w:pPr>
      <w:r>
        <w:t xml:space="preserve">drop, delay, duplicate, reorder, or replay network traffic;</w:t>
      </w:r>
    </w:p>
    <w:p>
      <w:pPr>
        <w:pStyle w:val="Compact"/>
        <w:numPr>
          <w:ilvl w:val="0"/>
          <w:numId w:val="1004"/>
        </w:numPr>
        <w:jc w:val="both"/>
      </w:pPr>
      <w:r>
        <w:t xml:space="preserve">crash the client at any persistence or network boundary;</w:t>
      </w:r>
    </w:p>
    <w:p>
      <w:pPr>
        <w:pStyle w:val="Compact"/>
        <w:numPr>
          <w:ilvl w:val="0"/>
          <w:numId w:val="1004"/>
        </w:numPr>
        <w:jc w:val="both"/>
      </w:pPr>
      <w:r>
        <w:t xml:space="preserve">compromise fewer than the threshold number of evaluator domains;</w:t>
      </w:r>
    </w:p>
    <w:p>
      <w:pPr>
        <w:pStyle w:val="Compact"/>
        <w:numPr>
          <w:ilvl w:val="0"/>
          <w:numId w:val="1004"/>
        </w:numPr>
        <w:jc w:val="both"/>
      </w:pPr>
      <w:r>
        <w:t xml:space="preserve">obtain stale or already-used authorization material;</w:t>
      </w:r>
    </w:p>
    <w:p>
      <w:pPr>
        <w:pStyle w:val="Compact"/>
        <w:numPr>
          <w:ilvl w:val="0"/>
          <w:numId w:val="1004"/>
        </w:numPr>
        <w:jc w:val="both"/>
      </w:pPr>
      <w:r>
        <w:t xml:space="preserve">fully learn an</w:t>
      </w:r>
      <w:r>
        <w:t xml:space="preserve"> </w:t>
      </w:r>
      <w:r>
        <w:rPr>
          <w:b/>
          <w:bCs/>
        </w:rPr>
        <w:t xml:space="preserve">old</w:t>
      </w:r>
      <w:r>
        <w:t xml:space="preserve"> </w:t>
      </w:r>
      <w:r>
        <w:t xml:space="preserve">Root-Epoch key K_e in the post-compromise-healing experiment.</w:t>
      </w:r>
    </w:p>
    <w:p>
      <w:pPr>
        <w:pStyle w:val="FirstParagraph"/>
        <w:jc w:val="both"/>
      </w:pPr>
      <w:r>
        <w:t xml:space="preserve">We separately discuss compromise of the Approval Authority or a threshold of evaluator domains because either can cross the intended authorization boundary.</w:t>
      </w:r>
    </w:p>
    <w:bookmarkEnd w:id="34"/>
    <w:bookmarkStart w:id="35" w:name="X7a3666aacacc26d1b4f8b371c2873be45d1d9b5"/>
    <w:p>
      <w:pPr>
        <w:pStyle w:val="Heading3"/>
        <w:keepNext/>
      </w:pPr>
      <w:r>
        <w:t xml:space="preserve">3.5 Assumptions</w:t>
      </w:r>
    </w:p>
    <w:p>
      <w:pPr>
        <w:pStyle w:val="FirstParagraph"/>
        <w:jc w:val="both"/>
      </w:pPr>
      <w:r>
        <w:t xml:space="preserve">The security claims rely on the following assumptions.</w:t>
      </w:r>
    </w:p>
    <w:p>
      <w:pPr>
        <w:pStyle w:val="Compact"/>
        <w:numPr>
          <w:ilvl w:val="0"/>
          <w:numId w:val="1005"/>
        </w:numPr>
        <w:jc w:val="both"/>
      </w:pPr>
      <w:r>
        <w:t xml:space="preserve">The threshold backend meets its stated key-secrecy and correctness goals.</w:t>
      </w:r>
    </w:p>
    <w:p>
      <w:pPr>
        <w:pStyle w:val="Compact"/>
        <w:numPr>
          <w:ilvl w:val="0"/>
          <w:numId w:val="1005"/>
        </w:numPr>
        <w:jc w:val="both"/>
      </w:pPr>
      <w:r>
        <w:t xml:space="preserve">The exact-domain evaluator implements a permutation over the specified rank domain for a fixed key and tweak.</w:t>
      </w:r>
    </w:p>
    <w:p>
      <w:pPr>
        <w:pStyle w:val="Compact"/>
        <w:numPr>
          <w:ilvl w:val="0"/>
          <w:numId w:val="1005"/>
        </w:numPr>
        <w:jc w:val="both"/>
      </w:pPr>
      <w:r>
        <w:t xml:space="preserve">The Approval Authority's signature or MAC is unforgeable.</w:t>
      </w:r>
    </w:p>
    <w:p>
      <w:pPr>
        <w:pStyle w:val="Compact"/>
        <w:numPr>
          <w:ilvl w:val="0"/>
          <w:numId w:val="1005"/>
        </w:numPr>
        <w:jc w:val="both"/>
      </w:pPr>
      <w:r>
        <w:t xml:space="preserve">Capabilities use canonical unambiguous encoding.</w:t>
      </w:r>
    </w:p>
    <w:p>
      <w:pPr>
        <w:pStyle w:val="Compact"/>
        <w:numPr>
          <w:ilvl w:val="0"/>
          <w:numId w:val="1005"/>
        </w:numPr>
        <w:jc w:val="both"/>
      </w:pPr>
      <w:r>
        <w:t xml:space="preserve">Each honest evaluator independently verifies the complete capability scope, expiry, freshness generation, revocation state, and use budget before participating.</w:t>
      </w:r>
    </w:p>
    <w:p>
      <w:pPr>
        <w:pStyle w:val="Compact"/>
        <w:numPr>
          <w:ilvl w:val="0"/>
          <w:numId w:val="1005"/>
        </w:numPr>
        <w:jc w:val="both"/>
      </w:pPr>
      <w:r>
        <w:t xml:space="preserve">Durable replay state is not silently rolled back together with the local endpoint, or an external freshness anchor detects such rollback.</w:t>
      </w:r>
    </w:p>
    <w:p>
      <w:pPr>
        <w:pStyle w:val="Compact"/>
        <w:numPr>
          <w:ilvl w:val="0"/>
          <w:numId w:val="1005"/>
        </w:numPr>
        <w:jc w:val="both"/>
      </w:pPr>
      <w:r>
        <w:t xml:space="preserve">The adapter's commit predicate faithfully represents the evidence source it claims to use; a malicious trusted adapter can defeat classification by lying about its observations.</w:t>
      </w:r>
    </w:p>
    <w:bookmarkEnd w:id="35"/>
    <w:bookmarkStart w:id="36" w:name="X26fc5d0a1683cbdd9fbc1632359907aba676543"/>
    <w:p>
      <w:pPr>
        <w:pStyle w:val="Heading3"/>
        <w:keepNext/>
      </w:pPr>
      <w:r>
        <w:t xml:space="preserve">3.6 Security goals</w:t>
      </w:r>
    </w:p>
    <w:p>
      <w:pPr>
        <w:pStyle w:val="FirstParagraph"/>
        <w:jc w:val="both"/>
      </w:pPr>
      <w:r>
        <w:t xml:space="preserve">ASTER targets the following goals.</w:t>
      </w:r>
    </w:p>
    <w:p>
      <w:pPr>
        <w:pStyle w:val="Compact"/>
        <w:numPr>
          <w:ilvl w:val="0"/>
          <w:numId w:val="1006"/>
        </w:numPr>
        <w:jc w:val="both"/>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jc w:val="both"/>
      </w:pPr>
      <w:r>
        <w:rPr>
          <w:b/>
          <w:bCs/>
        </w:rPr>
        <w:t xml:space="preserve">G2 Deterministic reconstruction.</w:t>
      </w:r>
      <w:r>
        <w:t xml:space="preserve"> </w:t>
      </w:r>
      <w:r>
        <w:t xml:space="preserve">Fixed authenticated state reconstructs the same credential.</w:t>
      </w:r>
    </w:p>
    <w:p>
      <w:pPr>
        <w:pStyle w:val="Compact"/>
        <w:numPr>
          <w:ilvl w:val="0"/>
          <w:numId w:val="1006"/>
        </w:numPr>
        <w:jc w:val="both"/>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jc w:val="both"/>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jc w:val="both"/>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jc w:val="both"/>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jc w:val="both"/>
      </w:pPr>
      <w:r>
        <w:rPr>
          <w:b/>
          <w:bCs/>
        </w:rPr>
        <w:t xml:space="preserve">G7 Root-compromise healing.</w:t>
      </w:r>
      <w:r>
        <w:t xml:space="preserve"> </w:t>
      </w:r>
      <w:r>
        <w:t xml:space="preserve">Disclosure of K_e does not determine credentials conclusively migrated to independently generated K_e+1.</w:t>
      </w:r>
    </w:p>
    <w:p>
      <w:pPr>
        <w:pStyle w:val="Compact"/>
        <w:numPr>
          <w:ilvl w:val="0"/>
          <w:numId w:val="1006"/>
        </w:numPr>
        <w:jc w:val="both"/>
      </w:pPr>
      <w:r>
        <w:rPr>
          <w:b/>
          <w:bCs/>
        </w:rPr>
        <w:t xml:space="preserve">G8 Safe retirement.</w:t>
      </w:r>
      <w:r>
        <w:t xml:space="preserve"> </w:t>
      </w:r>
      <w:r>
        <w:t xml:space="preserve">An epoch is erased only after no committed or unresolved credential depends on it.</w:t>
      </w:r>
    </w:p>
    <w:p>
      <w:pPr>
        <w:pStyle w:val="FirstParagraph"/>
        <w:jc w:val="bot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36"/>
    <w:bookmarkEnd w:id="37"/>
    <w:bookmarkStart w:id="43" w:name="X4df1c18f151e7006ebeb1f11f7134a6a25ab320"/>
    <w:p>
      <w:pPr>
        <w:pStyle w:val="Heading2"/>
        <w:keepNext/>
      </w:pPr>
      <w:r>
        <w:t xml:space="preserve">4. Exact-Domain Credential Sequence</w:t>
      </w:r>
    </w:p>
    <w:bookmarkStart w:id="38" w:name="X8add63bb1296764ff1171ec6d52800628489d40"/>
    <w:p>
      <w:pPr>
        <w:pStyle w:val="Heading3"/>
        <w:keepNext/>
      </w:pPr>
      <w:r>
        <w:t xml:space="preserve">4.1 Bounded policy language</w:t>
      </w:r>
    </w:p>
    <w:p>
      <w:pPr>
        <w:pStyle w:val="FirstParagraph"/>
        <w:jc w:val="both"/>
      </w:pPr>
      <w:r>
        <w:t>Let P be a canonical bounded password policy over alphabet Σ and lengths [L_min, L_max].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jc w:val="both"/>
      </w:pPr>
      <w:r>
        <w:t xml:space="preserve">The compiler constructs a deterministic finite transition system</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A_P=(Q,Σ,δ,q_0,F),</w:t>
      </w:r>
    </w:p>
    <w:p>
      <w:pPr>
        <w:pStyle w:val="FirstParagraph"/>
        <w:jc w:val="both"/>
      </w:pPr>
      <w:r>
        <w:t xml:space="preserve">with accepted language</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L_P = { w in Σ* : L_min &lt;= |w| &lt;= L_max and δ*(q_0,w) in F }.</w:t>
      </w:r>
    </w:p>
    <w:p>
      <w:pPr>
        <w:pStyle w:val="FirstParagraph"/>
        <w:jc w:val="both"/>
      </w:pPr>
      <w:r>
        <w:t xml:space="preserve">The compiler enforces explicit state and memory budgets because a product of counters, substring automata, run state, and positional constraints can grow exponentially.</w:t>
      </w:r>
    </w:p>
    <w:bookmarkEnd w:id="38"/>
    <w:bookmarkStart w:id="39" w:name="X701396ca090e93dbd9c3dfa461f5052bc5d1e40"/>
    <w:p>
      <w:pPr>
        <w:pStyle w:val="Heading3"/>
        <w:keepNext/>
      </w:pPr>
      <w:r>
        <w:t xml:space="preserve">4.2 Exact counting</w:t>
      </w:r>
    </w:p>
    <w:p>
      <w:pPr>
        <w:pStyle w:val="FirstParagraph"/>
        <w:jc w:val="both"/>
      </w:pPr>
      <w:r>
        <w:t xml:space="preserve">For target length ℓ, position i, and automaton state q, define the suffix count</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C_l(i,q) = 1 if i=l and q is accepting; 0 if i=l and q is not accepting; otherwise SUM over defined transitions c of C_l(i+1, delta(q,c)).</w:t>
      </w:r>
    </w:p>
    <w:p>
      <w:pPr>
        <w:pStyle w:val="FirstParagraph"/>
        <w:jc w:val="both"/>
      </w:pPr>
      <w:r>
        <w:t xml:space="preserve">All counts use arbitrary-precision integers. The exact domain size is</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N_P = |L_P| = SUM from l=L_min to L_max of C_l(0,q_0).</w:t>
      </w:r>
    </w:p>
    <w:p>
      <w:pPr>
        <w:pStyle w:val="FirstParagraph"/>
        <w:jc w:val="both"/>
      </w:pPr>
      <w:r>
        <w:t xml:space="preserve">and the policy's exact combinatorial capacity is H_eff=log2 N_P bits. ASTER reports H_eff because uniform generation cannot compensate for a small accepted language.</w:t>
      </w:r>
    </w:p>
    <w:bookmarkEnd w:id="39"/>
    <w:bookmarkStart w:id="40" w:name="X75e6f50245244ad9680c472edf62fe8ccf205b8"/>
    <w:p>
      <w:pPr>
        <w:pStyle w:val="Heading3"/>
        <w:keepNext/>
      </w:pPr>
      <w:r>
        <w:t xml:space="preserve">4.3 Ranking and unranking</w:t>
      </w:r>
    </w:p>
    <w:p>
      <w:pPr>
        <w:pStyle w:val="FirstParagraph"/>
        <w:jc w:val="bot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 r.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jc w:val="both"/>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 L_P and [0,N_P).</w:t>
      </w:r>
    </w:p>
    <w:p>
      <w:pPr>
        <w:pStyle w:val="BodyText"/>
        <w:jc w:val="both"/>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 QED</w:t>
      </w:r>
    </w:p>
    <w:bookmarkEnd w:id="40"/>
    <w:bookmarkStart w:id="41" w:name="X348e82024fa397dbccb05b7dd1f84717f28f627"/>
    <w:p>
      <w:pPr>
        <w:pStyle w:val="Heading3"/>
        <w:keepNext/>
      </w:pPr>
      <w:r>
        <w:t xml:space="preserve">4.4 Context-separated permutation</w:t>
      </w:r>
    </w:p>
    <w:p>
      <w:pPr>
        <w:pStyle w:val="FirstParagraph"/>
        <w:jc w:val="both"/>
      </w:pPr>
      <w:r>
        <w:t xml:space="preserve">For Root-Epoch e, credential context C, and policy P, ASTER defines an ideal exact-domain permutation</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Pi_(e,C,P): [0,N_P) -&gt; [0,N_P).</w:t>
      </w:r>
    </w:p>
    <w:p>
      <w:pPr>
        <w:pStyle w:val="FirstParagraph"/>
        <w:jc w:val="both"/>
      </w:pPr>
      <w:r>
        <w:t xml:space="preserve">Generation is the permutation input:</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r_g = Pi_(e,C,P)(g); pwd_(e,g) = Unrank_P(r_g).</w:t>
      </w:r>
    </w:p>
    <w:p>
      <w:pPr>
        <w:pStyle w:val="FirstParagraph"/>
        <w:jc w:val="both"/>
      </w:pPr>
      <w:r>
        <w:t xml:space="preserve">Generation is</w:t>
      </w:r>
      <w:r>
        <w:t xml:space="preserve"> </w:t>
      </w:r>
      <w:r>
        <w:rPr>
          <w:b/>
          <w:bCs/>
        </w:rPr>
        <w:t xml:space="preserve">not</w:t>
      </w:r>
      <w:r>
        <w:t xml:space="preserve"> </w:t>
      </w:r>
      <w:r>
        <w:t xml:space="preserve">placed only in a tweak that selects an independent permutation for each g; doing so would remove the injective sequence interpretation.</w:t>
      </w:r>
    </w:p>
    <w:p>
      <w:pPr>
        <w:pStyle w:val="BodyText"/>
        <w:jc w:val="both"/>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41"/>
    <w:bookmarkStart w:id="42" w:name="X0026e25c4baf2eaf9f1594d5d57045aacc32939"/>
    <w:p>
      <w:pPr>
        <w:pStyle w:val="Heading3"/>
        <w:keepNext/>
      </w:pPr>
      <w:r>
        <w:t xml:space="preserve">4.5 Properties</w:t>
      </w:r>
    </w:p>
    <w:p>
      <w:pPr>
        <w:pStyle w:val="FirstParagraph"/>
        <w:jc w:val="both"/>
      </w:pPr>
      <w:r>
        <w:rPr>
          <w:b/>
          <w:bCs/>
        </w:rPr>
        <w:t xml:space="preserve">Theorem 1 (Exact compliance and deterministic reconstruction).</w:t>
      </w:r>
      <w:r>
        <w:t xml:space="preserve"> </w:t>
      </w:r>
      <w:r>
        <w:t xml:space="preserve">If the threshold evaluator returns r_g in [0,N_P) for the authenticated request, then pwd_e,g in L_P. Repeating the same authenticated request and backend state returns the same password.</w:t>
      </w:r>
    </w:p>
    <w:p>
      <w:pPr>
        <w:pStyle w:val="BodyText"/>
        <w:jc w:val="both"/>
      </w:pPr>
      <w:r>
        <w:t xml:space="preserve">This follows from Lemma 1 and determinism of the fixed permutation.</w:t>
      </w:r>
    </w:p>
    <w:p>
      <w:pPr>
        <w:pStyle w:val="BodyText"/>
        <w:jc w:val="both"/>
      </w:pPr>
      <w:r>
        <w:rPr>
          <w:b/>
          <w:bCs/>
        </w:rPr>
        <w:t xml:space="preserve">Theorem 2 (Same-lineage non-repetition).</w:t>
      </w:r>
      <w:r>
        <w:t xml:space="preserve"> </w:t>
      </w:r>
      <w:r>
        <w:t xml:space="preserve">For fixed (e,C,P) and g_1!= g_2, successful outputs are distinct until the domain is exhausted.</w:t>
      </w:r>
    </w:p>
    <w:p>
      <w:pPr>
        <w:pStyle w:val="BodyText"/>
        <w:jc w:val="both"/>
      </w:pPr>
      <w:r>
        <w:rPr>
          <w:b/>
          <w:bCs/>
        </w:rPr>
        <w:t xml:space="preserve">Proof.</w:t>
      </w:r>
      <w:r>
        <w:t xml:space="preserve"> </w:t>
      </w:r>
      <w:r>
        <w:t xml:space="preserve">Π_e,C,P is injective and</w:t>
      </w:r>
      <w:r>
        <w:t xml:space="preserve"> </w:t>
      </w:r>
      <w:r>
        <w:rPr>
          <w:rStyle w:val="VerbatimChar"/>
        </w:rPr>
        <w:t xml:space="preserve">Unrank_P</w:t>
      </w:r>
      <w:r>
        <w:t xml:space="preserve"> </w:t>
      </w:r>
      <w:r>
        <w:t xml:space="preserve">is injective; therefore their composition is injective. QED</w:t>
      </w:r>
    </w:p>
    <w:p>
      <w:pPr>
        <w:pStyle w:val="BodyText"/>
        <w:jc w:val="both"/>
      </w:pPr>
      <w:r>
        <w:rPr>
          <w:b/>
          <w:bCs/>
        </w:rPr>
        <w:t xml:space="preserve">Theorem 3 (Ideal-permutation marginal).</w:t>
      </w:r>
      <w:r>
        <w:t xml:space="preserve"> </w:t>
      </w:r>
      <w:r>
        <w:t xml:space="preserve">If the permutation is sampled uniformly from all permutations on [0,N_P), then for any fixed generation g and any w in L_P, the marginal probability of output w is 1/N_P.</w:t>
      </w:r>
    </w:p>
    <w:p>
      <w:pPr>
        <w:pStyle w:val="BodyText"/>
        <w:jc w:val="both"/>
      </w:pPr>
      <w:r>
        <w:t xml:space="preserve">A concrete backend gives computational indistinguishability under its own assumptions, not unconditional randomness over keys.</w:t>
      </w:r>
    </w:p>
    <w:bookmarkEnd w:id="42"/>
    <w:bookmarkEnd w:id="43"/>
    <w:bookmarkStart w:id="51" w:name="Xcdaf072d38e15f24a1f59eb6b45c44704b9a009"/>
    <w:p>
      <w:pPr>
        <w:pStyle w:val="Heading2"/>
        <w:keepNext/>
      </w:pPr>
      <w:r>
        <w:t xml:space="preserve">5. Authorization-Scoped Threshold Evaluation</w:t>
      </w:r>
    </w:p>
    <w:bookmarkStart w:id="44" w:name="X35aa3653b34f02aaaccd42d3835b5c18146e074"/>
    <w:p>
      <w:pPr>
        <w:pStyle w:val="Heading3"/>
        <w:keepNext/>
      </w:pPr>
      <w:r>
        <w:t xml:space="preserve">5.1 Why threshold secrecy alone is insufficient</w:t>
      </w:r>
    </w:p>
    <w:p>
      <w:pPr>
        <w:pStyle w:val="FirstParagraph"/>
        <w:jc w:val="bot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jc w:val="both"/>
      </w:pPr>
      <w:r>
        <w:t xml:space="preserve">ASTER treats this as an authorization-amplification failure rather than a root-key failure.</w:t>
      </w:r>
    </w:p>
    <w:bookmarkEnd w:id="44"/>
    <w:bookmarkStart w:id="45" w:name="Xed019c5db37d4f2f39b3193cc11362c092afc11"/>
    <w:p>
      <w:pPr>
        <w:pStyle w:val="Heading3"/>
        <w:keepNext/>
      </w:pPr>
      <w:r>
        <w:t xml:space="preserve">5.2 Capability format</w:t>
      </w:r>
    </w:p>
    <w:p>
      <w:pPr>
        <w:pStyle w:val="FirstParagraph"/>
        <w:jc w:val="both"/>
      </w:pPr>
      <w:r>
        <w:t xml:space="preserve">A capability binds the canonical encoding of</w:t>
      </w:r>
    </w:p>
    <w:p>
      <w:pPr>
        <w:pStyle w:val="SourceCode"/>
        <w:jc w:val="both"/>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jc w:val="both"/>
      </w:pPr>
      <w:r>
        <w:t xml:space="preserve">The Approval Authority signs or MACs this complete structure. Every evaluator verifies the same canonical representation independently before participating.</w:t>
      </w:r>
    </w:p>
    <w:p>
      <w:pPr>
        <w:pStyle w:val="BodyText"/>
        <w:jc w:val="both"/>
      </w:pPr>
      <w:r>
        <w:t xml:space="preserve">The operation field distinguishes at least:</w:t>
      </w:r>
    </w:p>
    <w:p>
      <w:pPr>
        <w:pStyle w:val="Compact"/>
        <w:numPr>
          <w:ilvl w:val="0"/>
          <w:numId w:val="1007"/>
        </w:numPr>
        <w:jc w:val="both"/>
      </w:pPr>
      <w:r>
        <w:rPr>
          <w:rStyle w:val="VerbatimChar"/>
        </w:rPr>
        <w:t xml:space="preserve">derive</w:t>
      </w:r>
      <w:r>
        <w:t xml:space="preserve"> </w:t>
      </w:r>
      <w:r>
        <w:t xml:space="preserve">- release one currently authorized credential;</w:t>
      </w:r>
    </w:p>
    <w:p>
      <w:pPr>
        <w:pStyle w:val="Compact"/>
        <w:numPr>
          <w:ilvl w:val="0"/>
          <w:numId w:val="1007"/>
        </w:numPr>
        <w:jc w:val="both"/>
      </w:pPr>
      <w:r>
        <w:rPr>
          <w:rStyle w:val="VerbatimChar"/>
        </w:rPr>
        <w:t xml:space="preserve">rotate-candidate</w:t>
      </w:r>
      <w:r>
        <w:t xml:space="preserve"> </w:t>
      </w:r>
      <w:r>
        <w:t xml:space="preserve">- evaluate a candidate for remote password change;</w:t>
      </w:r>
    </w:p>
    <w:p>
      <w:pPr>
        <w:pStyle w:val="Compact"/>
        <w:numPr>
          <w:ilvl w:val="0"/>
          <w:numId w:val="1007"/>
        </w:numPr>
        <w:jc w:val="both"/>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jc w:val="both"/>
      </w:pPr>
      <w:r>
        <w:rPr>
          <w:rStyle w:val="VerbatimChar"/>
        </w:rPr>
        <w:t xml:space="preserve">reconcile</w:t>
      </w:r>
      <w:r>
        <w:t xml:space="preserve"> </w:t>
      </w:r>
      <w:r>
        <w:t xml:space="preserve">- re-evaluate a committed/candidate pair for an unresolved operation;</w:t>
      </w:r>
    </w:p>
    <w:p>
      <w:pPr>
        <w:pStyle w:val="Compact"/>
        <w:numPr>
          <w:ilvl w:val="0"/>
          <w:numId w:val="1007"/>
        </w:numPr>
        <w:jc w:val="both"/>
      </w:pPr>
      <w:r>
        <w:rPr>
          <w:rStyle w:val="VerbatimChar"/>
        </w:rPr>
        <w:t xml:space="preserve">recovery-admin</w:t>
      </w:r>
      <w:r>
        <w:t xml:space="preserve"> </w:t>
      </w:r>
      <w:r>
        <w:t xml:space="preserve">- a separate break-glass administrative operation not callable through ordinary derivation credentials.</w:t>
      </w:r>
    </w:p>
    <w:bookmarkEnd w:id="45"/>
    <w:bookmarkStart w:id="46" w:name="X4fb7d887a3aaf7d1e193ed370f591a845ee099a"/>
    <w:p>
      <w:pPr>
        <w:pStyle w:val="Heading3"/>
        <w:keepNext/>
      </w:pPr>
      <w:r>
        <w:t xml:space="preserve">5.3 Replay and freshness</w:t>
      </w:r>
    </w:p>
    <w:p>
      <w:pPr>
        <w:pStyle w:val="FirstParagraph"/>
        <w:jc w:val="both"/>
      </w:pPr>
      <w:r>
        <w:t xml:space="preserve">A capability is valid only if:</w:t>
      </w:r>
    </w:p>
    <w:p>
      <w:pPr>
        <w:pStyle w:val="Compact"/>
        <w:numPr>
          <w:ilvl w:val="0"/>
          <w:numId w:val="1008"/>
        </w:numPr>
        <w:jc w:val="both"/>
      </w:pPr>
      <w:r>
        <w:t xml:space="preserve">its signature/MAC verifies;</w:t>
      </w:r>
    </w:p>
    <w:p>
      <w:pPr>
        <w:pStyle w:val="Compact"/>
        <w:numPr>
          <w:ilvl w:val="0"/>
          <w:numId w:val="1008"/>
        </w:numPr>
        <w:jc w:val="both"/>
      </w:pPr>
      <w:r>
        <w:t xml:space="preserve">every bound field matches the requested operation;</w:t>
      </w:r>
    </w:p>
    <w:p>
      <w:pPr>
        <w:pStyle w:val="Compact"/>
        <w:numPr>
          <w:ilvl w:val="0"/>
          <w:numId w:val="1008"/>
        </w:numPr>
        <w:jc w:val="both"/>
      </w:pPr>
      <w:r>
        <w:t xml:space="preserve">the freshness generation equals the evaluator's accepted freshness state;</w:t>
      </w:r>
    </w:p>
    <w:p>
      <w:pPr>
        <w:pStyle w:val="Compact"/>
        <w:numPr>
          <w:ilvl w:val="0"/>
          <w:numId w:val="1008"/>
        </w:numPr>
        <w:jc w:val="both"/>
      </w:pPr>
      <w:r>
        <w:t xml:space="preserve">the current time is no later than expiry;</w:t>
      </w:r>
    </w:p>
    <w:p>
      <w:pPr>
        <w:pStyle w:val="Compact"/>
        <w:numPr>
          <w:ilvl w:val="0"/>
          <w:numId w:val="1008"/>
        </w:numPr>
        <w:jc w:val="both"/>
      </w:pPr>
      <w:r>
        <w:t xml:space="preserve">the nonce is not revoked;</w:t>
      </w:r>
    </w:p>
    <w:p>
      <w:pPr>
        <w:pStyle w:val="Compact"/>
        <w:numPr>
          <w:ilvl w:val="0"/>
          <w:numId w:val="1008"/>
        </w:numPr>
        <w:jc w:val="both"/>
      </w:pPr>
      <w:r>
        <w:t xml:space="preserve">the durable use counter is below</w:t>
      </w:r>
      <w:r>
        <w:t xml:space="preserve"> </w:t>
      </w:r>
      <w:r>
        <w:rPr>
          <w:rStyle w:val="VerbatimChar"/>
        </w:rPr>
        <w:t xml:space="preserve">useBudget</w:t>
      </w:r>
      <w:r>
        <w:t xml:space="preserve">.</w:t>
      </w:r>
    </w:p>
    <w:p>
      <w:pPr>
        <w:pStyle w:val="FirstParagraph"/>
        <w:jc w:val="bot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46"/>
    <w:bookmarkStart w:id="47" w:name="Xe0c133a5350d28f67939b65d88e2e3b8271ce81"/>
    <w:p>
      <w:pPr>
        <w:pStyle w:val="Heading3"/>
        <w:keepNext/>
      </w:pPr>
      <w:r>
        <w:t xml:space="preserve">5.4 Threshold evaluation interface</w:t>
      </w:r>
    </w:p>
    <w:p>
      <w:pPr>
        <w:pStyle w:val="FirstParagraph"/>
        <w:jc w:val="both"/>
      </w:pPr>
      <w:r>
        <w:t xml:space="preserve">ASTER requires an evaluator functionality</w:t>
      </w:r>
    </w:p>
    <w:p>
      <w:pPr>
        <w:pStyle w:val="SourceCode"/>
        <w:jc w:val="both"/>
      </w:pPr>
      <w:r>
        <w:rPr>
          <w:rStyle w:val="VerbatimChar"/>
        </w:rPr>
        <w:t xml:space="preserve">DPRP.Eval(e, C, g, N_P, cap) -&gt; r_g</w:t>
      </w:r>
    </w:p>
    <w:p>
      <w:pPr>
        <w:pStyle w:val="FirstParagraph"/>
        <w:jc w:val="both"/>
      </w:pPr>
      <w:r>
        <w:t xml:space="preserve">with the following contract:</w:t>
      </w:r>
    </w:p>
    <w:p>
      <w:pPr>
        <w:pStyle w:val="Compact"/>
        <w:numPr>
          <w:ilvl w:val="0"/>
          <w:numId w:val="1009"/>
        </w:numPr>
        <w:jc w:val="both"/>
      </w:pPr>
      <w:r>
        <w:t xml:space="preserve">the threshold parties jointly realize a permutation over [0,N_P);</w:t>
      </w:r>
    </w:p>
    <w:p>
      <w:pPr>
        <w:pStyle w:val="Compact"/>
        <w:numPr>
          <w:ilvl w:val="0"/>
          <w:numId w:val="1009"/>
        </w:numPr>
        <w:jc w:val="both"/>
      </w:pPr>
      <w:r>
        <w:t xml:space="preserve">fewer than the configured compromise threshold do not learn a reusable Root-Epoch key;</w:t>
      </w:r>
    </w:p>
    <w:p>
      <w:pPr>
        <w:pStyle w:val="Compact"/>
        <w:numPr>
          <w:ilvl w:val="0"/>
          <w:numId w:val="1009"/>
        </w:numPr>
        <w:jc w:val="both"/>
      </w:pPr>
      <w:r>
        <w:t xml:space="preserve">the client learns only the authorized output (or the final password after Unrank, depending on implementation);</w:t>
      </w:r>
    </w:p>
    <w:p>
      <w:pPr>
        <w:pStyle w:val="Compact"/>
        <w:numPr>
          <w:ilvl w:val="0"/>
          <w:numId w:val="1009"/>
        </w:numPr>
        <w:jc w:val="both"/>
      </w:pPr>
      <w:r>
        <w:t xml:space="preserve">every honest evaluator rejects incomplete or mismatched scope;</w:t>
      </w:r>
    </w:p>
    <w:p>
      <w:pPr>
        <w:pStyle w:val="Compact"/>
        <w:numPr>
          <w:ilvl w:val="0"/>
          <w:numId w:val="1009"/>
        </w:numPr>
        <w:jc w:val="both"/>
      </w:pPr>
      <w:r>
        <w:t xml:space="preserve">the endpoint never receives a Root-Epoch key or reusable per-context permutation key.</w:t>
      </w:r>
    </w:p>
    <w:p>
      <w:pPr>
        <w:pStyle w:val="FirstParagraph"/>
        <w:jc w:val="both"/>
      </w:pPr>
      <w:r>
        <w:t xml:space="preserve">One implementation route is actively secure MPC around an established arbitrary-domain/FPE construction, with the exact Rank/Unrank compiler running either outside MPC on public policy metadata or partially inside MPC depending on leakage goals. ASTER's paper-level claim is backend-agnostic, but the artifact must instantiate and benchmark a concrete backend before submission.</w:t>
      </w:r>
    </w:p>
    <w:bookmarkEnd w:id="47"/>
    <w:bookmarkStart w:id="48" w:name="Xa0fa2d1732254f522602689a93c541b56643923"/>
    <w:p>
      <w:pPr>
        <w:pStyle w:val="Heading3"/>
        <w:keepNext/>
      </w:pPr>
      <w:r>
        <w:t xml:space="preserve">5.5 Capability confinement</w:t>
      </w:r>
    </w:p>
    <w:p>
      <w:pPr>
        <w:pStyle w:val="FirstParagraph"/>
        <w:jc w:val="both"/>
      </w:pPr>
      <w:r>
        <w:t xml:space="preserve">Let a request x 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jc w:val="both"/>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 x cannot authorize an evaluation at x'!= x except with negligible probability.</w:t>
      </w:r>
    </w:p>
    <w:p>
      <w:pPr>
        <w:pStyle w:val="BodyText"/>
        <w:jc w:val="both"/>
      </w:pPr>
      <w:r>
        <w:rPr>
          <w:b/>
          <w:bCs/>
        </w:rPr>
        <w:t xml:space="preserve">Proof sketch.</w:t>
      </w:r>
      <w:r>
        <w:t xml:space="preserve"> </w:t>
      </w:r>
      <w:r>
        <w:t xml:space="preserve">For x'!= x, the canonical digest differs unless a collision occurs in the binding hash/encoding. Reusing the original signature/MAC with the modified digest fails verification; producing a valid authenticator for the modified digest is a forgery. Replays at x are separately limited by durable nonce/use-budget state. QED</w:t>
      </w:r>
    </w:p>
    <w:bookmarkEnd w:id="48"/>
    <w:bookmarkStart w:id="49" w:name="Xd2928633c444403574abb19e90e4465b5b2a929"/>
    <w:p>
      <w:pPr>
        <w:pStyle w:val="Heading3"/>
        <w:keepNext/>
      </w:pPr>
      <w:r>
        <w:t xml:space="preserve">5.6 Authorization-budget non-amplification</w:t>
      </w:r>
    </w:p>
    <w:p>
      <w:pPr>
        <w:pStyle w:val="FirstParagraph"/>
        <w:jc w:val="both"/>
      </w:pPr>
      <w:r>
        <w:t xml:space="preserve">Let T be the multiset of attacker-observed valid capabilities and let q be the total remaining valid use budget across them. Let E(T) be the set of distinct exact credential requests that can be successfully evaluated without additionally compromising an unrestricted-derivation capability or the evaluator threshold.</w:t>
      </w:r>
    </w:p>
    <w:p>
      <w:pPr>
        <w:pStyle w:val="BodyText"/>
        <w:jc w:val="both"/>
      </w:pPr>
      <w:r>
        <w:rPr>
          <w:b/>
          <w:bCs/>
        </w:rPr>
        <w:t xml:space="preserve">Theorem 5 (Exact-scope q-capability non-amplification).</w:t>
      </w:r>
      <w:r>
        <w:t xml:space="preserve"> </w:t>
      </w:r>
      <w:r>
        <w:t xml:space="preserve">Under Theorem 4 and durable single-use accounting, |E(T)|&lt;= q.</w:t>
      </w:r>
    </w:p>
    <w:p>
      <w:pPr>
        <w:pStyle w:val="BodyText"/>
        <w:jc w:val="both"/>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49"/>
    <w:bookmarkStart w:id="50" w:name="Xfe9c9dc845740e2c7d471381f446fa79fff7891"/>
    <w:p>
      <w:pPr>
        <w:pStyle w:val="Heading3"/>
        <w:keepNext/>
      </w:pPr>
      <w:r>
        <w:t xml:space="preserve">5.7 Endpoint compromise during legitimate use</w:t>
      </w:r>
    </w:p>
    <w:p>
      <w:pPr>
        <w:pStyle w:val="FirstParagraph"/>
        <w:jc w:val="bot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jc w:val="both"/>
      </w:pPr>
      <w:r>
        <w:t xml:space="preserve">This distinction is the main security motivation for moving the exact-domain permutation behind an authorization-scoped threshold interface.</w:t>
      </w:r>
    </w:p>
    <w:bookmarkEnd w:id="50"/>
    <w:bookmarkEnd w:id="51"/>
    <w:bookmarkStart w:id="61" w:name="Xe10d483107d622b944c9b7c2564edc90ece691f"/>
    <w:p>
      <w:pPr>
        <w:pStyle w:val="Heading2"/>
        <w:keepNext/>
      </w:pPr>
      <w:r>
        <w:t xml:space="preserve">6. Root-Epoch Healing and Failure-Safe Migration</w:t>
      </w:r>
    </w:p>
    <w:bookmarkStart w:id="52" w:name="X673fc0d64f0ba07d66ed15f69352e055afadd0d"/>
    <w:p>
      <w:pPr>
        <w:pStyle w:val="Heading3"/>
        <w:keepNext/>
      </w:pPr>
      <w:r>
        <w:t xml:space="preserve">6.1 Why proactive refresh is insufficient after root disclosure</w:t>
      </w:r>
    </w:p>
    <w:p>
      <w:pPr>
        <w:pStyle w:val="FirstParagraph"/>
        <w:jc w:val="both"/>
      </w:pPr>
      <w:r>
        <w:t xml:space="preserve">Proactive sharing changes the shares of a fixed secret. This is valuable if the attacker compromises different parties across time but never learns a qualified set from one valid sharing state. However, if the attacker has already recovered K_e, new shares of K_e do not revoke the attacker's copy.</w:t>
      </w:r>
    </w:p>
    <w:p>
      <w:pPr>
        <w:pStyle w:val="BodyText"/>
        <w:jc w:val="both"/>
      </w:pPr>
      <w:r>
        <w:t xml:space="preserve">ASTER therefore defines two independent lifecycle operations:</w:t>
      </w:r>
    </w:p>
    <w:p>
      <w:pPr>
        <w:pStyle w:val="Compact"/>
        <w:numPr>
          <w:ilvl w:val="0"/>
          <w:numId w:val="1010"/>
        </w:numPr>
        <w:jc w:val="both"/>
      </w:pPr>
      <w:r>
        <w:rPr>
          <w:b/>
          <w:bCs/>
        </w:rPr>
        <w:t xml:space="preserve">Share refresh:</w:t>
      </w:r>
      <w:r>
        <w:t xml:space="preserve"> </w:t>
      </w:r>
      <w:r>
        <w:t xml:space="preserve">replace shares while keeping Root-Epoch e and K_e unchanged. This addresses a mobile-share adversary and is delegated to the selected threshold backend.</w:t>
      </w:r>
    </w:p>
    <w:p>
      <w:pPr>
        <w:pStyle w:val="Compact"/>
        <w:numPr>
          <w:ilvl w:val="0"/>
          <w:numId w:val="1010"/>
        </w:numPr>
        <w:jc w:val="both"/>
      </w:pPr>
      <w:r>
        <w:rPr>
          <w:b/>
          <w:bCs/>
        </w:rPr>
        <w:t xml:space="preserve">Root-Epoch replacement:</w:t>
      </w:r>
      <w:r>
        <w:t xml:space="preserve"> </w:t>
      </w:r>
      <w:r>
        <w:t xml:space="preserve">independently generate K_e+1 and migrate relying-party credentials. This is the recovery mechanism after suspected or confirmed root disclosure.</w:t>
      </w:r>
    </w:p>
    <w:bookmarkEnd w:id="52"/>
    <w:bookmarkStart w:id="53" w:name="X310a4f20b21ea41f3f8f8134976b514369947f2"/>
    <w:p>
      <w:pPr>
        <w:pStyle w:val="Heading3"/>
        <w:keepNext/>
      </w:pPr>
      <w:r>
        <w:t xml:space="preserve">6.2 New Root-Epoch generation</w:t>
      </w:r>
    </w:p>
    <w:p>
      <w:pPr>
        <w:pStyle w:val="FirstParagraph"/>
        <w:jc w:val="both"/>
      </w:pPr>
      <w:r>
        <w:t xml:space="preserve">Evaluator domains run distributed key generation or an equivalent protocol to create an independent key:</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K_(e+1) &lt;- Random(Kspace), independently of K_e.</w:t>
      </w:r>
    </w:p>
    <w:p>
      <w:pPr>
        <w:pStyle w:val="FirstParagraph"/>
        <w:jc w:val="both"/>
      </w:pPr>
      <w:r>
        <w:t xml:space="preserve">The new key is not derived from the old key. The freshness service, if used, commits the transition intent and new epoch identifier before individual credential migration begins.</w:t>
      </w:r>
    </w:p>
    <w:bookmarkEnd w:id="53"/>
    <w:bookmarkStart w:id="54" w:name="Xbe0fa000be65d391ad2230b0d3d0a4f47985e32"/>
    <w:p>
      <w:pPr>
        <w:pStyle w:val="Heading3"/>
        <w:keepNext/>
      </w:pPr>
      <w:r>
        <w:t xml:space="preserve">6.3 Per-credential migration state</w:t>
      </w:r>
    </w:p>
    <w:p>
      <w:pPr>
        <w:pStyle w:val="FirstParagraph"/>
        <w:jc w:val="both"/>
      </w:pPr>
      <w:r>
        <w:t xml:space="preserve">For a credential currently committed at (e,g), ASTER persists a migration record before contacting the target:</w:t>
      </w:r>
    </w:p>
    <w:p>
      <w:pPr>
        <w:pStyle w:val="SourceCode"/>
        <w:jc w:val="both"/>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jc w:val="both"/>
      </w:pPr>
      <w:r>
        <w:t xml:space="preserve">The candidate generation j is selected inside the threshold service as described below. The candidate password may appear transiently for submission but is never stored as the durable source of truth.</w:t>
      </w:r>
    </w:p>
    <w:bookmarkEnd w:id="54"/>
    <w:bookmarkStart w:id="55" w:name="X5e84a3a3c43921aa7990230459c40f5d0814409"/>
    <w:p>
      <w:pPr>
        <w:pStyle w:val="Heading3"/>
        <w:keepNext/>
      </w:pPr>
      <w:r>
        <w:t xml:space="preserve">6.4 Cross-epoch history exclusion</w:t>
      </w:r>
    </w:p>
    <w:p>
      <w:pPr>
        <w:pStyle w:val="FirstParagraph"/>
        <w:jc w:val="both"/>
      </w:pPr>
      <w:r>
        <w:t xml:space="preserve">Same-epoch injectivity does not prevent a password under the new independent permutation from equaling a password in a previous epoch. A target may reject reuse within a history window h.</w:t>
      </w:r>
    </w:p>
    <w:p>
      <w:pPr>
        <w:pStyle w:val="BodyText"/>
        <w:jc w:val="both"/>
      </w:pPr>
      <w:r>
        <w:t xml:space="preserve">Let authenticated recent history descriptors be</w:t>
      </w:r>
    </w:p>
    <w:p>
      <w:pPr>
        <w:pStyle w:val="BlockText"/>
        <w:spacing w:before="80" w:after="80"/>
        <w:ind w:left="432" w:right="432"/>
        <w:jc w:val="center"/>
        <w:shd w:fill="F7F7F7"/>
      </w:pPr>
      <w:r>
        <w:rPr>
          <w:rFonts w:ascii="Cambria Math" w:hAnsi="Cambria Math"/>
          <w:b/>
          <w:bCs/>
          <w:sz w:val="19"/>
        </w:rPr>
        <w:t xml:space="preserve">Equation:</w:t>
      </w:r>
      <w:r>
        <w:rPr>
          <w:rFonts w:ascii="Cambria Math" w:hAnsi="Cambria Math"/>
          <w:sz w:val="19"/>
        </w:rPr>
        <w:t xml:space="preserve"> </w:t>
      </w:r>
      <w:r>
        <w:rPr>
          <w:rFonts w:ascii="Cambria Math" w:hAnsi="Cambria Math"/>
          <w:sz w:val="19"/>
        </w:rPr>
        <w:t xml:space="preserve">H = [(e_1,g_1),...,(e_m,g_m)], with m &lt;= h.</w:t>
      </w:r>
    </w:p>
    <w:p>
      <w:pPr>
        <w:pStyle w:val="FirstParagraph"/>
        <w:jc w:val="bot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 j=0,1,... under e+1 until it finds a password not in the history set. Only the selected candidate need be released for remote submission.</w:t>
      </w:r>
    </w:p>
    <w:p>
      <w:pPr>
        <w:pStyle w:val="BodyText"/>
        <w:jc w:val="both"/>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jc w:val="both"/>
      </w:pPr>
      <w:r>
        <w:rPr>
          <w:b/>
          <w:bCs/>
        </w:rPr>
        <w:t xml:space="preserve">Proposition 1 (Bounded history exclusion).</w:t>
      </w:r>
      <w:r>
        <w:t xml:space="preserve"> </w:t>
      </w:r>
      <w:r>
        <w:t xml:space="preserve">If the new exact domain contains at least |H∩ L_P|+1 candidate outputs not yet consumed by the migration search, sequential candidate testing terminates after at most |H∩ L_P|+1 distinct candidates.</w:t>
      </w:r>
    </w:p>
    <w:p>
      <w:pPr>
        <w:pStyle w:val="BodyText"/>
        <w:jc w:val="both"/>
      </w:pPr>
      <w:r>
        <w:t xml:space="preserve">The proposition does not predict undocumented server-side history beyond the authenticated window.</w:t>
      </w:r>
    </w:p>
    <w:bookmarkEnd w:id="55"/>
    <w:bookmarkStart w:id="56" w:name="Xbfcf72a15a4467517f8cb833d5681a67c056428"/>
    <w:p>
      <w:pPr>
        <w:pStyle w:val="Heading3"/>
        <w:keepNext/>
      </w:pPr>
      <w:r>
        <w:t xml:space="preserve">6.5 Remote password-change ambiguity</w:t>
      </w:r>
    </w:p>
    <w:p>
      <w:pPr>
        <w:pStyle w:val="FirstParagraph"/>
        <w:jc w:val="both"/>
      </w:pPr>
      <w:r>
        <w:t xml:space="preserve">Legacy password-change interfaces rarely provide transactional semantics. Consider two traces:</w:t>
      </w:r>
    </w:p>
    <w:p>
      <w:pPr>
        <w:pStyle w:val="Compact"/>
        <w:numPr>
          <w:ilvl w:val="0"/>
          <w:numId w:val="1011"/>
        </w:numPr>
        <w:jc w:val="both"/>
      </w:pPr>
      <w:r>
        <w:t xml:space="preserve">the target commits the new password and the response is lost;</w:t>
      </w:r>
    </w:p>
    <w:p>
      <w:pPr>
        <w:pStyle w:val="Compact"/>
        <w:numPr>
          <w:ilvl w:val="0"/>
          <w:numId w:val="1011"/>
        </w:numPr>
        <w:jc w:val="both"/>
      </w:pPr>
      <w:r>
        <w:t xml:space="preserve">the request is lost before the target commits anything.</w:t>
      </w:r>
    </w:p>
    <w:p>
      <w:pPr>
        <w:pStyle w:val="FirstParagraph"/>
        <w:jc w:val="both"/>
      </w:pPr>
      <w:r>
        <w:t xml:space="preserve">Both may appear locally as a timeout. Committing in both cases can strand the account in trace 2; rolling back in both cases can lose the accepted new credential in trace 1.</w:t>
      </w:r>
    </w:p>
    <w:p>
      <w:pPr>
        <w:pStyle w:val="BodyText"/>
        <w:jc w:val="both"/>
      </w:pPr>
      <w:r>
        <w:t xml:space="preserve">ASTER therefore separates transport success from credential-state evidence.</w:t>
      </w:r>
    </w:p>
    <w:bookmarkEnd w:id="56"/>
    <w:bookmarkStart w:id="57" w:name="X9c51cc9c05e44d28e33d3f02284afdcd3960614"/>
    <w:p>
      <w:pPr>
        <w:pStyle w:val="Heading3"/>
        <w:keepNext/>
      </w:pPr>
      <w:r>
        <w:t xml:space="preserve">6.6 Evidence classes</w:t>
      </w:r>
    </w:p>
    <w:p>
      <w:pPr>
        <w:pStyle w:val="FirstParagraph"/>
        <w:jc w:val="both"/>
      </w:pPr>
      <w:r>
        <w:t xml:space="preserve">An adapter can use one or more target-specific evidence sources, for example:</w:t>
      </w:r>
    </w:p>
    <w:p>
      <w:pPr>
        <w:pStyle w:val="Compact"/>
        <w:numPr>
          <w:ilvl w:val="0"/>
          <w:numId w:val="1012"/>
        </w:numPr>
        <w:jc w:val="both"/>
      </w:pPr>
      <w:r>
        <w:t xml:space="preserve">authenticated login with the new credential;</w:t>
      </w:r>
    </w:p>
    <w:p>
      <w:pPr>
        <w:pStyle w:val="Compact"/>
        <w:numPr>
          <w:ilvl w:val="0"/>
          <w:numId w:val="1012"/>
        </w:numPr>
        <w:jc w:val="both"/>
      </w:pPr>
      <w:r>
        <w:t xml:space="preserve">authenticated login with the old credential;</w:t>
      </w:r>
    </w:p>
    <w:p>
      <w:pPr>
        <w:pStyle w:val="Compact"/>
        <w:numPr>
          <w:ilvl w:val="0"/>
          <w:numId w:val="1012"/>
        </w:numPr>
        <w:jc w:val="both"/>
      </w:pPr>
      <w:r>
        <w:t xml:space="preserve">a target-exposed password-version value;</w:t>
      </w:r>
    </w:p>
    <w:p>
      <w:pPr>
        <w:pStyle w:val="Compact"/>
        <w:numPr>
          <w:ilvl w:val="0"/>
          <w:numId w:val="1012"/>
        </w:numPr>
        <w:jc w:val="both"/>
      </w:pPr>
      <w:r>
        <w:t xml:space="preserve">an administrative readback endpoint;</w:t>
      </w:r>
    </w:p>
    <w:p>
      <w:pPr>
        <w:pStyle w:val="Compact"/>
        <w:numPr>
          <w:ilvl w:val="0"/>
          <w:numId w:val="1012"/>
        </w:numPr>
        <w:jc w:val="both"/>
      </w:pPr>
      <w:r>
        <w:t xml:space="preserve">an independent directory replication state;</w:t>
      </w:r>
    </w:p>
    <w:p>
      <w:pPr>
        <w:pStyle w:val="Compact"/>
        <w:numPr>
          <w:ilvl w:val="0"/>
          <w:numId w:val="1012"/>
        </w:numPr>
        <w:jc w:val="both"/>
      </w:pPr>
      <w:r>
        <w:t xml:space="preserve">a documented overlap-then-revoke contract.</w:t>
      </w:r>
    </w:p>
    <w:p>
      <w:pPr>
        <w:pStyle w:val="FirstParagraph"/>
        <w:jc w:val="both"/>
      </w:pPr>
      <w:r>
        <w:t xml:space="preserve">The canonical evidence classes are:</w:t>
      </w:r>
    </w:p>
    <w:p>
      <w:pPr>
        <w:pStyle w:val="Compact"/>
        <w:numPr>
          <w:ilvl w:val="0"/>
          <w:numId w:val="1013"/>
        </w:numPr>
        <w:jc w:val="both"/>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jc w:val="both"/>
      </w:pPr>
      <w:r>
        <w:rPr>
          <w:b/>
          <w:bCs/>
        </w:rPr>
        <w:t xml:space="preserve">OldOnly</w:t>
      </w:r>
      <w:r>
        <w:t xml:space="preserve"> </w:t>
      </w:r>
      <w:r>
        <w:t xml:space="preserve">- evidence identifies the old password as authoritative;</w:t>
      </w:r>
    </w:p>
    <w:p>
      <w:pPr>
        <w:pStyle w:val="Compact"/>
        <w:numPr>
          <w:ilvl w:val="0"/>
          <w:numId w:val="1013"/>
        </w:numPr>
        <w:jc w:val="both"/>
      </w:pPr>
      <w:r>
        <w:rPr>
          <w:b/>
          <w:bCs/>
        </w:rPr>
        <w:t xml:space="preserve">Both</w:t>
      </w:r>
      <w:r>
        <w:t xml:space="preserve"> </w:t>
      </w:r>
      <w:r>
        <w:t xml:space="preserve">- both are accepted or the target intentionally overlaps credentials;</w:t>
      </w:r>
    </w:p>
    <w:p>
      <w:pPr>
        <w:pStyle w:val="Compact"/>
        <w:numPr>
          <w:ilvl w:val="0"/>
          <w:numId w:val="1013"/>
        </w:numPr>
        <w:jc w:val="both"/>
      </w:pPr>
      <w:r>
        <w:rPr>
          <w:b/>
          <w:bCs/>
        </w:rPr>
        <w:t xml:space="preserve">Neither</w:t>
      </w:r>
      <w:r>
        <w:t xml:space="preserve"> </w:t>
      </w:r>
      <w:r>
        <w:t xml:space="preserve">- neither credential can be confirmed;</w:t>
      </w:r>
    </w:p>
    <w:p>
      <w:pPr>
        <w:pStyle w:val="Compact"/>
        <w:numPr>
          <w:ilvl w:val="0"/>
          <w:numId w:val="1013"/>
        </w:numPr>
        <w:jc w:val="both"/>
      </w:pPr>
      <w:r>
        <w:rPr>
          <w:b/>
          <w:bCs/>
        </w:rPr>
        <w:t xml:space="preserve">Contradictory</w:t>
      </w:r>
      <w:r>
        <w:t xml:space="preserve"> </w:t>
      </w:r>
      <w:r>
        <w:t xml:space="preserve">- evidence sources disagree;</w:t>
      </w:r>
    </w:p>
    <w:p>
      <w:pPr>
        <w:pStyle w:val="Compact"/>
        <w:numPr>
          <w:ilvl w:val="0"/>
          <w:numId w:val="1013"/>
        </w:numPr>
        <w:jc w:val="both"/>
      </w:pPr>
      <w:r>
        <w:rPr>
          <w:b/>
          <w:bCs/>
        </w:rPr>
        <w:t xml:space="preserve">Unknown</w:t>
      </w:r>
      <w:r>
        <w:t xml:space="preserve"> </w:t>
      </w:r>
      <w:r>
        <w:t xml:space="preserve">- insufficient evidence, timeout, unsafe verification budget, or unavailable readback.</w:t>
      </w:r>
    </w:p>
    <w:p>
      <w:pPr>
        <w:pStyle w:val="FirstParagraph"/>
        <w:jc w:val="bot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7"/>
    <w:bookmarkStart w:id="58" w:name="Xb8e69a25cf25ba5116c536f613de8049a9a2ac4"/>
    <w:p>
      <w:pPr>
        <w:pStyle w:val="Heading3"/>
        <w:keepNext/>
      </w:pPr>
      <w:r>
        <w:t xml:space="preserve">6.7 Migration state machine</w:t>
      </w:r>
    </w:p>
    <w:p>
      <w:pPr>
        <w:pStyle w:val="FirstParagraph"/>
        <w:jc w:val="both"/>
      </w:pPr>
      <w:r>
        <w:t xml:space="preserve">The principal state transitions are:</w:t>
      </w:r>
    </w:p>
    <w:tbl>
      <w:tblPr>
        <w:tblW w:type="auto" w:w="0"/>
        <w:tblLook w:firstColumn="1" w:firstRow="1" w:lastColumn="0" w:lastRow="0" w:noHBand="0" w:noVBand="1" w:val="04A0"/>
      </w:tblPr>
      <w:tblGrid>
        <w:gridCol w:w="3312"/>
        <w:gridCol w:w="3312"/>
        <w:gridCol w:w="3312"/>
      </w:tblGrid>
      <w:tr>
        <w:tc>
          <w:tcPr>
            <w:tcW w:type="dxa" w:w="2088"/>
            <w:shd w:fill="D9EAF7"/>
            <w:tcBorders>
              <w:top w:val="single" w:sz="4" w:color="B7B7B7"/>
              <w:left w:val="single" w:sz="4" w:color="B7B7B7"/>
              <w:bottom w:val="single" w:sz="4" w:color="B7B7B7"/>
              <w:right w:val="single" w:sz="4" w:color="B7B7B7"/>
            </w:tcBorders>
          </w:tcPr>
          <w:p>
            <w:r>
              <w:rPr>
                <w:rFonts w:ascii="Times New Roman" w:hAnsi="Times New Roman"/>
                <w:b/>
                <w:sz w:val="17"/>
              </w:rPr>
              <w:t>Current state</w:t>
            </w:r>
          </w:p>
        </w:tc>
        <w:tc>
          <w:tcPr>
            <w:tcW w:type="dxa" w:w="3168"/>
            <w:shd w:fill="D9EAF7"/>
            <w:tcBorders>
              <w:top w:val="single" w:sz="4" w:color="B7B7B7"/>
              <w:left w:val="single" w:sz="4" w:color="B7B7B7"/>
              <w:bottom w:val="single" w:sz="4" w:color="B7B7B7"/>
              <w:right w:val="single" w:sz="4" w:color="B7B7B7"/>
            </w:tcBorders>
          </w:tcPr>
          <w:p>
            <w:r>
              <w:rPr>
                <w:rFonts w:ascii="Times New Roman" w:hAnsi="Times New Roman"/>
                <w:b/>
                <w:sz w:val="17"/>
              </w:rPr>
              <w:t>Action / evidence</w:t>
            </w:r>
          </w:p>
        </w:tc>
        <w:tc>
          <w:tcPr>
            <w:tcW w:type="dxa" w:w="4320"/>
            <w:shd w:fill="D9EAF7"/>
            <w:tcBorders>
              <w:top w:val="single" w:sz="4" w:color="B7B7B7"/>
              <w:left w:val="single" w:sz="4" w:color="B7B7B7"/>
              <w:bottom w:val="single" w:sz="4" w:color="B7B7B7"/>
              <w:right w:val="single" w:sz="4" w:color="B7B7B7"/>
            </w:tcBorders>
          </w:tcPr>
          <w:p>
            <w:r>
              <w:rPr>
                <w:rFonts w:ascii="Times New Roman" w:hAnsi="Times New Roman"/>
                <w:b/>
                <w:sz w:val="17"/>
              </w:rPr>
              <w:t>Next state</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Committed(e,g)</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Persist candidate descriptor</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Prepared(old=(e,g), candidate=(e+1,j))</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Prepared</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Submit candidate to target</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Submitted / Verifying</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Submitted / Verifying</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NewOnly</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Committed(e+1,j)</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Submitted / Verifying</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OldOnly</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Committed(e,g); candidate aborted</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Submitted / Verifying</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Both / Neither / Contradictory / Unknown</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UnknownOutcome(old=(e,g), candidate=(e+1,j))</w:t>
            </w:r>
          </w:p>
        </w:tc>
      </w:tr>
      <w:tr>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UnknownOutcome</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Later adapter-authorized reconciliation</w:t>
            </w:r>
          </w:p>
        </w:tc>
        <w:tc>
          <w:tcPr>
            <w:tcW w:type="dxa" w:w="3312"/>
            <w:tcBorders>
              <w:top w:val="single" w:sz="4" w:color="B7B7B7"/>
              <w:left w:val="single" w:sz="4" w:color="B7B7B7"/>
              <w:bottom w:val="single" w:sz="4" w:color="B7B7B7"/>
              <w:right w:val="single" w:sz="4" w:color="B7B7B7"/>
            </w:tcBorders>
          </w:tcPr>
          <w:p>
            <w:pPr>
              <w:spacing w:after="0"/>
            </w:pPr>
            <w:r>
              <w:rPr>
                <w:rFonts w:ascii="Times New Roman" w:hAnsi="Times New Roman"/>
                <w:sz w:val="17"/>
              </w:rPr>
              <w:t>Re-enter evidence classification; never silently clear state</w:t>
            </w:r>
          </w:p>
        </w:tc>
      </w:tr>
    </w:tbl>
    <w:p>
      <w:pPr>
        <w:pStyle w:val="FirstParagraph"/>
        <w:jc w:val="both"/>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58"/>
    <w:bookmarkStart w:id="59" w:name="Xb1db450a5b276f8c16e0a87dd47f62378dd1694"/>
    <w:p>
      <w:pPr>
        <w:pStyle w:val="Heading3"/>
        <w:keepNext/>
      </w:pPr>
      <w:r>
        <w:t xml:space="preserve">6.8 Safe old-epoch retirement</w:t>
      </w:r>
    </w:p>
    <w:p>
      <w:pPr>
        <w:pStyle w:val="FirstParagraph"/>
        <w:jc w:val="both"/>
      </w:pPr>
      <w:r>
        <w:t xml:space="preserve">An epoch e may be retired only if all three conditions hold:</w:t>
      </w:r>
    </w:p>
    <w:p>
      <w:pPr>
        <w:pStyle w:val="Compact"/>
        <w:numPr>
          <w:ilvl w:val="0"/>
          <w:numId w:val="1014"/>
        </w:numPr>
        <w:jc w:val="both"/>
      </w:pPr>
      <w:r>
        <w:t xml:space="preserve">no credential is committed to e;</w:t>
      </w:r>
    </w:p>
    <w:p>
      <w:pPr>
        <w:pStyle w:val="Compact"/>
        <w:numPr>
          <w:ilvl w:val="0"/>
          <w:numId w:val="1014"/>
        </w:numPr>
        <w:jc w:val="both"/>
      </w:pPr>
      <w:r>
        <w:t xml:space="preserve">no pending or unknown operation references e as old or candidate state;</w:t>
      </w:r>
    </w:p>
    <w:p>
      <w:pPr>
        <w:pStyle w:val="Compact"/>
        <w:numPr>
          <w:ilvl w:val="0"/>
          <w:numId w:val="1014"/>
        </w:numPr>
        <w:jc w:val="both"/>
      </w:pPr>
      <w:r>
        <w:t xml:space="preserve">the configured password-history window no longer requires derivation under e, or an approved alternative history-reset procedure has been completed.</w:t>
      </w:r>
    </w:p>
    <w:p>
      <w:pPr>
        <w:pStyle w:val="FirstParagraph"/>
        <w:jc w:val="both"/>
      </w:pPr>
      <w:r>
        <w:t xml:space="preserve">Only then may honest evaluator domains erase their shares and durable encrypted backups of K_e.</w:t>
      </w:r>
    </w:p>
    <w:bookmarkEnd w:id="59"/>
    <w:bookmarkStart w:id="60" w:name="X86a5644dce939c255ab4f89cc0813ce313ce93b"/>
    <w:p>
      <w:pPr>
        <w:pStyle w:val="Heading3"/>
        <w:keepNext/>
      </w:pPr>
      <w:r>
        <w:t xml:space="preserve">6.9 Scoped post-compromise healing</w:t>
      </w:r>
    </w:p>
    <w:p>
      <w:pPr>
        <w:pStyle w:val="FirstParagraph"/>
        <w:jc w:val="both"/>
      </w:pPr>
      <w:r>
        <w:t xml:space="preserve">Suppose the adversary fully learns K_e. Any credential still committed to e 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 K_e+1.</w:t>
      </w:r>
    </w:p>
    <w:p>
      <w:pPr>
        <w:pStyle w:val="BodyText"/>
        <w:jc w:val="both"/>
      </w:pPr>
      <w:r>
        <w:rPr>
          <w:b/>
          <w:bCs/>
        </w:rPr>
        <w:t xml:space="preserve">Theorem 6 (Root-Epoch healing).</w:t>
      </w:r>
      <w:r>
        <w:t xml:space="preserve"> </w:t>
      </w:r>
      <w:r>
        <w:t xml:space="preserve">Assume K_e+1 is independently generated and the adversary does not compromise its threshold. Knowledge of K_e and all public metadata does not computationally determine ASTER outputs under epoch e+1, except through authorized evaluations or attacks on the selected threshold permutation backend.</w:t>
      </w:r>
    </w:p>
    <w:p>
      <w:pPr>
        <w:pStyle w:val="BodyText"/>
        <w:jc w:val="both"/>
      </w:pPr>
      <w:r>
        <w:t xml:space="preserve">The theorem is a separation statement between independent keys, not a claim that previously observed passwords become secret again.</w:t>
      </w:r>
    </w:p>
    <w:bookmarkEnd w:id="60"/>
    <w:bookmarkEnd w:id="61"/>
    <w:bookmarkStart w:id="73" w:name="X353f84ae4046c1527609c82ec9737e7867ed925"/>
    <w:p>
      <w:pPr>
        <w:pStyle w:val="Heading2"/>
        <w:keepNext/>
      </w:pPr>
      <w:r>
        <w:t xml:space="preserve">7. Security Analysis</w:t>
      </w:r>
    </w:p>
    <w:bookmarkStart w:id="62" w:name="X60f3444d930d7b25b2c58ddccf2d10afbf3cc48"/>
    <w:p>
      <w:pPr>
        <w:pStyle w:val="Heading3"/>
        <w:keepNext/>
      </w:pPr>
      <w:r>
        <w:t xml:space="preserve">7.1 Known password pairs</w:t>
      </w:r>
    </w:p>
    <w:p>
      <w:pPr>
        <w:pStyle w:val="FirstParagraph"/>
        <w:jc w:val="both"/>
      </w:pPr>
      <w:r>
        <w:t xml:space="preserve">For a known output (e,g,pwd_e,g),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jc w:val="both"/>
      </w:pPr>
      <w:r>
        <w:t xml:space="preserve">The design intentionally avoids relying on secrecy of policy metadata or generation counters.</w:t>
      </w:r>
    </w:p>
    <w:bookmarkEnd w:id="62"/>
    <w:bookmarkStart w:id="63" w:name="X5cf7d37d4b75eb69495d17a9184e1f6603668c9"/>
    <w:p>
      <w:pPr>
        <w:pStyle w:val="Heading3"/>
        <w:keepNext/>
      </w:pPr>
      <w:r>
        <w:t xml:space="preserve">7.2 Metadata theft</w:t>
      </w:r>
    </w:p>
    <w:p>
      <w:pPr>
        <w:pStyle w:val="FirstParagraph"/>
        <w:jc w:val="bot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3"/>
    <w:bookmarkStart w:id="64" w:name="X953e83577aebdcf631d1fb8442628f738eeaea4"/>
    <w:p>
      <w:pPr>
        <w:pStyle w:val="Heading3"/>
        <w:keepNext/>
      </w:pPr>
      <w:r>
        <w:t xml:space="preserve">7.3 Endpoint compromise</w:t>
      </w:r>
    </w:p>
    <w:p>
      <w:pPr>
        <w:pStyle w:val="FirstParagraph"/>
        <w:jc w:val="bot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4"/>
    <w:bookmarkStart w:id="65" w:name="Xd7305e6d1c2a43ef8eb7174a149df59ccbe1569"/>
    <w:p>
      <w:pPr>
        <w:pStyle w:val="Heading3"/>
        <w:keepNext/>
      </w:pPr>
      <w:r>
        <w:t xml:space="preserve">7.4 Approval Authority compromise</w:t>
      </w:r>
    </w:p>
    <w:p>
      <w:pPr>
        <w:pStyle w:val="FirstParagraph"/>
        <w:jc w:val="bot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5"/>
    <w:bookmarkStart w:id="66" w:name="Xb5309b43a9f7907e80357ed8ac35dc99c928512"/>
    <w:p>
      <w:pPr>
        <w:pStyle w:val="Heading3"/>
        <w:keepNext/>
      </w:pPr>
      <w:r>
        <w:t xml:space="preserve">7.5 Evaluator compromise</w:t>
      </w:r>
    </w:p>
    <w:p>
      <w:pPr>
        <w:pStyle w:val="FirstParagraph"/>
        <w:jc w:val="bot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jc w:val="both"/>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6"/>
    <w:bookmarkStart w:id="67" w:name="Xacf13d7810c18330e85542d23f004a5e424c48b"/>
    <w:p>
      <w:pPr>
        <w:pStyle w:val="Heading3"/>
        <w:keepNext/>
      </w:pPr>
      <w:r>
        <w:t xml:space="preserve">7.6 Capability projection and wildcarding</w:t>
      </w:r>
    </w:p>
    <w:p>
      <w:pPr>
        <w:pStyle w:val="FirstParagraph"/>
        <w:jc w:val="bot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7"/>
    <w:bookmarkStart w:id="68" w:name="Xe97156fe4e1b87953c0d16fc37d34fca1317da2"/>
    <w:p>
      <w:pPr>
        <w:pStyle w:val="Heading3"/>
        <w:keepNext/>
      </w:pPr>
      <w:r>
        <w:t xml:space="preserve">7.7 Replay and rollback</w:t>
      </w:r>
    </w:p>
    <w:p>
      <w:pPr>
        <w:pStyle w:val="FirstParagraph"/>
        <w:jc w:val="bot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8"/>
    <w:bookmarkStart w:id="69" w:name="X9e2dd341ce6853d31380474007df22e5ead9936"/>
    <w:p>
      <w:pPr>
        <w:pStyle w:val="Heading3"/>
        <w:keepNext/>
      </w:pPr>
      <w:r>
        <w:t xml:space="preserve">7.8 Root-Epoch compromise and share refresh</w:t>
      </w:r>
    </w:p>
    <w:p>
      <w:pPr>
        <w:pStyle w:val="FirstParagraph"/>
        <w:jc w:val="both"/>
      </w:pPr>
      <w:r>
        <w:t xml:space="preserve">Refreshing shares of K_e does not heal a disclosed K_e. This distinction is an explicit invariant in ASTER. Conversely, replacing K_e with K_e+1 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69"/>
    <w:bookmarkStart w:id="70" w:name="Xf6b9c1ffef1ed6ca879210fd657d89a22c7cdb8"/>
    <w:p>
      <w:pPr>
        <w:pStyle w:val="Heading3"/>
        <w:keepNext/>
      </w:pPr>
      <w:r>
        <w:t xml:space="preserve">7.9 Malicious adapter</w:t>
      </w:r>
    </w:p>
    <w:p>
      <w:pPr>
        <w:pStyle w:val="FirstParagraph"/>
        <w:jc w:val="bot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70"/>
    <w:bookmarkStart w:id="71" w:name="X65b57e0a13a610e83f18da8535e6f6b4022e833"/>
    <w:p>
      <w:pPr>
        <w:pStyle w:val="Heading3"/>
        <w:keepNext/>
      </w:pPr>
      <w:r>
        <w:t xml:space="preserve">7.10 Small accepted domains</w:t>
      </w:r>
    </w:p>
    <w:p>
      <w:pPr>
        <w:pStyle w:val="FirstParagraph"/>
        <w:jc w:val="both"/>
      </w:pPr>
      <w:r>
        <w:t xml:space="preserve">Exact uniformity cannot repair a weak policy. If N_P is small, exhaustive search may be feasible regardless of ASTER. The policy compiler should report exact H_eff and enforce a deployment-specific lower bound. The threshold backend may also have a minimum supported domain size; such backend limits are separate from password-strength policy.</w:t>
      </w:r>
    </w:p>
    <w:bookmarkEnd w:id="71"/>
    <w:bookmarkStart w:id="72" w:name="X258376244ff27db963ea6b31b0c0aaedf80e176"/>
    <w:p>
      <w:pPr>
        <w:pStyle w:val="Heading3"/>
        <w:keepNext/>
      </w:pPr>
      <w:r>
        <w:t xml:space="preserve">7.11 Denial of service and liveness</w:t>
      </w:r>
    </w:p>
    <w:p>
      <w:pPr>
        <w:pStyle w:val="FirstParagraph"/>
        <w:jc w:val="bot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2"/>
    <w:bookmarkEnd w:id="73"/>
    <w:bookmarkStart w:id="79" w:name="X1b8cde66908531a266fbd2f2860b613b029d1e7"/>
    <w:p>
      <w:pPr>
        <w:pStyle w:val="Heading2"/>
        <w:keepNext/>
      </w:pPr>
      <w:r>
        <w:t xml:space="preserve">8. Implementation Architecture</w:t>
      </w:r>
    </w:p>
    <w:bookmarkStart w:id="74" w:name="X3b5d2efd8ad2f8bfddd2f95721c0eebb2c04e78"/>
    <w:p>
      <w:pPr>
        <w:pStyle w:val="Heading3"/>
        <w:keepNext/>
      </w:pPr>
      <w:r>
        <w:t xml:space="preserve">8.1 Prototype layers</w:t>
      </w:r>
    </w:p>
    <w:p>
      <w:pPr>
        <w:pStyle w:val="FirstParagraph"/>
        <w:jc w:val="both"/>
      </w:pPr>
      <w:r>
        <w:t xml:space="preserve">The research artifact is organized into five layers.</w:t>
      </w:r>
    </w:p>
    <w:p>
      <w:pPr>
        <w:pStyle w:val="Compact"/>
        <w:numPr>
          <w:ilvl w:val="0"/>
          <w:numId w:val="1015"/>
        </w:numPr>
        <w:jc w:val="both"/>
      </w:pPr>
      <w:r>
        <w:rPr>
          <w:b/>
          <w:bCs/>
        </w:rPr>
        <w:t xml:space="preserve">Policy compiler.</w:t>
      </w:r>
      <w:r>
        <w:t xml:space="preserve"> </w:t>
      </w:r>
      <w:r>
        <w:t xml:space="preserve">Reuses the exact finite-language compiler, arbitrary-precision suffix counting, and Rank/Unrank implementation from the previous exact-policy-space prototype.</w:t>
      </w:r>
    </w:p>
    <w:p>
      <w:pPr>
        <w:pStyle w:val="Compact"/>
        <w:numPr>
          <w:ilvl w:val="0"/>
          <w:numId w:val="1015"/>
        </w:numPr>
        <w:jc w:val="both"/>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jc w:val="both"/>
      </w:pPr>
      <w:r>
        <w:rPr>
          <w:b/>
          <w:bCs/>
        </w:rPr>
        <w:t xml:space="preserve">Approval service.</w:t>
      </w:r>
      <w:r>
        <w:t xml:space="preserve"> </w:t>
      </w:r>
      <w:r>
        <w:t xml:space="preserve">Issues signed exact-scope capabilities with expiry, nonce, and use budget.</w:t>
      </w:r>
    </w:p>
    <w:p>
      <w:pPr>
        <w:pStyle w:val="Compact"/>
        <w:numPr>
          <w:ilvl w:val="0"/>
          <w:numId w:val="1015"/>
        </w:numPr>
        <w:jc w:val="both"/>
      </w:pPr>
      <w:r>
        <w:rPr>
          <w:b/>
          <w:bCs/>
        </w:rPr>
        <w:t xml:space="preserve">Threshold exact-domain evaluator.</w:t>
      </w:r>
      <w:r>
        <w:t xml:space="preserve"> </w:t>
      </w:r>
      <w:r>
        <w:t xml:space="preserve">Implements the</w:t>
      </w:r>
      <w:r>
        <w:t xml:space="preserve"> </w:t>
      </w:r>
      <w:r>
        <w:rPr>
          <w:rStyle w:val="VerbatimChar"/>
        </w:rPr>
        <w:t xml:space="preserve">DPRP.Eval</w:t>
      </w:r>
      <w:r>
        <w:t xml:space="preserve"> </w:t>
      </w:r>
      <w:r>
        <w:t xml:space="preserve">interface and internal history-exclusion comparison. The current semantic model uses a local deterministic stand-in only to validate state semantics. The submission artifact must replace this stand-in with a real 2-of-3 threshold/MPC backend.</w:t>
      </w:r>
    </w:p>
    <w:p>
      <w:pPr>
        <w:pStyle w:val="Compact"/>
        <w:numPr>
          <w:ilvl w:val="0"/>
          <w:numId w:val="1015"/>
        </w:numPr>
        <w:jc w:val="both"/>
      </w:pPr>
      <w:r>
        <w:rPr>
          <w:b/>
          <w:bCs/>
        </w:rPr>
        <w:t xml:space="preserve">Remote adapters.</w:t>
      </w:r>
      <w:r>
        <w:t xml:space="preserve"> </w:t>
      </w:r>
      <w:r>
        <w:t xml:space="preserve">Implement prepare-submit-verify-reconcile behavior for representative HTTP-form and LDAP-style targets.</w:t>
      </w:r>
    </w:p>
    <w:bookmarkEnd w:id="74"/>
    <w:bookmarkStart w:id="75" w:name="X1cf03b1051d865371435365f2d66a6291ddf84a"/>
    <w:p>
      <w:pPr>
        <w:pStyle w:val="Heading3"/>
        <w:keepNext/>
      </w:pPr>
      <w:r>
        <w:t xml:space="preserve">8.2 Normal derivation flow</w:t>
      </w:r>
    </w:p>
    <w:p>
      <w:pPr>
        <w:pStyle w:val="FirstParagraph"/>
        <w:jc w:val="both"/>
      </w:pPr>
      <w:r>
        <w:t xml:space="preserve">A normal credential derivation proceeds as follows.</w:t>
      </w:r>
    </w:p>
    <w:p>
      <w:pPr>
        <w:pStyle w:val="Compact"/>
        <w:numPr>
          <w:ilvl w:val="0"/>
          <w:numId w:val="1016"/>
        </w:numPr>
        <w:jc w:val="both"/>
      </w:pPr>
      <w:r>
        <w:t xml:space="preserve">The client loads authenticated credential metadata and reads (e,g,P,C,f).</w:t>
      </w:r>
    </w:p>
    <w:p>
      <w:pPr>
        <w:pStyle w:val="Compact"/>
        <w:numPr>
          <w:ilvl w:val="0"/>
          <w:numId w:val="1016"/>
        </w:numPr>
        <w:jc w:val="both"/>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jc w:val="both"/>
      </w:pPr>
      <w:r>
        <w:t xml:space="preserve">The client sends the request and capability to the evaluator set.</w:t>
      </w:r>
    </w:p>
    <w:p>
      <w:pPr>
        <w:pStyle w:val="Compact"/>
        <w:numPr>
          <w:ilvl w:val="0"/>
          <w:numId w:val="1016"/>
        </w:numPr>
        <w:jc w:val="both"/>
      </w:pPr>
      <w:r>
        <w:t xml:space="preserve">Each evaluator independently validates signature, complete scope, freshness, expiry, revocation, and use budget.</w:t>
      </w:r>
    </w:p>
    <w:p>
      <w:pPr>
        <w:pStyle w:val="Compact"/>
        <w:numPr>
          <w:ilvl w:val="0"/>
          <w:numId w:val="1016"/>
        </w:numPr>
        <w:jc w:val="both"/>
      </w:pPr>
      <w:r>
        <w:t xml:space="preserve">The threshold computation evaluates r_g=Π_e,C,P(g).</w:t>
      </w:r>
    </w:p>
    <w:p>
      <w:pPr>
        <w:pStyle w:val="Compact"/>
        <w:numPr>
          <w:ilvl w:val="0"/>
          <w:numId w:val="1016"/>
        </w:numPr>
        <w:jc w:val="both"/>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jc w:val="both"/>
      </w:pPr>
      <w:r>
        <w:t xml:space="preserve">The endpoint displays/submits the password and clears transient buffers on a best-effort basis.</w:t>
      </w:r>
    </w:p>
    <w:p>
      <w:pPr>
        <w:pStyle w:val="FirstParagraph"/>
        <w:jc w:val="both"/>
      </w:pPr>
      <w:r>
        <w:t xml:space="preserve">No step returns a Root-Epoch key or reusable lineage key to the endpoint.</w:t>
      </w:r>
    </w:p>
    <w:bookmarkEnd w:id="75"/>
    <w:bookmarkStart w:id="76" w:name="Xd9d3c754ed25313db19c09afc4d344327445c40"/>
    <w:p>
      <w:pPr>
        <w:pStyle w:val="Heading3"/>
        <w:keepNext/>
      </w:pPr>
      <w:r>
        <w:t xml:space="preserve">8.3 Migration flow</w:t>
      </w:r>
    </w:p>
    <w:p>
      <w:pPr>
        <w:pStyle w:val="FirstParagraph"/>
        <w:jc w:val="both"/>
      </w:pPr>
      <w:r>
        <w:t xml:space="preserve">Root-Epoch replacement adds internal history exclusion and a durable journal.</w:t>
      </w:r>
    </w:p>
    <w:p>
      <w:pPr>
        <w:pStyle w:val="Compact"/>
        <w:numPr>
          <w:ilvl w:val="0"/>
          <w:numId w:val="1017"/>
        </w:numPr>
        <w:jc w:val="both"/>
      </w:pPr>
      <w:r>
        <w:t xml:space="preserve">Evaluators generate independent Root-Epoch e+1.</w:t>
      </w:r>
    </w:p>
    <w:p>
      <w:pPr>
        <w:pStyle w:val="Compact"/>
        <w:numPr>
          <w:ilvl w:val="0"/>
          <w:numId w:val="1017"/>
        </w:numPr>
        <w:jc w:val="both"/>
      </w:pPr>
      <w:r>
        <w:t xml:space="preserve">The client requests a migration capability for one record.</w:t>
      </w:r>
    </w:p>
    <w:p>
      <w:pPr>
        <w:pStyle w:val="Compact"/>
        <w:numPr>
          <w:ilvl w:val="0"/>
          <w:numId w:val="1017"/>
        </w:numPr>
        <w:jc w:val="both"/>
      </w:pPr>
      <w:r>
        <w:t xml:space="preserve">The distributed service rederives authenticated recent history under old epochs internally.</w:t>
      </w:r>
    </w:p>
    <w:p>
      <w:pPr>
        <w:pStyle w:val="Compact"/>
        <w:numPr>
          <w:ilvl w:val="0"/>
          <w:numId w:val="1017"/>
        </w:numPr>
        <w:jc w:val="both"/>
      </w:pPr>
      <w:r>
        <w:t xml:space="preserve">It searches new-epoch generations until it finds a candidate outside the history window.</w:t>
      </w:r>
    </w:p>
    <w:p>
      <w:pPr>
        <w:pStyle w:val="Compact"/>
        <w:numPr>
          <w:ilvl w:val="0"/>
          <w:numId w:val="1017"/>
        </w:numPr>
        <w:jc w:val="both"/>
      </w:pPr>
      <w:r>
        <w:t xml:space="preserve">The client persists the candidate descriptor before submission.</w:t>
      </w:r>
    </w:p>
    <w:p>
      <w:pPr>
        <w:pStyle w:val="Compact"/>
        <w:numPr>
          <w:ilvl w:val="0"/>
          <w:numId w:val="1017"/>
        </w:numPr>
        <w:jc w:val="both"/>
      </w:pPr>
      <w:r>
        <w:t xml:space="preserve">The adapter submits the candidate password.</w:t>
      </w:r>
    </w:p>
    <w:p>
      <w:pPr>
        <w:pStyle w:val="Compact"/>
        <w:numPr>
          <w:ilvl w:val="0"/>
          <w:numId w:val="1017"/>
        </w:numPr>
        <w:jc w:val="both"/>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jc w:val="both"/>
      </w:pPr>
      <w:r>
        <w:t xml:space="preserve">After all records leave the old epoch and no history/pending dependency remains, the old epoch is retired.</w:t>
      </w:r>
    </w:p>
    <w:bookmarkEnd w:id="76"/>
    <w:bookmarkStart w:id="77" w:name="Xa576a0734c1de12972c9864ea288f1ef70a1736"/>
    <w:p>
      <w:pPr>
        <w:pStyle w:val="Heading3"/>
        <w:keepNext/>
      </w:pPr>
      <w:r>
        <w:t xml:space="preserve">8.4 Cryptographic backend options</w:t>
      </w:r>
    </w:p>
    <w:p>
      <w:pPr>
        <w:pStyle w:val="FirstParagraph"/>
        <w:jc w:val="both"/>
      </w:pPr>
      <w:r>
        <w:t xml:space="preserve">The implementation should not invent an ad-hoc “threshold FF1” and label it secure. Three defensible engineering paths exist.</w:t>
      </w:r>
    </w:p>
    <w:p>
      <w:pPr>
        <w:pStyle w:val="BodyText"/>
        <w:jc w:val="both"/>
      </w:pPr>
      <w:r>
        <w:rPr>
          <w:b/>
          <w:bCs/>
        </w:rPr>
        <w:t xml:space="preserve">Path A: generic actively secure MPC.</w:t>
      </w:r>
      <w:r>
        <w:t xml:space="preserve"> </w:t>
      </w:r>
      <w:r>
        <w:t xml:space="preserve">Implement the exact-domain PRP or a reviewed FPE construction inside MP-SPDZ or another mature MPC framework. This is the cleanest research prototype because it directly realizes the required secret-shared keyed computation and makes the trust assumptions explicit.</w:t>
      </w:r>
    </w:p>
    <w:p>
      <w:pPr>
        <w:pStyle w:val="BodyText"/>
        <w:jc w:val="both"/>
      </w:pPr>
      <w:r>
        <w:rPr>
          <w:b/>
          <w:bCs/>
        </w:rPr>
        <w:t xml:space="preserve">Path B: distributed PRF plus secure permutation layer.</w:t>
      </w:r>
      <w:r>
        <w:t xml:space="preserve"> </w:t>
      </w:r>
      <w:r>
        <w:t xml:space="preserve">Use a published dPRF/POPRF to derive a context key inside the evaluator domain, then retain that key in secret-shared form for an MPC permutation. The endpoint must not receive the derived context key.</w:t>
      </w:r>
    </w:p>
    <w:p>
      <w:pPr>
        <w:pStyle w:val="BodyText"/>
        <w:jc w:val="both"/>
      </w:pPr>
      <w:r>
        <w:rPr>
          <w:b/>
          <w:bCs/>
        </w:rPr>
        <w:t xml:space="preserve">Path C: a published threshold exact-domain primitive.</w:t>
      </w:r>
      <w:r>
        <w:t xml:space="preserve"> </w:t>
      </w:r>
      <w:r>
        <w:t xml:space="preserve">If a suitable construction with the required security model exists by submission time, instantiate it directly and reduce custom cryptographic code.</w:t>
      </w:r>
    </w:p>
    <w:p>
      <w:pPr>
        <w:pStyle w:val="BodyText"/>
        <w:jc w:val="both"/>
      </w:pPr>
      <w:r>
        <w:t xml:space="preserve">The Codex experiment specification delivered with this manuscript instructs the implementation agent to begin with Path A and to preserve a backend abstraction so alternatives can be compared.</w:t>
      </w:r>
    </w:p>
    <w:bookmarkEnd w:id="77"/>
    <w:bookmarkStart w:id="78" w:name="X07867529ac8765050d7986f767c553b3f9a45e2"/>
    <w:p>
      <w:pPr>
        <w:pStyle w:val="Heading3"/>
        <w:keepNext/>
      </w:pPr>
      <w:r>
        <w:t xml:space="preserve">8.5 Semantic reference model</w:t>
      </w:r>
    </w:p>
    <w:p>
      <w:pPr>
        <w:pStyle w:val="FirstParagraph"/>
        <w:jc w:val="both"/>
      </w:pPr>
      <w:r>
        <w:t xml:space="preserve">Before integrating expensive cryptography, we implemented an executable semantic model that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jc w:val="both"/>
      </w:pPr>
      <w:r>
        <w:t xml:space="preserve">The current model includes:</w:t>
      </w:r>
    </w:p>
    <w:p>
      <w:pPr>
        <w:pStyle w:val="Compact"/>
        <w:numPr>
          <w:ilvl w:val="0"/>
          <w:numId w:val="1018"/>
        </w:numPr>
        <w:jc w:val="both"/>
      </w:pPr>
      <w:r>
        <w:t xml:space="preserve">exact request digest construction;</w:t>
      </w:r>
    </w:p>
    <w:p>
      <w:pPr>
        <w:pStyle w:val="Compact"/>
        <w:numPr>
          <w:ilvl w:val="0"/>
          <w:numId w:val="1018"/>
        </w:numPr>
        <w:jc w:val="both"/>
      </w:pPr>
      <w:r>
        <w:t xml:space="preserve">signed capability issuance and verification;</w:t>
      </w:r>
    </w:p>
    <w:p>
      <w:pPr>
        <w:pStyle w:val="Compact"/>
        <w:numPr>
          <w:ilvl w:val="0"/>
          <w:numId w:val="1018"/>
        </w:numPr>
        <w:jc w:val="both"/>
      </w:pPr>
      <w:r>
        <w:t xml:space="preserve">expiry and single-use replay checks;</w:t>
      </w:r>
    </w:p>
    <w:p>
      <w:pPr>
        <w:pStyle w:val="Compact"/>
        <w:numPr>
          <w:ilvl w:val="0"/>
          <w:numId w:val="1018"/>
        </w:numPr>
        <w:jc w:val="both"/>
      </w:pPr>
      <w:r>
        <w:t xml:space="preserve">a finite exact-domain permutation stand-in;</w:t>
      </w:r>
    </w:p>
    <w:p>
      <w:pPr>
        <w:pStyle w:val="Compact"/>
        <w:numPr>
          <w:ilvl w:val="0"/>
          <w:numId w:val="1018"/>
        </w:numPr>
        <w:jc w:val="both"/>
      </w:pPr>
      <w:r>
        <w:t xml:space="preserve">deterministic password reconstruction;</w:t>
      </w:r>
    </w:p>
    <w:p>
      <w:pPr>
        <w:pStyle w:val="Compact"/>
        <w:numPr>
          <w:ilvl w:val="0"/>
          <w:numId w:val="1018"/>
        </w:numPr>
        <w:jc w:val="both"/>
      </w:pPr>
      <w:r>
        <w:t xml:space="preserve">cross-epoch history exclusion;</w:t>
      </w:r>
    </w:p>
    <w:p>
      <w:pPr>
        <w:pStyle w:val="Compact"/>
        <w:numPr>
          <w:ilvl w:val="0"/>
          <w:numId w:val="1018"/>
        </w:numPr>
        <w:jc w:val="both"/>
      </w:pPr>
      <w:r>
        <w:t xml:space="preserve">Root-Epoch migration state;</w:t>
      </w:r>
    </w:p>
    <w:p>
      <w:pPr>
        <w:pStyle w:val="Compact"/>
        <w:numPr>
          <w:ilvl w:val="0"/>
          <w:numId w:val="1018"/>
        </w:numPr>
        <w:jc w:val="both"/>
      </w:pPr>
      <w:r>
        <w:t xml:space="preserve">unknown-outcome preservation;</w:t>
      </w:r>
    </w:p>
    <w:p>
      <w:pPr>
        <w:pStyle w:val="Compact"/>
        <w:numPr>
          <w:ilvl w:val="0"/>
          <w:numId w:val="1018"/>
        </w:numPr>
        <w:jc w:val="both"/>
      </w:pPr>
      <w:r>
        <w:t xml:space="preserve">safe-retirement checks.</w:t>
      </w:r>
    </w:p>
    <w:p>
      <w:pPr>
        <w:pStyle w:val="FirstParagraph"/>
        <w:jc w:val="both"/>
      </w:pPr>
      <w:r>
        <w:t xml:space="preserve">Nine unit tests currently cover the properties summarized in Section 9.2.</w:t>
      </w:r>
    </w:p>
    <w:bookmarkEnd w:id="78"/>
    <w:bookmarkEnd w:id="79"/>
    <w:bookmarkStart w:id="90" w:name="Xe95df762293c706d2cd2a18ed28fd4685673df5"/>
    <w:p>
      <w:pPr>
        <w:pStyle w:val="Heading2"/>
        <w:keepNext/>
      </w:pPr>
      <w:r>
        <w:t xml:space="preserve">9. Evaluation</w:t>
      </w:r>
    </w:p>
    <w:p>
      <w:pPr>
        <w:pStyle w:val="FirstParagraph"/>
        <w:jc w:val="both"/>
      </w:pPr>
      <w:r>
        <w:t xml:space="preserve">ASTER's evaluation is divided into two stages. Stage 1 validates the executable protocol semantics already implemented. Stage 2 is the cryptographic and systems evaluation required before submission. The latter is specified completely here but its measured values are intentionally left as</w:t>
      </w:r>
      <w:r>
        <w:t xml:space="preserve"> </w:t>
      </w:r>
      <w:r>
        <w:rPr>
          <w:rStyle w:val="VerbatimChar"/>
          <w:b/>
          <w:highlight w:val="yellow"/>
        </w:rPr>
        <w:t xml:space="preserve">CODEX-RESULT</w:t>
      </w:r>
      <w:r>
        <w:t xml:space="preserve"> </w:t>
      </w:r>
      <w:r>
        <w:t xml:space="preserve">markers until the implementation agent produces reproducible results. No performance number is fabricated in this manuscript.</w:t>
      </w:r>
    </w:p>
    <w:bookmarkStart w:id="80" w:name="X67c9a277aca03d0ea860af3e41c1669934a9326"/>
    <w:p>
      <w:pPr>
        <w:pStyle w:val="Heading3"/>
        <w:keepNext/>
      </w:pPr>
      <w:r>
        <w:t xml:space="preserve">9.1 Research questions</w:t>
      </w:r>
    </w:p>
    <w:p>
      <w:pPr>
        <w:pStyle w:val="Compact"/>
        <w:numPr>
          <w:ilvl w:val="0"/>
          <w:numId w:val="1019"/>
        </w:numPr>
        <w:jc w:val="both"/>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jc w:val="both"/>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jc w:val="both"/>
      </w:pPr>
      <w:r>
        <w:rPr>
          <w:b/>
          <w:bCs/>
        </w:rPr>
        <w:t xml:space="preserve">RQ3 - Endpoint-compromise blast radius.</w:t>
      </w:r>
      <w:r>
        <w:t xml:space="preserve"> </w:t>
      </w:r>
      <w:r>
        <w:t xml:space="preserve">With only the endpoint compromised, how many unauthorized credential outputs can be obtained under exact-scope, projected-scope, and wildcard authorization policies?</w:t>
      </w:r>
    </w:p>
    <w:p>
      <w:pPr>
        <w:pStyle w:val="Compact"/>
        <w:numPr>
          <w:ilvl w:val="0"/>
          <w:numId w:val="1019"/>
        </w:numPr>
        <w:jc w:val="both"/>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jc w:val="both"/>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jc w:val="both"/>
      </w:pPr>
      <w:r>
        <w:rPr>
          <w:b/>
          <w:bCs/>
        </w:rPr>
        <w:t xml:space="preserve">RQ6 - Performance.</w:t>
      </w:r>
      <w:r>
        <w:t xml:space="preserve"> </w:t>
      </w:r>
      <w:r>
        <w:t xml:space="preserve">What are median/P95/P99 latency, online rounds, bytes transferred, evaluator CPU, and memory cost for 2-of-3 and 3-of-5 deployments on loopback, LAN, and emulated WAN?</w:t>
      </w:r>
    </w:p>
    <w:p>
      <w:pPr>
        <w:pStyle w:val="Compact"/>
        <w:numPr>
          <w:ilvl w:val="0"/>
          <w:numId w:val="1019"/>
        </w:numPr>
        <w:jc w:val="both"/>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80"/>
    <w:bookmarkStart w:id="81" w:name="X26f82fcb72e5f0ddcd15ef3a43221a77d2bfd27"/>
    <w:p>
      <w:pPr>
        <w:pStyle w:val="Heading3"/>
        <w:keepNext/>
      </w:pPr>
      <w:r>
        <w:t xml:space="preserve">9.2 Stage 1: semantic reference-model evidence</w:t>
      </w:r>
    </w:p>
    <w:p>
      <w:pPr>
        <w:pStyle w:val="FirstParagraph"/>
        <w:jc w:val="both"/>
      </w:pPr>
      <w:r>
        <w:t xml:space="preserve">The current Python semantic model executes nine tests. These are protocol tests rather than cryptographic benchmarks.</w:t>
      </w:r>
    </w:p>
    <w:p>
      <w:pPr>
        <w:pStyle w:val="BodyText"/>
        <w:keepNext/>
        <w:jc w:val="left"/>
      </w:pPr>
      <w:r>
        <w:rPr>
          <w:b/>
          <w:bCs/>
        </w:rPr>
        <w:t xml:space="preserve">Table 2. Current semantic reference-model tests.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shd w:fill="E7E6E6"/>
            <w:vAlign w:val="center"/>
          </w:tcPr>
          <w:p>
            <w:pPr>
              <w:pStyle w:val="Compact"/>
              <w:spacing w:after="0" w:line="240" w:lineRule="auto"/>
              <w:jc w:val="center"/>
            </w:pPr>
            <w:r>
              <w:rPr>
                <w:rFonts w:ascii="Times New Roman" w:hAnsi="Times New Roman"/>
                <w:b/>
                <w:sz w:val="17"/>
              </w:rPr>
              <w:t xml:space="preserve">Test</w:t>
            </w:r>
          </w:p>
        </w:tc>
        <w:tc>
          <w:tcPr>
            <w:shd w:fill="E7E6E6"/>
            <w:vAlign w:val="center"/>
          </w:tcPr>
          <w:p>
            <w:pPr>
              <w:pStyle w:val="Compact"/>
              <w:spacing w:after="0" w:line="240" w:lineRule="auto"/>
              <w:jc w:val="center"/>
            </w:pPr>
            <w:r>
              <w:rPr>
                <w:rFonts w:ascii="Times New Roman" w:hAnsi="Times New Roman"/>
                <w:b/>
                <w:sz w:val="17"/>
              </w:rPr>
              <w:t xml:space="preserve">Property exercised</w:t>
            </w:r>
          </w:p>
        </w:tc>
        <w:tc>
          <w:tcPr>
            <w:shd w:fill="E7E6E6"/>
            <w:vAlign w:val="center"/>
          </w:tcPr>
          <w:p>
            <w:pPr>
              <w:pStyle w:val="Compact"/>
              <w:spacing w:after="0" w:line="240" w:lineRule="auto"/>
              <w:jc w:val="center"/>
            </w:pPr>
            <w:r>
              <w:rPr>
                <w:rFonts w:ascii="Times New Roman" w:hAnsi="Times New Roman"/>
                <w:b/>
                <w:sz w:val="17"/>
              </w:rPr>
              <w:t xml:space="preserve">Current result</w:t>
            </w:r>
          </w:p>
        </w:tc>
      </w:tr>
      <w:tr>
        <w:tc>
          <w:tcPr>
            <w:vAlign w:val="center"/>
          </w:tcPr>
          <w:p>
            <w:pPr>
              <w:pStyle w:val="Compact"/>
              <w:spacing w:after="0" w:line="240" w:lineRule="auto"/>
              <w:jc w:val="left"/>
            </w:pPr>
            <w:r>
              <w:rPr>
                <w:rFonts w:ascii="Times New Roman" w:hAnsi="Times New Roman"/>
                <w:sz w:val="17"/>
              </w:rPr>
              <w:t xml:space="preserve">Exact-scope capability cannot amplify</w:t>
            </w:r>
          </w:p>
        </w:tc>
        <w:tc>
          <w:tcPr>
            <w:vAlign w:val="center"/>
          </w:tcPr>
          <w:p>
            <w:pPr>
              <w:pStyle w:val="Compact"/>
              <w:spacing w:after="0" w:line="240" w:lineRule="auto"/>
              <w:jc w:val="left"/>
            </w:pPr>
            <w:r>
              <w:rPr>
                <w:rFonts w:ascii="Times New Roman" w:hAnsi="Times New Roman"/>
                <w:sz w:val="17"/>
              </w:rPr>
              <w:t xml:space="preserve">Service/generation binding and replay budget</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Same-epoch sequence injectivity</w:t>
            </w:r>
          </w:p>
        </w:tc>
        <w:tc>
          <w:tcPr>
            <w:vAlign w:val="center"/>
          </w:tcPr>
          <w:p>
            <w:pPr>
              <w:pStyle w:val="Compact"/>
              <w:spacing w:after="0" w:line="240" w:lineRule="auto"/>
              <w:jc w:val="left"/>
            </w:pPr>
            <w:r>
              <w:rPr>
                <w:rFonts w:ascii="Times New Roman" w:hAnsi="Times New Roman"/>
                <w:sz w:val="17"/>
              </w:rPr>
              <w:t xml:space="preserve">5,000 generations, no duplicates in tested domain prefix</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Deterministic reconstruction</w:t>
            </w:r>
          </w:p>
        </w:tc>
        <w:tc>
          <w:tcPr>
            <w:vAlign w:val="center"/>
          </w:tcPr>
          <w:p>
            <w:pPr>
              <w:pStyle w:val="Compact"/>
              <w:spacing w:after="0" w:line="240" w:lineRule="auto"/>
              <w:jc w:val="left"/>
            </w:pPr>
            <w:r>
              <w:rPr>
                <w:rFonts w:ascii="Times New Roman" w:hAnsi="Times New Roman"/>
                <w:sz w:val="17"/>
              </w:rPr>
              <w:t xml:space="preserve">Same state returns same password</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Root-Epoch replacement changes credential family</w:t>
            </w:r>
          </w:p>
        </w:tc>
        <w:tc>
          <w:tcPr>
            <w:vAlign w:val="center"/>
          </w:tcPr>
          <w:p>
            <w:pPr>
              <w:pStyle w:val="Compact"/>
              <w:spacing w:after="0" w:line="240" w:lineRule="auto"/>
              <w:jc w:val="left"/>
            </w:pPr>
            <w:r>
              <w:rPr>
                <w:rFonts w:ascii="Times New Roman" w:hAnsi="Times New Roman"/>
                <w:sz w:val="17"/>
              </w:rPr>
              <w:t xml:space="preserve">Independent epoch key separation</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Cross-epoch history exclusion</w:t>
            </w:r>
          </w:p>
        </w:tc>
        <w:tc>
          <w:tcPr>
            <w:vAlign w:val="center"/>
          </w:tcPr>
          <w:p>
            <w:pPr>
              <w:pStyle w:val="Compact"/>
              <w:spacing w:after="0" w:line="240" w:lineRule="auto"/>
              <w:jc w:val="left"/>
            </w:pPr>
            <w:r>
              <w:rPr>
                <w:rFonts w:ascii="Times New Roman" w:hAnsi="Times New Roman"/>
                <w:sz w:val="17"/>
              </w:rPr>
              <w:t xml:space="preserve">Candidate excluded from tested old-history set</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Unknown outcome preserves both epochs</w:t>
            </w:r>
          </w:p>
        </w:tc>
        <w:tc>
          <w:tcPr>
            <w:vAlign w:val="center"/>
          </w:tcPr>
          <w:p>
            <w:pPr>
              <w:pStyle w:val="Compact"/>
              <w:spacing w:after="0" w:line="240" w:lineRule="auto"/>
              <w:jc w:val="left"/>
            </w:pPr>
            <w:r>
              <w:rPr>
                <w:rFonts w:ascii="Times New Roman" w:hAnsi="Times New Roman"/>
                <w:sz w:val="17"/>
              </w:rPr>
              <w:t xml:space="preserve">No premature commit/retirement</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Commit enables safe old-epoch retirement</w:t>
            </w:r>
          </w:p>
        </w:tc>
        <w:tc>
          <w:tcPr>
            <w:vAlign w:val="center"/>
          </w:tcPr>
          <w:p>
            <w:pPr>
              <w:pStyle w:val="Compact"/>
              <w:spacing w:after="0" w:line="240" w:lineRule="auto"/>
              <w:jc w:val="left"/>
            </w:pPr>
            <w:r>
              <w:rPr>
                <w:rFonts w:ascii="Times New Roman" w:hAnsi="Times New Roman"/>
                <w:sz w:val="17"/>
              </w:rPr>
              <w:t xml:space="preserve">Dependency guard</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Unknown state blocks retirement</w:t>
            </w:r>
          </w:p>
        </w:tc>
        <w:tc>
          <w:tcPr>
            <w:vAlign w:val="center"/>
          </w:tcPr>
          <w:p>
            <w:pPr>
              <w:pStyle w:val="Compact"/>
              <w:spacing w:after="0" w:line="240" w:lineRule="auto"/>
              <w:jc w:val="left"/>
            </w:pPr>
            <w:r>
              <w:rPr>
                <w:rFonts w:ascii="Times New Roman" w:hAnsi="Times New Roman"/>
                <w:sz w:val="17"/>
              </w:rPr>
              <w:t xml:space="preserve">Safe-retirement invariant</w:t>
            </w:r>
          </w:p>
        </w:tc>
        <w:tc>
          <w:tcPr>
            <w:vAlign w:val="center"/>
          </w:tcPr>
          <w:p>
            <w:pPr>
              <w:pStyle w:val="Compact"/>
              <w:spacing w:after="0" w:line="240" w:lineRule="auto"/>
              <w:jc w:val="left"/>
            </w:pPr>
            <w:r>
              <w:rPr>
                <w:rFonts w:ascii="Times New Roman" w:hAnsi="Times New Roman"/>
                <w:sz w:val="17"/>
              </w:rPr>
              <w:t xml:space="preserve">Pass</w:t>
            </w:r>
          </w:p>
        </w:tc>
      </w:tr>
      <w:tr>
        <w:tc>
          <w:tcPr>
            <w:vAlign w:val="center"/>
          </w:tcPr>
          <w:p>
            <w:pPr>
              <w:pStyle w:val="Compact"/>
              <w:spacing w:after="0" w:line="240" w:lineRule="auto"/>
              <w:jc w:val="left"/>
            </w:pPr>
            <w:r>
              <w:rPr>
                <w:rFonts w:ascii="Times New Roman" w:hAnsi="Times New Roman"/>
                <w:sz w:val="17"/>
              </w:rPr>
              <w:t xml:space="preserve">Old root does not instantiate new epoch</w:t>
            </w:r>
          </w:p>
        </w:tc>
        <w:tc>
          <w:tcPr>
            <w:vAlign w:val="center"/>
          </w:tcPr>
          <w:p>
            <w:pPr>
              <w:pStyle w:val="Compact"/>
              <w:spacing w:after="0" w:line="240" w:lineRule="auto"/>
              <w:jc w:val="left"/>
            </w:pPr>
            <w:r>
              <w:rPr>
                <w:rFonts w:ascii="Times New Roman" w:hAnsi="Times New Roman"/>
                <w:sz w:val="17"/>
              </w:rPr>
              <w:t xml:space="preserve">Post-compromise separation in semantic model</w:t>
            </w:r>
          </w:p>
        </w:tc>
        <w:tc>
          <w:tcPr>
            <w:vAlign w:val="center"/>
          </w:tcPr>
          <w:p>
            <w:pPr>
              <w:pStyle w:val="Compact"/>
              <w:spacing w:after="0" w:line="240" w:lineRule="auto"/>
              <w:jc w:val="left"/>
            </w:pPr>
            <w:r>
              <w:rPr>
                <w:rFonts w:ascii="Times New Roman" w:hAnsi="Times New Roman"/>
                <w:sz w:val="17"/>
              </w:rPr>
              <w:t xml:space="preserve">Pass</w:t>
            </w:r>
          </w:p>
        </w:tc>
      </w:tr>
    </w:tbl>
    <w:p>
      <w:pPr>
        <w:pStyle w:val="BodyText"/>
        <w:jc w:val="both"/>
      </w:pPr>
      <w:r>
        <w:t xml:space="preserve">On the current development machine, the test suite completed in 0.183 s. This timing is included only as a sanity check for the reference model; it has no relevance to threshold/MPC deployment performance.</w:t>
      </w:r>
    </w:p>
    <w:bookmarkEnd w:id="81"/>
    <w:bookmarkStart w:id="82" w:name="X0f86ee14d68d76f519c8529fb10066add7f448b"/>
    <w:p>
      <w:pPr>
        <w:pStyle w:val="Heading3"/>
        <w:keepNext/>
      </w:pPr>
      <w:r>
        <w:t xml:space="preserve">9.3 RQ1: exact policy-space correctness</w:t>
      </w:r>
    </w:p>
    <w:p>
      <w:pPr>
        <w:pStyle w:val="FirstParagraph"/>
        <w:jc w:val="both"/>
      </w:pPr>
      <w:r>
        <w:t xml:space="preserve">The full implementation will reuse the public policy corpus and translation provenance used by the exact-policy-space prototype. For every exactly translated policy P, the experiment will:</w:t>
      </w:r>
    </w:p>
    <w:p>
      <w:pPr>
        <w:pStyle w:val="Compact"/>
        <w:numPr>
          <w:ilvl w:val="0"/>
          <w:numId w:val="1020"/>
        </w:numPr>
        <w:jc w:val="both"/>
      </w:pPr>
      <w:r>
        <w:t xml:space="preserve">compile P under a fixed state/memory/time budget;</w:t>
      </w:r>
    </w:p>
    <w:p>
      <w:pPr>
        <w:pStyle w:val="Compact"/>
        <w:numPr>
          <w:ilvl w:val="0"/>
          <w:numId w:val="1020"/>
        </w:numPr>
        <w:jc w:val="both"/>
      </w:pPr>
      <w:r>
        <w:t xml:space="preserve">verify</w:t>
      </w:r>
      <w:r>
        <w:t xml:space="preserve"> </w:t>
      </w:r>
      <w:r>
        <w:rPr>
          <w:rStyle w:val="VerbatimChar"/>
        </w:rPr>
        <w:t xml:space="preserve">Rank(Unrank(r))=r</w:t>
      </w:r>
      <w:r>
        <w:t xml:space="preserve"> </w:t>
      </w:r>
      <w:r>
        <w:t xml:space="preserve">for random and boundary ranks;</w:t>
      </w:r>
    </w:p>
    <w:p>
      <w:pPr>
        <w:pStyle w:val="Compact"/>
        <w:numPr>
          <w:ilvl w:val="0"/>
          <w:numId w:val="1020"/>
        </w:numPr>
        <w:jc w:val="both"/>
      </w:pPr>
      <w:r>
        <w:t xml:space="preserve">derive min(100000,N_P) sequential generations in each tested lineage;</w:t>
      </w:r>
    </w:p>
    <w:p>
      <w:pPr>
        <w:pStyle w:val="Compact"/>
        <w:numPr>
          <w:ilvl w:val="0"/>
          <w:numId w:val="1020"/>
        </w:numPr>
        <w:jc w:val="both"/>
      </w:pPr>
      <w:r>
        <w:t xml:space="preserve">check policy membership, deterministic replay, and duplicates;</w:t>
      </w:r>
    </w:p>
    <w:p>
      <w:pPr>
        <w:pStyle w:val="Compact"/>
        <w:numPr>
          <w:ilvl w:val="0"/>
          <w:numId w:val="1020"/>
        </w:numPr>
        <w:jc w:val="both"/>
      </w:pPr>
      <w:r>
        <w:t xml:space="preserve">record N_P, H_eff, automaton states, compiler time, RSS, and online Rank/Unrank latency.</w:t>
      </w:r>
    </w:p>
    <w:p>
      <w:pPr>
        <w:pStyle w:val="FirstParagraph"/>
        <w:jc w:val="both"/>
      </w:pPr>
      <w:r>
        <w:rPr>
          <w:b/>
          <w:bCs/>
          <w:highlight w:val="yellow"/>
        </w:rPr>
        <w:t xml:space="preserve">CODEX-RESULT RQ1-TEXT:</w:t>
      </w:r>
      <w:r>
        <w:t xml:space="preserve"> </w:t>
      </w:r>
      <w:r>
        <w:t xml:space="preserve">Replace this marker with the number of source policies, number exactly translated, number successfully compiled, total generated credentials, policy violations, duplicate count, replay mismatches, median/P95 compile time, and the largest observed automaton/domain.</w:t>
      </w:r>
    </w:p>
    <w:p>
      <w:pPr>
        <w:pStyle w:val="BodyText"/>
        <w:keepNext/>
        <w:jc w:val="left"/>
      </w:pPr>
      <w:r>
        <w:rPr>
          <w:b/>
          <w:bCs/>
        </w:rPr>
        <w:t xml:space="preserve">Table 3. Exact-policy-space results.</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shd w:fill="E7E6E6"/>
            <w:vAlign w:val="center"/>
          </w:tcPr>
          <w:p>
            <w:pPr>
              <w:pStyle w:val="Compact"/>
              <w:spacing w:after="0" w:line="240" w:lineRule="auto"/>
              <w:jc w:val="center"/>
            </w:pPr>
            <w:r>
              <w:rPr>
                <w:rFonts w:ascii="Times New Roman" w:hAnsi="Times New Roman"/>
                <w:b/>
                <w:sz w:val="17"/>
              </w:rPr>
              <w:t xml:space="preserve">Metric</w:t>
            </w:r>
          </w:p>
        </w:tc>
        <w:tc>
          <w:tcPr>
            <w:shd w:fill="E7E6E6"/>
            <w:vAlign w:val="center"/>
          </w:tcPr>
          <w:p>
            <w:pPr>
              <w:pStyle w:val="Compact"/>
              <w:spacing w:after="0" w:line="240" w:lineRule="auto"/>
              <w:jc w:val="center"/>
            </w:pPr>
            <w:r>
              <w:rPr>
                <w:rFonts w:ascii="Times New Roman" w:hAnsi="Times New Roman"/>
                <w:b/>
                <w:sz w:val="17"/>
              </w:rPr>
              <w:t xml:space="preserve">Result</w:t>
            </w:r>
          </w:p>
        </w:tc>
      </w:tr>
      <w:tr>
        <w:tc>
          <w:tcPr>
            <w:vAlign w:val="center"/>
          </w:tcPr>
          <w:p>
            <w:pPr>
              <w:pStyle w:val="Compact"/>
              <w:spacing w:after="0" w:line="240" w:lineRule="auto"/>
              <w:jc w:val="left"/>
            </w:pPr>
            <w:r>
              <w:rPr>
                <w:rFonts w:ascii="Times New Roman" w:hAnsi="Times New Roman"/>
                <w:sz w:val="17"/>
              </w:rPr>
              <w:t xml:space="preserve">Source policies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Exactly translated policies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Successfully compiled</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Generated credential instances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Policy violations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Same-lineage duplicates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Replay mismatches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Median compile time</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P95 compile time</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Median Rank/Unrank latency</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bl>
    <w:p>
      <w:pPr>
        <w:pStyle w:val="BodyText"/>
        <w:jc w:val="both"/>
      </w:pPr>
      <w:r>
        <w:t xml:space="preserve">Expected safety result: zero policy violations, duplicates, and replay mismatches for all successful derivations. Any non-zero value is a correctness failure, not an acceptable performance trade-off.</w:t>
      </w:r>
    </w:p>
    <w:bookmarkEnd w:id="82"/>
    <w:bookmarkStart w:id="83" w:name="Xf87d90efcaaf92cb4a17588131c41669ce0f3f2"/>
    <w:p>
      <w:pPr>
        <w:pStyle w:val="Heading3"/>
        <w:keepNext/>
      </w:pPr>
      <w:r>
        <w:t xml:space="preserve">9.4 RQ2: authorization confinement and negative controls</w:t>
      </w:r>
    </w:p>
    <w:p>
      <w:pPr>
        <w:pStyle w:val="FirstParagraph"/>
        <w:jc w:val="both"/>
      </w:pPr>
      <w:r>
        <w:t xml:space="preserve">Construct a context universe with factorial combinations of service, account, lineage, policy epoch, Root-Epoch, and generation. Compare three ticket policies:</w:t>
      </w:r>
    </w:p>
    <w:p>
      <w:pPr>
        <w:pStyle w:val="Compact"/>
        <w:numPr>
          <w:ilvl w:val="0"/>
          <w:numId w:val="1021"/>
        </w:numPr>
        <w:jc w:val="both"/>
      </w:pPr>
      <w:r>
        <w:rPr>
          <w:b/>
          <w:bCs/>
        </w:rPr>
        <w:t xml:space="preserve">Exact</w:t>
      </w:r>
      <w:r>
        <w:t xml:space="preserve">: binds every ASTER field;</w:t>
      </w:r>
    </w:p>
    <w:p>
      <w:pPr>
        <w:pStyle w:val="Compact"/>
        <w:numPr>
          <w:ilvl w:val="0"/>
          <w:numId w:val="1021"/>
        </w:numPr>
        <w:jc w:val="both"/>
      </w:pPr>
      <w:r>
        <w:rPr>
          <w:b/>
          <w:bCs/>
        </w:rPr>
        <w:t xml:space="preserve">Projected</w:t>
      </w:r>
      <w:r>
        <w:t xml:space="preserve">: intentionally omits selected fields, e.g. generation and lineage;</w:t>
      </w:r>
    </w:p>
    <w:p>
      <w:pPr>
        <w:pStyle w:val="Compact"/>
        <w:numPr>
          <w:ilvl w:val="0"/>
          <w:numId w:val="1021"/>
        </w:numPr>
        <w:jc w:val="both"/>
      </w:pPr>
      <w:r>
        <w:rPr>
          <w:b/>
          <w:bCs/>
        </w:rPr>
        <w:t xml:space="preserve">Wildcard</w:t>
      </w:r>
      <w:r>
        <w:t xml:space="preserve">: authorizes all contexts for a test vault.</w:t>
      </w:r>
    </w:p>
    <w:p>
      <w:pPr>
        <w:pStyle w:val="FirstParagraph"/>
        <w:jc w:val="both"/>
      </w:pPr>
      <w:r>
        <w:t xml:space="preserve">For each policy and authorization budget q in {1,2,4,8,16,32}, attempt every candidate request and count accepted distinct outputs.</w:t>
      </w:r>
    </w:p>
    <w:p>
      <w:pPr>
        <w:pStyle w:val="BodyText"/>
        <w:jc w:val="both"/>
      </w:pPr>
      <w:r>
        <w:rPr>
          <w:b/>
          <w:bCs/>
          <w:highlight w:val="yellow"/>
        </w:rPr>
        <w:t xml:space="preserve">CODEX-RESULT RQ2-TEXT:</w:t>
      </w:r>
      <w:r>
        <w:t xml:space="preserve"> </w:t>
      </w:r>
      <w:r>
        <w:t xml:space="preserve">Report exact-scope spill, projected-scope equivalence-class sizes, wildcard spill, and confirmation that removing each individual validation (expiry, nonce replay, freshness generation, root epoch, generation, lineage, policy hash) produces the expected counterexample.</w:t>
      </w:r>
    </w:p>
    <w:p>
      <w:pPr>
        <w:pStyle w:val="BodyText"/>
        <w:keepNext/>
        <w:jc w:val="left"/>
      </w:pPr>
      <w:r>
        <w:rPr>
          <w:b/>
          <w:bCs/>
        </w:rPr>
        <w:t xml:space="preserve">Table 4. Authorization spill under controlled scope policies.</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shd w:fill="E7E6E6"/>
            <w:vAlign w:val="center"/>
          </w:tcPr>
          <w:p>
            <w:pPr>
              <w:pStyle w:val="Compact"/>
              <w:spacing w:after="0" w:line="240" w:lineRule="auto"/>
              <w:jc w:val="center"/>
            </w:pPr>
            <w:r>
              <w:rPr>
                <w:rFonts w:ascii="Times New Roman" w:hAnsi="Times New Roman"/>
                <w:b/>
                <w:sz w:val="17"/>
              </w:rPr>
              <w:t xml:space="preserve">Capability binding</w:t>
            </w:r>
          </w:p>
        </w:tc>
        <w:tc>
          <w:tcPr>
            <w:shd w:fill="E7E6E6"/>
            <w:vAlign w:val="center"/>
          </w:tcPr>
          <w:p>
            <w:pPr>
              <w:pStyle w:val="Compact"/>
              <w:spacing w:after="0" w:line="240" w:lineRule="auto"/>
              <w:jc w:val="center"/>
            </w:pPr>
            <w:r>
              <w:rPr>
                <w:rFonts w:ascii="Times New Roman" w:hAnsi="Times New Roman"/>
                <w:b/>
                <w:sz w:val="17"/>
              </w:rPr>
              <w:t xml:space="preserve">Candidate contexts</w:t>
            </w:r>
          </w:p>
        </w:tc>
        <w:tc>
          <w:tcPr>
            <w:shd w:fill="E7E6E6"/>
            <w:vAlign w:val="center"/>
          </w:tcPr>
          <w:p>
            <w:pPr>
              <w:pStyle w:val="Compact"/>
              <w:spacing w:after="0" w:line="240" w:lineRule="auto"/>
              <w:jc w:val="center"/>
            </w:pPr>
            <w:r>
              <w:rPr>
                <w:rFonts w:ascii="Times New Roman" w:hAnsi="Times New Roman"/>
                <w:b/>
                <w:sz w:val="17"/>
              </w:rPr>
              <w:t xml:space="preserve">Intended outputs</w:t>
            </w:r>
          </w:p>
        </w:tc>
        <w:tc>
          <w:tcPr>
            <w:shd w:fill="E7E6E6"/>
            <w:vAlign w:val="center"/>
          </w:tcPr>
          <w:p>
            <w:pPr>
              <w:pStyle w:val="Compact"/>
              <w:spacing w:after="0" w:line="240" w:lineRule="auto"/>
              <w:jc w:val="center"/>
            </w:pPr>
            <w:r>
              <w:rPr>
                <w:rFonts w:ascii="Times New Roman" w:hAnsi="Times New Roman"/>
                <w:b/>
                <w:sz w:val="17"/>
              </w:rPr>
              <w:t xml:space="preserve">Accepted outputs</w:t>
            </w:r>
          </w:p>
        </w:tc>
        <w:tc>
          <w:tcPr>
            <w:shd w:fill="E7E6E6"/>
            <w:vAlign w:val="center"/>
          </w:tcPr>
          <w:p>
            <w:pPr>
              <w:pStyle w:val="Compact"/>
              <w:spacing w:after="0" w:line="240" w:lineRule="auto"/>
              <w:jc w:val="center"/>
            </w:pPr>
            <w:r>
              <w:rPr>
                <w:rFonts w:ascii="Times New Roman" w:hAnsi="Times New Roman"/>
                <w:b/>
                <w:sz w:val="17"/>
              </w:rPr>
              <w:t xml:space="preserve">Unauthorized spill</w:t>
            </w:r>
          </w:p>
        </w:tc>
      </w:tr>
      <w:tr>
        <w:tc>
          <w:tcPr>
            <w:vAlign w:val="center"/>
          </w:tcPr>
          <w:p>
            <w:pPr>
              <w:pStyle w:val="Compact"/>
              <w:spacing w:after="0" w:line="240" w:lineRule="auto"/>
              <w:jc w:val="left"/>
            </w:pPr>
            <w:r>
              <w:rPr>
                <w:rFonts w:ascii="Times New Roman" w:hAnsi="Times New Roman"/>
                <w:sz w:val="17"/>
              </w:rPr>
              <w:t xml:space="preserve">Complete ASTER context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sz w:val="17"/>
              </w:rPr>
              <w:t xml:space="preserve">1</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Service/account only</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sz w:val="17"/>
              </w:rPr>
              <w:t xml:space="preserve">1</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Wildcard negative control</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sz w:val="17"/>
              </w:rPr>
              <w:t xml:space="preserve">1</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bl>
    <w:p>
      <w:pPr>
        <w:pStyle w:val="BodyText"/>
        <w:jc w:val="both"/>
      </w:pPr>
      <w:r>
        <w:t xml:space="preserve">The exact configuration should satisfy Theorem 5. The projected and wildcard configurations are expected to violate the one-capability/one-output contract by construction and therefore serve as negative controls rather than competing designs.</w:t>
      </w:r>
    </w:p>
    <w:bookmarkEnd w:id="83"/>
    <w:bookmarkStart w:id="84" w:name="X6331d6558aedbb2e8846639538542ffd72940f4"/>
    <w:p>
      <w:pPr>
        <w:pStyle w:val="Heading3"/>
        <w:keepNext/>
      </w:pPr>
      <w:r>
        <w:t xml:space="preserve">9.5 RQ3: endpoint-compromise blast radius</w:t>
      </w:r>
    </w:p>
    <w:p>
      <w:pPr>
        <w:pStyle w:val="FirstParagraph"/>
        <w:jc w:val="bot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The attacker receives a full memory snapshot at three times: before authorization, while one credential is being returned, and immediately after the operation. It also receives the local metadata database and any bearer material that the endpoint legitimately holds.</w:t>
      </w:r>
    </w:p>
    <w:p>
      <w:pPr>
        <w:pStyle w:val="BodyText"/>
        <w:jc w:val="both"/>
      </w:pPr>
      <w:r>
        <w:t xml:space="preserve">Measure:</w:t>
      </w:r>
    </w:p>
    <w:p>
      <w:pPr>
        <w:pStyle w:val="Compact"/>
        <w:numPr>
          <w:ilvl w:val="0"/>
          <w:numId w:val="1022"/>
        </w:numPr>
        <w:jc w:val="both"/>
      </w:pPr>
      <w:r>
        <w:t xml:space="preserve">passwords directly present in the snapshot;</w:t>
      </w:r>
    </w:p>
    <w:p>
      <w:pPr>
        <w:pStyle w:val="Compact"/>
        <w:numPr>
          <w:ilvl w:val="0"/>
          <w:numId w:val="1022"/>
        </w:numPr>
        <w:jc w:val="both"/>
      </w:pPr>
      <w:r>
        <w:t xml:space="preserve">additional outputs derivable offline;</w:t>
      </w:r>
    </w:p>
    <w:p>
      <w:pPr>
        <w:pStyle w:val="Compact"/>
        <w:numPr>
          <w:ilvl w:val="0"/>
          <w:numId w:val="1022"/>
        </w:numPr>
        <w:jc w:val="both"/>
      </w:pPr>
      <w:r>
        <w:t xml:space="preserve">additional outputs obtainable by replaying observed tokens;</w:t>
      </w:r>
    </w:p>
    <w:p>
      <w:pPr>
        <w:pStyle w:val="Compact"/>
        <w:numPr>
          <w:ilvl w:val="0"/>
          <w:numId w:val="1022"/>
        </w:numPr>
        <w:jc w:val="both"/>
      </w:pPr>
      <w:r>
        <w:t xml:space="preserve">additional outputs obtainable without new Approval Authority interaction;</w:t>
      </w:r>
    </w:p>
    <w:p>
      <w:pPr>
        <w:pStyle w:val="Compact"/>
        <w:numPr>
          <w:ilvl w:val="0"/>
          <w:numId w:val="1022"/>
        </w:numPr>
        <w:jc w:val="both"/>
      </w:pPr>
      <w:r>
        <w:t xml:space="preserve">additional outputs obtainable if the Approval Authority is also compromised.</w:t>
      </w:r>
    </w:p>
    <w:p>
      <w:pPr>
        <w:pStyle w:val="FirstParagraph"/>
        <w:jc w:val="both"/>
      </w:pPr>
      <w:r>
        <w:t xml:space="preserve">Baselines:</w:t>
      </w:r>
    </w:p>
    <w:p>
      <w:pPr>
        <w:pStyle w:val="Compact"/>
        <w:numPr>
          <w:ilvl w:val="0"/>
          <w:numId w:val="1023"/>
        </w:numPr>
        <w:jc w:val="both"/>
      </w:pPr>
      <w:r>
        <w:t xml:space="preserve">local Root-Key reconstruction;</w:t>
      </w:r>
    </w:p>
    <w:p>
      <w:pPr>
        <w:pStyle w:val="Compact"/>
        <w:numPr>
          <w:ilvl w:val="0"/>
          <w:numId w:val="1023"/>
        </w:numPr>
        <w:jc w:val="both"/>
      </w:pPr>
      <w:r>
        <w:t xml:space="preserve">local reusable per-lineage key;</w:t>
      </w:r>
    </w:p>
    <w:p>
      <w:pPr>
        <w:pStyle w:val="Compact"/>
        <w:numPr>
          <w:ilvl w:val="0"/>
          <w:numId w:val="1023"/>
        </w:numPr>
        <w:jc w:val="both"/>
      </w:pPr>
      <w:r>
        <w:t xml:space="preserve">single remote PRF service with broad input authorization;</w:t>
      </w:r>
    </w:p>
    <w:p>
      <w:pPr>
        <w:pStyle w:val="Compact"/>
        <w:numPr>
          <w:ilvl w:val="0"/>
          <w:numId w:val="1023"/>
        </w:numPr>
        <w:jc w:val="both"/>
      </w:pPr>
      <w:r>
        <w:t xml:space="preserve">ASTER exact-scope threshold evaluation.</w:t>
      </w:r>
    </w:p>
    <w:p>
      <w:pPr>
        <w:pStyle w:val="FirstParagraph"/>
        <w:jc w:val="both"/>
      </w:pPr>
      <w:r>
        <w:rPr>
          <w:b/>
          <w:bCs/>
          <w:highlight w:val="yellow"/>
        </w:rPr>
        <w:t xml:space="preserve">CODEX-RESULT RQ3-TEXT:</w:t>
      </w:r>
      <w:r>
        <w:t xml:space="preserve"> </w:t>
      </w:r>
      <w:r>
        <w:t xml:space="preserve">Replace with measured output cardinalities and a concise interpretation. The key expected separation is that ASTER endpoint-only compromise exposes the in-flight plaintext plus at most the remaining exact capability budget, while reusable-key baselines permit offline derivation of a larger family.</w:t>
      </w:r>
    </w:p>
    <w:bookmarkEnd w:id="84"/>
    <w:bookmarkStart w:id="85" w:name="X75489118dbd9bd47e8eddf0ca7579b5b89e69e0"/>
    <w:p>
      <w:pPr>
        <w:pStyle w:val="Heading3"/>
        <w:keepNext/>
      </w:pPr>
      <w:r>
        <w:t xml:space="preserve">9.6 RQ4: Root-Epoch healing</w:t>
      </w:r>
    </w:p>
    <w:p>
      <w:pPr>
        <w:pStyle w:val="FirstParagraph"/>
        <w:jc w:val="both"/>
      </w:pPr>
      <w:r>
        <w:t xml:space="preserve">Create M credentials committed to epoch e. Expose the complete old Root-Epoch secret to the attacker, then create independent epoch e+1 and migrate credentials in batches.</w:t>
      </w:r>
    </w:p>
    <w:p>
      <w:pPr>
        <w:pStyle w:val="BodyText"/>
        <w:jc w:val="both"/>
      </w:pPr>
      <w:r>
        <w:t xml:space="preserve">After each batch, test every credential against the attacker's retained old-root state. Report the number of credentials still derivable by the attacker and the number that require fresh authorized access to e+1.</w:t>
      </w:r>
    </w:p>
    <w:p>
      <w:pPr>
        <w:pStyle w:val="BodyText"/>
        <w:jc w:val="both"/>
      </w:pPr>
      <w:r>
        <w:t xml:space="preserve">Inject an additional negative control that merely refreshes the shares of K_e without changing the root. The old-root attacker should retain derivation capability in that control.</w:t>
      </w:r>
    </w:p>
    <w:p>
      <w:pPr>
        <w:pStyle w:val="BodyText"/>
        <w:jc w:val="both"/>
      </w:pPr>
      <w:r>
        <w:rPr>
          <w:b/>
          <w:bCs/>
          <w:highlight w:val="yellow"/>
        </w:rPr>
        <w:t xml:space="preserve">CODEX-RESULT RQ4-TEXT:</w:t>
      </w:r>
      <w:r>
        <w:t xml:space="preserve"> </w:t>
      </w:r>
      <w:r>
        <w:t xml:space="preserve">Report M, migration batch sizes, exact exposure curve, whether any conclusively migrated credential remained computable from the old root, and whether the share-refresh negative control correctly failed to heal.</w:t>
      </w:r>
    </w:p>
    <w:p>
      <w:pPr>
        <w:pStyle w:val="BodyText"/>
        <w:keepNext/>
        <w:jc w:val="left"/>
      </w:pPr>
      <w:r>
        <w:rPr>
          <w:b/>
          <w:bCs/>
        </w:rPr>
        <w:t xml:space="preserve">Figure 2 (to be generated by Codex).</w:t>
      </w:r>
      <w:r>
        <w:rPr>
          <w:b/>
        </w:rPr>
        <w:t xml:space="preserve"> </w:t>
      </w:r>
      <w:r>
        <w:rPr>
          <w:b/>
        </w:rPr>
        <w:t xml:space="preserve">Number of credentials derivable from the compromised old root as a function of completed Root-Epoch migrations. Include the share-refresh negative control as a horizontal curve.</w:t>
      </w:r>
    </w:p>
    <w:bookmarkEnd w:id="85"/>
    <w:bookmarkStart w:id="86" w:name="X293e13b7469aed7088736f88cb822a6196ecd48"/>
    <w:p>
      <w:pPr>
        <w:pStyle w:val="Heading3"/>
        <w:keepNext/>
      </w:pPr>
      <w:r>
        <w:t xml:space="preserve">9.7 RQ5: failure injection and model checking</w:t>
      </w:r>
    </w:p>
    <w:p>
      <w:pPr>
        <w:pStyle w:val="FirstParagraph"/>
        <w:jc w:val="both"/>
      </w:pPr>
      <w:r>
        <w:t xml:space="preserve">The migration implementation will inject faults at every persistence/network boundary:</w:t>
      </w:r>
    </w:p>
    <w:p>
      <w:pPr>
        <w:pStyle w:val="Compact"/>
        <w:numPr>
          <w:ilvl w:val="0"/>
          <w:numId w:val="1024"/>
        </w:numPr>
        <w:jc w:val="both"/>
      </w:pPr>
      <w:r>
        <w:t xml:space="preserve">crash before candidate journal fsync;</w:t>
      </w:r>
    </w:p>
    <w:p>
      <w:pPr>
        <w:pStyle w:val="Compact"/>
        <w:numPr>
          <w:ilvl w:val="0"/>
          <w:numId w:val="1024"/>
        </w:numPr>
        <w:jc w:val="both"/>
      </w:pPr>
      <w:r>
        <w:t xml:space="preserve">crash after fsync but before submission;</w:t>
      </w:r>
    </w:p>
    <w:p>
      <w:pPr>
        <w:pStyle w:val="Compact"/>
        <w:numPr>
          <w:ilvl w:val="0"/>
          <w:numId w:val="1024"/>
        </w:numPr>
        <w:jc w:val="both"/>
      </w:pPr>
      <w:r>
        <w:t xml:space="preserve">request dropped before target commit;</w:t>
      </w:r>
    </w:p>
    <w:p>
      <w:pPr>
        <w:pStyle w:val="Compact"/>
        <w:numPr>
          <w:ilvl w:val="0"/>
          <w:numId w:val="1024"/>
        </w:numPr>
        <w:jc w:val="both"/>
      </w:pPr>
      <w:r>
        <w:t xml:space="preserve">target commits but response is dropped;</w:t>
      </w:r>
    </w:p>
    <w:p>
      <w:pPr>
        <w:pStyle w:val="Compact"/>
        <w:numPr>
          <w:ilvl w:val="0"/>
          <w:numId w:val="1024"/>
        </w:numPr>
        <w:jc w:val="both"/>
      </w:pPr>
      <w:r>
        <w:t xml:space="preserve">delayed LDAP replication;</w:t>
      </w:r>
    </w:p>
    <w:p>
      <w:pPr>
        <w:pStyle w:val="Compact"/>
        <w:numPr>
          <w:ilvl w:val="0"/>
          <w:numId w:val="1024"/>
        </w:numPr>
        <w:jc w:val="both"/>
      </w:pPr>
      <w:r>
        <w:t xml:space="preserve">new-password verification unavailable;</w:t>
      </w:r>
    </w:p>
    <w:p>
      <w:pPr>
        <w:pStyle w:val="Compact"/>
        <w:numPr>
          <w:ilvl w:val="0"/>
          <w:numId w:val="1024"/>
        </w:numPr>
        <w:jc w:val="both"/>
      </w:pPr>
      <w:r>
        <w:t xml:space="preserve">old-password verification unavailable;</w:t>
      </w:r>
    </w:p>
    <w:p>
      <w:pPr>
        <w:pStyle w:val="Compact"/>
        <w:numPr>
          <w:ilvl w:val="0"/>
          <w:numId w:val="1024"/>
        </w:numPr>
        <w:jc w:val="both"/>
      </w:pPr>
      <w:r>
        <w:t xml:space="preserve">both passwords accepted;</w:t>
      </w:r>
    </w:p>
    <w:p>
      <w:pPr>
        <w:pStyle w:val="Compact"/>
        <w:numPr>
          <w:ilvl w:val="0"/>
          <w:numId w:val="1024"/>
        </w:numPr>
        <w:jc w:val="both"/>
      </w:pPr>
      <w:r>
        <w:t xml:space="preserve">neither password accepted;</w:t>
      </w:r>
    </w:p>
    <w:p>
      <w:pPr>
        <w:pStyle w:val="Compact"/>
        <w:numPr>
          <w:ilvl w:val="0"/>
          <w:numId w:val="1024"/>
        </w:numPr>
        <w:jc w:val="both"/>
      </w:pPr>
      <w:r>
        <w:t xml:space="preserve">contradictory evidence sources;</w:t>
      </w:r>
    </w:p>
    <w:p>
      <w:pPr>
        <w:pStyle w:val="Compact"/>
        <w:numPr>
          <w:ilvl w:val="0"/>
          <w:numId w:val="1024"/>
        </w:numPr>
        <w:jc w:val="both"/>
      </w:pPr>
      <w:r>
        <w:t xml:space="preserve">process restart during</w:t>
      </w:r>
      <w:r>
        <w:t xml:space="preserve"> </w:t>
      </w:r>
      <w:r>
        <w:rPr>
          <w:rStyle w:val="VerbatimChar"/>
        </w:rPr>
        <w:t xml:space="preserve">UnknownOutcome</w:t>
      </w:r>
      <w:r>
        <w:t xml:space="preserve">;</w:t>
      </w:r>
    </w:p>
    <w:p>
      <w:pPr>
        <w:pStyle w:val="Compact"/>
        <w:numPr>
          <w:ilvl w:val="0"/>
          <w:numId w:val="1024"/>
        </w:numPr>
        <w:jc w:val="both"/>
      </w:pPr>
      <w:r>
        <w:t xml:space="preserve">stale local snapshot replay;</w:t>
      </w:r>
    </w:p>
    <w:p>
      <w:pPr>
        <w:pStyle w:val="Compact"/>
        <w:numPr>
          <w:ilvl w:val="0"/>
          <w:numId w:val="1024"/>
        </w:numPr>
        <w:jc w:val="both"/>
      </w:pPr>
      <w:r>
        <w:t xml:space="preserve">stale capability replay;</w:t>
      </w:r>
    </w:p>
    <w:p>
      <w:pPr>
        <w:pStyle w:val="Compact"/>
        <w:numPr>
          <w:ilvl w:val="0"/>
          <w:numId w:val="1024"/>
        </w:numPr>
        <w:jc w:val="both"/>
      </w:pPr>
      <w:r>
        <w:t xml:space="preserve">stale Root-Epoch/freshness generation.</w:t>
      </w:r>
    </w:p>
    <w:p>
      <w:pPr>
        <w:pStyle w:val="FirstParagraph"/>
        <w:jc w:val="both"/>
      </w:pPr>
      <w:r>
        <w:t xml:space="preserve">The required invariants are:</w:t>
      </w:r>
    </w:p>
    <w:p>
      <w:pPr>
        <w:pStyle w:val="Compact"/>
        <w:numPr>
          <w:ilvl w:val="0"/>
          <w:numId w:val="1025"/>
        </w:numPr>
        <w:jc w:val="both"/>
      </w:pPr>
      <w:r>
        <w:rPr>
          <w:b/>
          <w:bCs/>
        </w:rPr>
        <w:t xml:space="preserve">I1:</w:t>
      </w:r>
      <w:r>
        <w:t xml:space="preserve"> </w:t>
      </w:r>
      <w:r>
        <w:t xml:space="preserve">local committed state never advances solely from generic transport success;</w:t>
      </w:r>
    </w:p>
    <w:p>
      <w:pPr>
        <w:pStyle w:val="Compact"/>
        <w:numPr>
          <w:ilvl w:val="0"/>
          <w:numId w:val="1025"/>
        </w:numPr>
        <w:jc w:val="both"/>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5"/>
        </w:numPr>
        <w:jc w:val="both"/>
      </w:pPr>
      <w:r>
        <w:rPr>
          <w:b/>
          <w:bCs/>
        </w:rPr>
        <w:t xml:space="preserve">I3:</w:t>
      </w:r>
      <w:r>
        <w:t xml:space="preserve"> </w:t>
      </w:r>
      <w:r>
        <w:t xml:space="preserve">an epoch referenced by committed/pending/history state cannot be retired;</w:t>
      </w:r>
    </w:p>
    <w:p>
      <w:pPr>
        <w:pStyle w:val="Compact"/>
        <w:numPr>
          <w:ilvl w:val="0"/>
          <w:numId w:val="1025"/>
        </w:numPr>
        <w:jc w:val="both"/>
      </w:pPr>
      <w:r>
        <w:rPr>
          <w:b/>
          <w:bCs/>
        </w:rPr>
        <w:t xml:space="preserve">I4:</w:t>
      </w:r>
      <w:r>
        <w:t xml:space="preserve"> </w:t>
      </w:r>
      <w:r>
        <w:t xml:space="preserve">exact capabilities cannot be replayed outside their scope or use budget;</w:t>
      </w:r>
    </w:p>
    <w:p>
      <w:pPr>
        <w:pStyle w:val="Compact"/>
        <w:numPr>
          <w:ilvl w:val="0"/>
          <w:numId w:val="1025"/>
        </w:numPr>
        <w:jc w:val="both"/>
      </w:pPr>
      <w:r>
        <w:rPr>
          <w:b/>
          <w:bCs/>
        </w:rPr>
        <w:t xml:space="preserve">I5:</w:t>
      </w:r>
      <w:r>
        <w:t xml:space="preserve"> </w:t>
      </w:r>
      <w:r>
        <w:t xml:space="preserve">commit to the new epoch requires the adapter's configured singleton evidence condition.</w:t>
      </w:r>
    </w:p>
    <w:p>
      <w:pPr>
        <w:pStyle w:val="FirstParagraph"/>
        <w:jc w:val="both"/>
      </w:pPr>
      <w:r>
        <w:t xml:space="preserve">A TLA+ model should include positive and deliberately broken configurations. Negative controls should include “commit on HTTP 200,” “drop candidate on timeout,” “ignore generation/freshness,” and “allow old-epoch retirement during UnknownOutcome.”</w:t>
      </w:r>
    </w:p>
    <w:p>
      <w:pPr>
        <w:pStyle w:val="BodyText"/>
        <w:jc w:val="both"/>
      </w:pPr>
      <w:r>
        <w:rPr>
          <w:b/>
          <w:bCs/>
          <w:highlight w:val="yellow"/>
        </w:rPr>
        <w:t xml:space="preserve">CODEX-RESULT RQ5-TEXT:</w:t>
      </w:r>
      <w:r>
        <w:t xml:space="preserve"> </w:t>
      </w:r>
      <w:r>
        <w:t xml:space="preserve">Report scenario count, generated/distinct TLC states, maximum depth, invariant violations in the positive model, and counterexamples detected in every negative control.</w:t>
      </w:r>
    </w:p>
    <w:bookmarkEnd w:id="86"/>
    <w:bookmarkStart w:id="87" w:name="Xddc14fb973521e8ece6678a6c89705b460d72f1"/>
    <w:p>
      <w:pPr>
        <w:pStyle w:val="Heading3"/>
        <w:keepNext/>
      </w:pPr>
      <w:r>
        <w:t xml:space="preserve">9.8 RQ6: threshold/MPC performance</w:t>
      </w:r>
    </w:p>
    <w:p>
      <w:pPr>
        <w:pStyle w:val="FirstParagraph"/>
        <w:jc w:val="both"/>
      </w:pPr>
      <w:r>
        <w:t xml:space="preserve">The primary concrete backend should be a 2-of-3 actively secure MPC deployment with a 3-of-5 configuration as a scalability comparison. Benchmark:</w:t>
      </w:r>
    </w:p>
    <w:p>
      <w:pPr>
        <w:pStyle w:val="Compact"/>
        <w:numPr>
          <w:ilvl w:val="0"/>
          <w:numId w:val="1026"/>
        </w:numPr>
        <w:jc w:val="both"/>
      </w:pPr>
      <w:r>
        <w:t xml:space="preserve">DKG / Root-Epoch creation;</w:t>
      </w:r>
    </w:p>
    <w:p>
      <w:pPr>
        <w:pStyle w:val="Compact"/>
        <w:numPr>
          <w:ilvl w:val="0"/>
          <w:numId w:val="1026"/>
        </w:numPr>
        <w:jc w:val="both"/>
      </w:pPr>
      <w:r>
        <w:t xml:space="preserve">normal exact-domain derivation;</w:t>
      </w:r>
    </w:p>
    <w:p>
      <w:pPr>
        <w:pStyle w:val="Compact"/>
        <w:numPr>
          <w:ilvl w:val="0"/>
          <w:numId w:val="1026"/>
        </w:numPr>
        <w:jc w:val="both"/>
      </w:pPr>
      <w:r>
        <w:t xml:space="preserve">capability verification cost;</w:t>
      </w:r>
    </w:p>
    <w:p>
      <w:pPr>
        <w:pStyle w:val="Compact"/>
        <w:numPr>
          <w:ilvl w:val="0"/>
          <w:numId w:val="1026"/>
        </w:numPr>
        <w:jc w:val="both"/>
      </w:pPr>
      <w:r>
        <w:t xml:space="preserve">cross-epoch history exclusion for h in {0,1,5,10,24};</w:t>
      </w:r>
    </w:p>
    <w:p>
      <w:pPr>
        <w:pStyle w:val="Compact"/>
        <w:numPr>
          <w:ilvl w:val="0"/>
          <w:numId w:val="1026"/>
        </w:numPr>
        <w:jc w:val="both"/>
      </w:pPr>
      <w:r>
        <w:t xml:space="preserve">migration candidate selection;</w:t>
      </w:r>
    </w:p>
    <w:p>
      <w:pPr>
        <w:pStyle w:val="Compact"/>
        <w:numPr>
          <w:ilvl w:val="0"/>
          <w:numId w:val="1026"/>
        </w:numPr>
        <w:jc w:val="both"/>
      </w:pPr>
      <w:r>
        <w:t xml:space="preserve">reconciliation;</w:t>
      </w:r>
    </w:p>
    <w:p>
      <w:pPr>
        <w:pStyle w:val="Compact"/>
        <w:numPr>
          <w:ilvl w:val="0"/>
          <w:numId w:val="1026"/>
        </w:numPr>
        <w:jc w:val="both"/>
      </w:pPr>
      <w:r>
        <w:t xml:space="preserve">share refresh, if the backend supports it;</w:t>
      </w:r>
    </w:p>
    <w:p>
      <w:pPr>
        <w:pStyle w:val="Compact"/>
        <w:numPr>
          <w:ilvl w:val="0"/>
          <w:numId w:val="1026"/>
        </w:numPr>
        <w:jc w:val="both"/>
      </w:pPr>
      <w:r>
        <w:t xml:space="preserve">root-epoch replacement/migration as a distinct operation.</w:t>
      </w:r>
    </w:p>
    <w:p>
      <w:pPr>
        <w:pStyle w:val="FirstParagraph"/>
        <w:jc w:val="both"/>
      </w:pPr>
      <w:r>
        <w:t xml:space="preserve">Network profiles:</w:t>
      </w:r>
    </w:p>
    <w:p>
      <w:pPr>
        <w:pStyle w:val="Compact"/>
        <w:numPr>
          <w:ilvl w:val="0"/>
          <w:numId w:val="1027"/>
        </w:numPr>
        <w:jc w:val="both"/>
      </w:pPr>
      <w:r>
        <w:t xml:space="preserve">loopback;</w:t>
      </w:r>
    </w:p>
    <w:p>
      <w:pPr>
        <w:pStyle w:val="Compact"/>
        <w:numPr>
          <w:ilvl w:val="0"/>
          <w:numId w:val="1027"/>
        </w:numPr>
        <w:jc w:val="both"/>
      </w:pPr>
      <w:r>
        <w:t xml:space="preserve">LAN (e.g. 0.5-2 ms RTT);</w:t>
      </w:r>
    </w:p>
    <w:p>
      <w:pPr>
        <w:pStyle w:val="Compact"/>
        <w:numPr>
          <w:ilvl w:val="0"/>
          <w:numId w:val="1027"/>
        </w:numPr>
        <w:jc w:val="both"/>
      </w:pPr>
      <w:r>
        <w:t xml:space="preserve">regional WAN (e.g. 20-40 ms RTT);</w:t>
      </w:r>
    </w:p>
    <w:p>
      <w:pPr>
        <w:pStyle w:val="Compact"/>
        <w:numPr>
          <w:ilvl w:val="0"/>
          <w:numId w:val="1027"/>
        </w:numPr>
        <w:jc w:val="both"/>
      </w:pPr>
      <w:r>
        <w:t xml:space="preserve">high-latency WAN (e.g. 80-120 ms RTT).</w:t>
      </w:r>
    </w:p>
    <w:p>
      <w:pPr>
        <w:pStyle w:val="FirstParagraph"/>
        <w:jc w:val="both"/>
      </w:pPr>
      <w:r>
        <w:t xml:space="preserve">For each operation report median, P95, P99, online rounds, bytes sent/received per party, server CPU time, and peak RSS.</w:t>
      </w:r>
    </w:p>
    <w:p>
      <w:pPr>
        <w:pStyle w:val="BodyText"/>
        <w:keepNext/>
        <w:jc w:val="left"/>
      </w:pPr>
      <w:r>
        <w:rPr>
          <w:b/>
          <w:bCs/>
        </w:rPr>
        <w:t xml:space="preserve">Table 5. Threshold evaluator performance.</w:t>
      </w:r>
    </w:p>
    <w:tbl>
      <w:tblPr>
        <w:tblStyle w:val="Table"/>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fill="E7E6E6"/>
            <w:vAlign w:val="center"/>
          </w:tcPr>
          <w:p>
            <w:pPr>
              <w:pStyle w:val="Compact"/>
              <w:spacing w:after="0" w:line="240" w:lineRule="auto"/>
              <w:jc w:val="center"/>
            </w:pPr>
            <w:r>
              <w:rPr>
                <w:rFonts w:ascii="Times New Roman" w:hAnsi="Times New Roman"/>
                <w:b/>
                <w:sz w:val="17"/>
              </w:rPr>
              <w:t xml:space="preserve">Operation</w:t>
            </w:r>
          </w:p>
        </w:tc>
        <w:tc>
          <w:tcPr>
            <w:shd w:fill="E7E6E6"/>
            <w:vAlign w:val="center"/>
          </w:tcPr>
          <w:p>
            <w:pPr>
              <w:pStyle w:val="Compact"/>
              <w:spacing w:after="0" w:line="240" w:lineRule="auto"/>
              <w:jc w:val="center"/>
            </w:pPr>
            <w:r>
              <w:rPr>
                <w:rFonts w:ascii="Times New Roman" w:hAnsi="Times New Roman"/>
                <w:b/>
                <w:sz w:val="17"/>
              </w:rPr>
              <w:t xml:space="preserve">Topology</w:t>
            </w:r>
          </w:p>
        </w:tc>
        <w:tc>
          <w:tcPr>
            <w:shd w:fill="E7E6E6"/>
            <w:vAlign w:val="center"/>
          </w:tcPr>
          <w:p>
            <w:pPr>
              <w:pStyle w:val="Compact"/>
              <w:spacing w:after="0" w:line="240" w:lineRule="auto"/>
              <w:jc w:val="center"/>
            </w:pPr>
            <w:r>
              <w:rPr>
                <w:rFonts w:ascii="Times New Roman" w:hAnsi="Times New Roman"/>
                <w:b/>
                <w:sz w:val="17"/>
              </w:rPr>
              <w:t xml:space="preserve">Median</w:t>
            </w:r>
          </w:p>
        </w:tc>
        <w:tc>
          <w:tcPr>
            <w:shd w:fill="E7E6E6"/>
            <w:vAlign w:val="center"/>
          </w:tcPr>
          <w:p>
            <w:pPr>
              <w:pStyle w:val="Compact"/>
              <w:spacing w:after="0" w:line="240" w:lineRule="auto"/>
              <w:jc w:val="center"/>
            </w:pPr>
            <w:r>
              <w:rPr>
                <w:rFonts w:ascii="Times New Roman" w:hAnsi="Times New Roman"/>
                <w:b/>
                <w:sz w:val="17"/>
              </w:rPr>
              <w:t xml:space="preserve">P95</w:t>
            </w:r>
          </w:p>
        </w:tc>
        <w:tc>
          <w:tcPr>
            <w:shd w:fill="E7E6E6"/>
            <w:vAlign w:val="center"/>
          </w:tcPr>
          <w:p>
            <w:pPr>
              <w:pStyle w:val="Compact"/>
              <w:spacing w:after="0" w:line="240" w:lineRule="auto"/>
              <w:jc w:val="center"/>
            </w:pPr>
            <w:r>
              <w:rPr>
                <w:rFonts w:ascii="Times New Roman" w:hAnsi="Times New Roman"/>
                <w:b/>
                <w:sz w:val="17"/>
              </w:rPr>
              <w:t xml:space="preserve">P99</w:t>
            </w:r>
          </w:p>
        </w:tc>
        <w:tc>
          <w:tcPr>
            <w:shd w:fill="E7E6E6"/>
            <w:vAlign w:val="center"/>
          </w:tcPr>
          <w:p>
            <w:pPr>
              <w:pStyle w:val="Compact"/>
              <w:spacing w:after="0" w:line="240" w:lineRule="auto"/>
              <w:jc w:val="center"/>
            </w:pPr>
            <w:r>
              <w:rPr>
                <w:rFonts w:ascii="Times New Roman" w:hAnsi="Times New Roman"/>
                <w:b/>
                <w:sz w:val="17"/>
              </w:rPr>
              <w:t xml:space="preserve">Online rounds</w:t>
            </w:r>
          </w:p>
        </w:tc>
        <w:tc>
          <w:tcPr>
            <w:shd w:fill="E7E6E6"/>
            <w:vAlign w:val="center"/>
          </w:tcPr>
          <w:p>
            <w:pPr>
              <w:pStyle w:val="Compact"/>
              <w:spacing w:after="0" w:line="240" w:lineRule="auto"/>
              <w:jc w:val="center"/>
            </w:pPr>
            <w:r>
              <w:rPr>
                <w:rFonts w:ascii="Times New Roman" w:hAnsi="Times New Roman"/>
                <w:b/>
                <w:sz w:val="17"/>
              </w:rPr>
              <w:t xml:space="preserve">Bytes transferred</w:t>
            </w:r>
          </w:p>
        </w:tc>
        <w:tc>
          <w:tcPr>
            <w:shd w:fill="E7E6E6"/>
            <w:vAlign w:val="center"/>
          </w:tcPr>
          <w:p>
            <w:pPr>
              <w:pStyle w:val="Compact"/>
              <w:spacing w:after="0" w:line="240" w:lineRule="auto"/>
              <w:jc w:val="center"/>
            </w:pPr>
            <w:r>
              <w:rPr>
                <w:rFonts w:ascii="Times New Roman" w:hAnsi="Times New Roman"/>
                <w:b/>
                <w:sz w:val="17"/>
              </w:rPr>
              <w:t xml:space="preserve">Peak RSS</w:t>
            </w:r>
          </w:p>
        </w:tc>
      </w:tr>
      <w:tr>
        <w:tc>
          <w:tcPr>
            <w:vAlign w:val="center"/>
          </w:tcPr>
          <w:p>
            <w:pPr>
              <w:pStyle w:val="Compact"/>
              <w:spacing w:after="0" w:line="240" w:lineRule="auto"/>
              <w:jc w:val="left"/>
            </w:pPr>
            <w:r>
              <w:rPr>
                <w:rFonts w:ascii="Times New Roman" w:hAnsi="Times New Roman"/>
                <w:sz w:val="17"/>
              </w:rPr>
              <w:t xml:space="preserve">Derive, 2-of-3</w:t>
            </w:r>
          </w:p>
        </w:tc>
        <w:tc>
          <w:tcPr>
            <w:vAlign w:val="center"/>
          </w:tcPr>
          <w:p>
            <w:pPr>
              <w:pStyle w:val="Compact"/>
              <w:spacing w:after="0" w:line="240" w:lineRule="auto"/>
              <w:jc w:val="left"/>
            </w:pPr>
            <w:r>
              <w:rPr>
                <w:rFonts w:ascii="Times New Roman" w:hAnsi="Times New Roman"/>
                <w:sz w:val="17"/>
              </w:rPr>
              <w:t xml:space="preserve">Loopback</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Derive, 2-of-3</w:t>
            </w:r>
          </w:p>
        </w:tc>
        <w:tc>
          <w:tcPr>
            <w:vAlign w:val="center"/>
          </w:tcPr>
          <w:p>
            <w:pPr>
              <w:pStyle w:val="Compact"/>
              <w:spacing w:after="0" w:line="240" w:lineRule="auto"/>
              <w:jc w:val="left"/>
            </w:pPr>
            <w:r>
              <w:rPr>
                <w:rFonts w:ascii="Times New Roman" w:hAnsi="Times New Roman"/>
                <w:sz w:val="17"/>
              </w:rPr>
              <w:t xml:space="preserve">LAN</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Derive, 2-of-3</w:t>
            </w:r>
          </w:p>
        </w:tc>
        <w:tc>
          <w:tcPr>
            <w:vAlign w:val="center"/>
          </w:tcPr>
          <w:p>
            <w:pPr>
              <w:pStyle w:val="Compact"/>
              <w:spacing w:after="0" w:line="240" w:lineRule="auto"/>
              <w:jc w:val="left"/>
            </w:pPr>
            <w:r>
              <w:rPr>
                <w:rFonts w:ascii="Times New Roman" w:hAnsi="Times New Roman"/>
                <w:sz w:val="17"/>
              </w:rPr>
              <w:t xml:space="preserve">WAN-40ms</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Derive, 3-of-5</w:t>
            </w:r>
          </w:p>
        </w:tc>
        <w:tc>
          <w:tcPr>
            <w:vAlign w:val="center"/>
          </w:tcPr>
          <w:p>
            <w:pPr>
              <w:pStyle w:val="Compact"/>
              <w:spacing w:after="0" w:line="240" w:lineRule="auto"/>
              <w:jc w:val="left"/>
            </w:pPr>
            <w:r>
              <w:rPr>
                <w:rFonts w:ascii="Times New Roman" w:hAnsi="Times New Roman"/>
                <w:sz w:val="17"/>
              </w:rPr>
              <w:t xml:space="preserve">LAN</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r>
        <w:tc>
          <w:tcPr>
            <w:vAlign w:val="center"/>
          </w:tcPr>
          <w:p>
            <w:pPr>
              <w:pStyle w:val="Compact"/>
              <w:spacing w:after="0" w:line="240" w:lineRule="auto"/>
              <w:jc w:val="left"/>
            </w:pPr>
            <w:r>
              <w:rPr>
                <w:rFonts w:ascii="Times New Roman" w:hAnsi="Times New Roman"/>
                <w:sz w:val="17"/>
              </w:rPr>
              <w:t xml:space="preserve">Migration, h=10</w:t>
            </w:r>
          </w:p>
        </w:tc>
        <w:tc>
          <w:tcPr>
            <w:vAlign w:val="center"/>
          </w:tcPr>
          <w:p>
            <w:pPr>
              <w:pStyle w:val="Compact"/>
              <w:spacing w:after="0" w:line="240" w:lineRule="auto"/>
              <w:jc w:val="left"/>
            </w:pPr>
            <w:r>
              <w:rPr>
                <w:rFonts w:ascii="Times New Roman" w:hAnsi="Times New Roman"/>
                <w:sz w:val="17"/>
              </w:rPr>
              <w:t xml:space="preserve">LAN</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c>
          <w:tcPr>
            <w:vAlign w:val="center"/>
          </w:tcPr>
          <w:p>
            <w:pPr>
              <w:pStyle w:val="Compact"/>
              <w:spacing w:after="0" w:line="240" w:lineRule="auto"/>
              <w:jc w:val="right"/>
            </w:pPr>
            <w:r>
              <w:rPr>
                <w:rFonts w:ascii="Times New Roman" w:hAnsi="Times New Roman"/>
                <w:b/>
                <w:bCs/>
                <w:sz w:val="17"/>
                <w:highlight w:val="yellow"/>
              </w:rPr>
              <w:t xml:space="preserve">CODEX-RESULT</w:t>
            </w:r>
          </w:p>
        </w:tc>
      </w:tr>
    </w:tbl>
    <w:p>
      <w:pPr>
        <w:pStyle w:val="BodyText"/>
        <w:jc w:val="both"/>
      </w:pPr>
      <w:r>
        <w:rPr>
          <w:b/>
          <w:bCs/>
          <w:highlight w:val="yellow"/>
        </w:rPr>
        <w:t xml:space="preserve">CODEX-RESULT RQ6-TEXT:</w:t>
      </w:r>
      <w:r>
        <w:t xml:space="preserve"> </w:t>
      </w:r>
      <w:r>
        <w:t xml:space="preserve">Replace with a paragraph explaining whether latency is interactive, which component dominates, and how much WAN RTT amplifies the cost relative to local execution.</w:t>
      </w:r>
    </w:p>
    <w:bookmarkEnd w:id="87"/>
    <w:bookmarkStart w:id="88" w:name="X8f8d86b4437fd09a25c20cc0679171cf7477ed8"/>
    <w:p>
      <w:pPr>
        <w:pStyle w:val="Heading3"/>
        <w:keepNext/>
      </w:pPr>
      <w:r>
        <w:t xml:space="preserve">9.9 RQ7: scalability</w:t>
      </w:r>
    </w:p>
    <w:p>
      <w:pPr>
        <w:pStyle w:val="FirstParagraph"/>
        <w:jc w:val="both"/>
      </w:pPr>
      <w:r>
        <w:t xml:space="preserve">Scale the number of managed credential contexts from 10^2 to 10^5 while keeping the Root-Epoch secret constant-size. Measure Approval Authority indexing, replay-state storage, evaluator metadata, and offline analysis cost. Separately scale password-policy automaton size and exact domain size.</w:t>
      </w:r>
    </w:p>
    <w:p>
      <w:pPr>
        <w:pStyle w:val="BodyText"/>
        <w:jc w:val="both"/>
      </w:pPr>
      <w:r>
        <w:rPr>
          <w:b/>
          <w:bCs/>
          <w:highlight w:val="yellow"/>
        </w:rPr>
        <w:t xml:space="preserve">CODEX-RESULT RQ7-TEXT:</w:t>
      </w:r>
      <w:r>
        <w:t xml:space="preserve"> </w:t>
      </w:r>
      <w:r>
        <w:t xml:space="preserve">Report observed complexity trends and any budget at which the policy compiler or MPC backend fails closed.</w:t>
      </w:r>
    </w:p>
    <w:bookmarkEnd w:id="88"/>
    <w:bookmarkStart w:id="89" w:name="X57e7ce887589134c9a128bbc7cb87bc57634e77"/>
    <w:p>
      <w:pPr>
        <w:pStyle w:val="Heading3"/>
        <w:keepNext/>
      </w:pPr>
      <w:r>
        <w:t xml:space="preserve">9.10 Reproducibility requirements</w:t>
      </w:r>
    </w:p>
    <w:p>
      <w:pPr>
        <w:pStyle w:val="FirstParagraph"/>
        <w:jc w:val="both"/>
      </w:pPr>
      <w:r>
        <w:t xml:space="preserve">The artifact should include:</w:t>
      </w:r>
    </w:p>
    <w:p>
      <w:pPr>
        <w:pStyle w:val="Compact"/>
        <w:numPr>
          <w:ilvl w:val="0"/>
          <w:numId w:val="1028"/>
        </w:numPr>
        <w:jc w:val="both"/>
      </w:pPr>
      <w:r>
        <w:t xml:space="preserve">fixed dependency lockfiles;</w:t>
      </w:r>
    </w:p>
    <w:p>
      <w:pPr>
        <w:pStyle w:val="Compact"/>
        <w:numPr>
          <w:ilvl w:val="0"/>
          <w:numId w:val="1028"/>
        </w:numPr>
        <w:jc w:val="both"/>
      </w:pPr>
      <w:r>
        <w:t xml:space="preserve">build scripts for all evaluator parties;</w:t>
      </w:r>
    </w:p>
    <w:p>
      <w:pPr>
        <w:pStyle w:val="Compact"/>
        <w:numPr>
          <w:ilvl w:val="0"/>
          <w:numId w:val="1028"/>
        </w:numPr>
        <w:jc w:val="both"/>
      </w:pPr>
      <w:r>
        <w:t xml:space="preserve">public policy corpus translation provenance;</w:t>
      </w:r>
    </w:p>
    <w:p>
      <w:pPr>
        <w:pStyle w:val="Compact"/>
        <w:numPr>
          <w:ilvl w:val="0"/>
          <w:numId w:val="1028"/>
        </w:numPr>
        <w:jc w:val="both"/>
      </w:pPr>
      <w:r>
        <w:t xml:space="preserve">deterministic experiment configuration files;</w:t>
      </w:r>
    </w:p>
    <w:p>
      <w:pPr>
        <w:pStyle w:val="Compact"/>
        <w:numPr>
          <w:ilvl w:val="0"/>
          <w:numId w:val="1028"/>
        </w:numPr>
        <w:jc w:val="both"/>
      </w:pPr>
      <w:r>
        <w:t xml:space="preserve">raw JSON/CSV output;</w:t>
      </w:r>
    </w:p>
    <w:p>
      <w:pPr>
        <w:pStyle w:val="Compact"/>
        <w:numPr>
          <w:ilvl w:val="0"/>
          <w:numId w:val="1028"/>
        </w:numPr>
        <w:jc w:val="both"/>
      </w:pPr>
      <w:r>
        <w:t xml:space="preserve">scripts that regenerate every table and figure;</w:t>
      </w:r>
    </w:p>
    <w:p>
      <w:pPr>
        <w:pStyle w:val="Compact"/>
        <w:numPr>
          <w:ilvl w:val="0"/>
          <w:numId w:val="1028"/>
        </w:numPr>
        <w:jc w:val="both"/>
      </w:pPr>
      <w:r>
        <w:t xml:space="preserve">TLA+ model and all positive/negative configurations;</w:t>
      </w:r>
    </w:p>
    <w:p>
      <w:pPr>
        <w:pStyle w:val="Compact"/>
        <w:numPr>
          <w:ilvl w:val="0"/>
          <w:numId w:val="1028"/>
        </w:numPr>
        <w:jc w:val="both"/>
      </w:pPr>
      <w:r>
        <w:t xml:space="preserve">packet/byte accounting scripts;</w:t>
      </w:r>
    </w:p>
    <w:p>
      <w:pPr>
        <w:pStyle w:val="Compact"/>
        <w:numPr>
          <w:ilvl w:val="0"/>
          <w:numId w:val="1028"/>
        </w:numPr>
        <w:jc w:val="both"/>
      </w:pPr>
      <w:r>
        <w:t xml:space="preserve">fault-injection harness;</w:t>
      </w:r>
    </w:p>
    <w:p>
      <w:pPr>
        <w:pStyle w:val="Compact"/>
        <w:numPr>
          <w:ilvl w:val="0"/>
          <w:numId w:val="1028"/>
        </w:numPr>
        <w:jc w:val="both"/>
      </w:pPr>
      <w:r>
        <w:t xml:space="preserve">exact software/hardware environment capture;</w:t>
      </w:r>
    </w:p>
    <w:p>
      <w:pPr>
        <w:pStyle w:val="Compact"/>
        <w:numPr>
          <w:ilvl w:val="0"/>
          <w:numId w:val="1028"/>
        </w:numPr>
        <w:jc w:val="both"/>
      </w:pPr>
      <w:r>
        <w:t xml:space="preserve">a one-command top-level reproduction target.</w:t>
      </w:r>
    </w:p>
    <w:p>
      <w:pPr>
        <w:pStyle w:val="FirstParagraph"/>
        <w:jc w:val="both"/>
      </w:pPr>
      <w:r>
        <w:t xml:space="preserve">Measured results must be generated from raw files, not manually copied into source tables.</w:t>
      </w:r>
    </w:p>
    <w:bookmarkEnd w:id="89"/>
    <w:bookmarkEnd w:id="90"/>
    <w:bookmarkStart w:id="101" w:name="X397f04cebbbd70e53b716f4ab7e4718baeec90c"/>
    <w:p>
      <w:pPr>
        <w:pStyle w:val="Heading2"/>
        <w:keepNext/>
      </w:pPr>
      <w:r>
        <w:t xml:space="preserve">10. Discussion and Limitations</w:t>
      </w:r>
    </w:p>
    <w:bookmarkStart w:id="91" w:name="X8ce68df9d553cdf01628c512d498b4935d13afb"/>
    <w:p>
      <w:pPr>
        <w:pStyle w:val="Heading3"/>
        <w:keepNext/>
      </w:pPr>
      <w:r>
        <w:t xml:space="preserve">10.1 ASTER remains a legacy compatibility mechanism</w:t>
      </w:r>
    </w:p>
    <w:p>
      <w:pPr>
        <w:pStyle w:val="FirstParagraph"/>
        <w:jc w:val="bot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1"/>
    <w:bookmarkStart w:id="92" w:name="X0a2ec08088c402841184db44ac62a652fe5e76f"/>
    <w:p>
      <w:pPr>
        <w:pStyle w:val="Heading3"/>
        <w:keepNext/>
      </w:pPr>
      <w:r>
        <w:t xml:space="preserve">10.2 Plaintext necessarily exists at the legacy boundary</w:t>
      </w:r>
    </w:p>
    <w:p>
      <w:pPr>
        <w:pStyle w:val="FirstParagraph"/>
        <w:jc w:val="bot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2"/>
    <w:bookmarkStart w:id="93" w:name="Xd3b613a4b7b0d3c9523d26f501898f3e05860fe"/>
    <w:p>
      <w:pPr>
        <w:pStyle w:val="Heading3"/>
        <w:keepNext/>
      </w:pPr>
      <w:r>
        <w:t xml:space="preserve">10.3 Threshold deployment independence is operational, not mathematical</w:t>
      </w:r>
    </w:p>
    <w:p>
      <w:pPr>
        <w:pStyle w:val="FirstParagraph"/>
        <w:jc w:val="both"/>
      </w:pPr>
      <w:r>
        <w:t xml:space="preserve">A nominal 2-of-3 deployment is not secure if one administrative credential, cloud control plane, hypervisor, or compromised endpoint can control two evaluator domains. The paper's evaluation must therefore document compromise domains and deployment topology, not only cryptographic threshold parameters.</w:t>
      </w:r>
    </w:p>
    <w:bookmarkEnd w:id="93"/>
    <w:bookmarkStart w:id="94" w:name="X5c560f229017e7a8c8354e1c344f36edca2202f"/>
    <w:p>
      <w:pPr>
        <w:pStyle w:val="Heading3"/>
        <w:keepNext/>
      </w:pPr>
      <w:r>
        <w:t xml:space="preserve">10.4 Approval can become the new concentration point</w:t>
      </w:r>
    </w:p>
    <w:p>
      <w:pPr>
        <w:pStyle w:val="FirstParagraph"/>
        <w:jc w:val="bot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4"/>
    <w:bookmarkStart w:id="95" w:name="X173b0ea2aa682a877a36e23a9dbc793a5456a0f"/>
    <w:p>
      <w:pPr>
        <w:pStyle w:val="Heading3"/>
        <w:keepNext/>
      </w:pPr>
      <w:r>
        <w:t xml:space="preserve">10.5 Root-Epoch healing is gradual</w:t>
      </w:r>
    </w:p>
    <w:p>
      <w:pPr>
        <w:pStyle w:val="FirstParagraph"/>
        <w:jc w:val="both"/>
      </w:pPr>
      <w:r>
        <w:t xml:space="preserve">After K_e 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95"/>
    <w:bookmarkStart w:id="96" w:name="Xbd948a2f562a3ab5e796d95f46ae765296d55e4"/>
    <w:p>
      <w:pPr>
        <w:pStyle w:val="Heading3"/>
        <w:keepNext/>
      </w:pPr>
      <w:r>
        <w:t xml:space="preserve">10.6 Password-history dependence delays old-key erasure</w:t>
      </w:r>
    </w:p>
    <w:p>
      <w:pPr>
        <w:pStyle w:val="FirstParagraph"/>
        <w:jc w:val="both"/>
      </w:pPr>
      <w:r>
        <w:t xml:space="preserve">If a target requires a history window that reaches back into epoch 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96"/>
    <w:bookmarkStart w:id="97" w:name="X9b9ca6d690e697d0ea29193c502fb702bc64535"/>
    <w:p>
      <w:pPr>
        <w:pStyle w:val="Heading3"/>
        <w:keepNext/>
      </w:pPr>
      <w:r>
        <w:t xml:space="preserve">10.7 Side channels and implementation leakage</w:t>
      </w:r>
    </w:p>
    <w:p>
      <w:pPr>
        <w:pStyle w:val="FirstParagraph"/>
        <w:jc w:val="bot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97"/>
    <w:bookmarkStart w:id="98" w:name="X789039e9b5cd4f402b06ca5d10ff2fc2271a76e"/>
    <w:p>
      <w:pPr>
        <w:pStyle w:val="Heading3"/>
        <w:keepNext/>
      </w:pPr>
      <w:r>
        <w:t xml:space="preserve">10.8 Policy translation is trusted input</w:t>
      </w:r>
    </w:p>
    <w:p>
      <w:pPr>
        <w:pStyle w:val="FirstParagraph"/>
        <w:jc w:val="bot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98"/>
    <w:bookmarkStart w:id="99" w:name="X7fb1c4b8fdd919fcd7529d2b718e3248a991170"/>
    <w:p>
      <w:pPr>
        <w:pStyle w:val="Heading3"/>
        <w:keepNext/>
      </w:pPr>
      <w:r>
        <w:t xml:space="preserve">10.9 Concurrent work</w:t>
      </w:r>
    </w:p>
    <w:p>
      <w:pPr>
        <w:pStyle w:val="FirstParagraph"/>
        <w:jc w:val="both"/>
      </w:pPr>
      <w:r>
        <w:t xml:space="preserve">Threshold PRF/OPRF research is active. The 2025 fully adaptive threshold POPRF construction with proactive key refresh [9] and 2026 proactive threshold VOPRF work [10] reinforce the need to avoid claiming distributed evaluation or share refresh as novel. If a new construction published before submission already provides a threshold exact-domain permutation with the required adversary model, ASTER should instantiate it rather than preserve a custom MPC backend. The credential-level authorization and Root-Epoch migration claims would then remain separable from the primitive.</w:t>
      </w:r>
    </w:p>
    <w:bookmarkEnd w:id="99"/>
    <w:bookmarkStart w:id="100" w:name="X26953e159a22297476c7cc7382cf3c6592fdd66"/>
    <w:p>
      <w:pPr>
        <w:pStyle w:val="Heading3"/>
        <w:keepNext/>
      </w:pPr>
      <w:r>
        <w:t xml:space="preserve">10.10 What would falsify the novelty claim</w:t>
      </w:r>
    </w:p>
    <w:p>
      <w:pPr>
        <w:pStyle w:val="FirstParagraph"/>
        <w:jc w:val="both"/>
      </w:pPr>
      <w:r>
        <w:t xml:space="preserve">The paper should be materially redesigned if prior art is found that already combines, in one legacy-password setting:</w:t>
      </w:r>
    </w:p>
    <w:p>
      <w:pPr>
        <w:pStyle w:val="Compact"/>
        <w:numPr>
          <w:ilvl w:val="0"/>
          <w:numId w:val="1029"/>
        </w:numPr>
        <w:jc w:val="both"/>
      </w:pPr>
      <w:r>
        <w:t xml:space="preserve">exact accepted-policy-space permutation;</w:t>
      </w:r>
    </w:p>
    <w:p>
      <w:pPr>
        <w:pStyle w:val="Compact"/>
        <w:numPr>
          <w:ilvl w:val="0"/>
          <w:numId w:val="1029"/>
        </w:numPr>
        <w:jc w:val="both"/>
      </w:pPr>
      <w:r>
        <w:t xml:space="preserve">deterministic client-visible reconstruction;</w:t>
      </w:r>
    </w:p>
    <w:p>
      <w:pPr>
        <w:pStyle w:val="Compact"/>
        <w:numPr>
          <w:ilvl w:val="0"/>
          <w:numId w:val="1029"/>
        </w:numPr>
        <w:jc w:val="both"/>
      </w:pPr>
      <w:r>
        <w:t xml:space="preserve">threshold evaluation without endpoint key reconstruction;</w:t>
      </w:r>
    </w:p>
    <w:p>
      <w:pPr>
        <w:pStyle w:val="Compact"/>
        <w:numPr>
          <w:ilvl w:val="0"/>
          <w:numId w:val="1029"/>
        </w:numPr>
        <w:jc w:val="both"/>
      </w:pPr>
      <w:r>
        <w:t xml:space="preserve">exact per-generation authorization;</w:t>
      </w:r>
    </w:p>
    <w:p>
      <w:pPr>
        <w:pStyle w:val="Compact"/>
        <w:numPr>
          <w:ilvl w:val="0"/>
          <w:numId w:val="1029"/>
        </w:numPr>
        <w:jc w:val="both"/>
      </w:pPr>
      <w:r>
        <w:t xml:space="preserve">independent root replacement after complete old-root compromise;</w:t>
      </w:r>
    </w:p>
    <w:p>
      <w:pPr>
        <w:pStyle w:val="Compact"/>
        <w:numPr>
          <w:ilvl w:val="0"/>
          <w:numId w:val="1029"/>
        </w:numPr>
        <w:jc w:val="both"/>
      </w:pPr>
      <w:r>
        <w:t xml:space="preserve">failure-safe ambiguous remote password rotation; and</w:t>
      </w:r>
    </w:p>
    <w:p>
      <w:pPr>
        <w:pStyle w:val="Compact"/>
        <w:numPr>
          <w:ilvl w:val="0"/>
          <w:numId w:val="1029"/>
        </w:numPr>
        <w:jc w:val="both"/>
      </w:pPr>
      <w:r>
        <w:t xml:space="preserve">cross-epoch history exclusion without storing password values.</w:t>
      </w:r>
    </w:p>
    <w:p>
      <w:pPr>
        <w:pStyle w:val="FirstParagraph"/>
        <w:jc w:val="both"/>
      </w:pPr>
      <w:r>
        <w:t xml:space="preserve">Prior work for any individual component is expected and is not itself a novelty failure.</w:t>
      </w:r>
    </w:p>
    <w:bookmarkEnd w:id="100"/>
    <w:bookmarkEnd w:id="101"/>
    <w:bookmarkStart w:id="102" w:name="Xeaa4c651f8c648c5f6d2f14150d82fc2f3873c8"/>
    <w:p>
      <w:pPr>
        <w:pStyle w:val="Heading2"/>
        <w:keepNext/>
      </w:pPr>
      <w:r>
        <w:t xml:space="preserve">11. Conclusion</w:t>
      </w:r>
    </w:p>
    <w:p>
      <w:pPr>
        <w:pStyle w:val="FirstParagraph"/>
        <w:jc w:val="bot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jc w:val="both"/>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jc w:val="both"/>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jc w:val="both"/>
      </w:pPr>
      <w:r>
        <w:t xml:space="preserve">The current semantic reference model validates the state and authorization invariants, but the paper's systems claims depend on the full threshold/MPC artifact. The accompanying Codex execution specification defines the remaining implementation, fault-injection, model-checking, policy-corpus, and network benchmark work and requires every manuscript result to be regenerated from raw machine-readable output. The intended result is not a new cryptographic primitive, but a defensible systems-security contract for organizations that must manage password-only systems while removing reusable derivation secrets from ordinary endpoints and preserving a path to recovery after root compromise.</w:t>
      </w:r>
    </w:p>
    <w:bookmarkEnd w:id="102"/>
    <w:bookmarkStart w:id="107" w:name="declarations"/>
    <w:p>
      <w:pPr>
        <w:pStyle w:val="Heading2"/>
        <w:keepNext/>
      </w:pPr>
      <w:r>
        <w:t xml:space="preserve">Declarations</w:t>
      </w:r>
    </w:p>
    <w:bookmarkStart w:id="103" w:name="funding"/>
    <w:p>
      <w:pPr>
        <w:pStyle w:val="Heading3"/>
        <w:keepNext/>
      </w:pPr>
      <w:r>
        <w:t xml:space="preserve">Funding</w:t>
      </w:r>
    </w:p>
    <w:p>
      <w:pPr>
        <w:pStyle w:val="FirstParagraph"/>
        <w:jc w:val="both"/>
      </w:pPr>
      <w:r>
        <w:t xml:space="preserve">This research received no specific grant from funding agencies in the public, commercial, or not-for-profit sectors.</w:t>
      </w:r>
    </w:p>
    <w:bookmarkEnd w:id="103"/>
    <w:bookmarkStart w:id="104" w:name="conflict-of-interest"/>
    <w:p>
      <w:pPr>
        <w:pStyle w:val="Heading3"/>
        <w:keepNext/>
      </w:pPr>
      <w:r>
        <w:t xml:space="preserve">Conflict of interest</w:t>
      </w:r>
    </w:p>
    <w:p>
      <w:pPr>
        <w:pStyle w:val="FirstParagraph"/>
        <w:jc w:val="both"/>
      </w:pPr>
      <w:r>
        <w:t xml:space="preserve">The author declares no known competing financial interests or personal relationships that could have influenced the work reported in this paper.</w:t>
      </w:r>
    </w:p>
    <w:bookmarkEnd w:id="104"/>
    <w:bookmarkStart w:id="105" w:name="data-and-code-availability"/>
    <w:p>
      <w:pPr>
        <w:pStyle w:val="Heading3"/>
        <w:keepNext/>
      </w:pPr>
      <w:r>
        <w:t xml:space="preserve">Data and code availability</w:t>
      </w:r>
    </w:p>
    <w:p>
      <w:pPr>
        <w:pStyle w:val="FirstParagraph"/>
        <w:jc w:val="both"/>
      </w:pPr>
      <w:r>
        <w:t xml:space="preserve">The final artifact will include source code, fixed test vectors, experiment configurations, raw JSON/CSV results, generated tables/figures, and TLA+ models. Repository-identifying information can be anonymized during double-blind review where required.</w:t>
      </w:r>
    </w:p>
    <w:bookmarkEnd w:id="105"/>
    <w:bookmarkStart w:id="106" w:name="Xa270994fdcc25e1fae5023d4633cdd11f9080ca"/>
    <w:p>
      <w:pPr>
        <w:pStyle w:val="Heading3"/>
        <w:keepNext/>
      </w:pPr>
      <w:r>
        <w:t xml:space="preserve">Use of generative AI and AI-assisted technologies</w:t>
      </w:r>
    </w:p>
    <w:p>
      <w:pPr>
        <w:pStyle w:val="FirstParagraph"/>
        <w:jc w:val="bot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06"/>
    <w:bookmarkEnd w:id="107"/>
    <w:bookmarkStart w:id="117" w:name="references"/>
    <w:p>
      <w:pPr>
        <w:pStyle w:val="Heading2"/>
        <w:keepNext/>
      </w:pPr>
      <w:r>
        <w:t xml:space="preserve">References</w:t>
      </w:r>
    </w:p>
    <w:p>
      <w:pPr>
        <w:pStyle w:val="FirstParagraph"/>
        <w:jc w:val="both"/>
      </w:pPr>
      <w:r>
        <w:t xml:space="preserve">[1] B. Ross, C. Jackson, N. Miyake, D. Boneh, J. C. Mitchell, Stronger Password Authentication Using Browser Extensions, in: 14th USENIX Security Symposium, USENIX Association, 2005.</w:t>
      </w:r>
    </w:p>
    <w:p>
      <w:pPr>
        <w:pStyle w:val="BodyText"/>
        <w:jc w:val="both"/>
      </w:pPr>
      <w:r>
        <w:rPr>
          <w:sz w:val="19"/>
        </w:rPr>
        <w:t xml:space="preserve">[2] M. Horsch, A. T. Hülsing, J. Buchmann, PALPAS - PAssword Less PAssword Synchronization, in: 10th International Conference on Availability, Reliability and Security (ARES), IEEE, 2015, pp. 30-39.</w:t>
      </w:r>
      <w:r>
        <w:rPr>
          <w:sz w:val="19"/>
        </w:rPr>
        <w:t xml:space="preserve"> </w:t>
      </w:r>
      <w:hyperlink r:id="rId108">
        <w:r>
          <w:rPr>
            <w:rStyle w:val="Hyperlink"/>
          </w:rPr>
          <w:t xml:space="preserve">https://doi.org/10.1109/ARES.2015.23</w:t>
        </w:r>
      </w:hyperlink>
      <w:r>
        <w:rPr>
          <w:sz w:val="19"/>
        </w:rPr>
        <w:t xml:space="preserve">.</w:t>
      </w:r>
    </w:p>
    <w:p>
      <w:pPr>
        <w:pStyle w:val="BodyText"/>
        <w:jc w:val="both"/>
      </w:pPr>
      <w:r>
        <w:rPr>
          <w:sz w:val="19"/>
        </w:rPr>
        <w:t xml:space="preserve">[3] F. Al Maqbali, C. J. Mitchell, AutoPass: An Automatic Password Generator, in: 2017 International Carnahan Conference on Security Technology (ICCST), IEEE, 2017, pp. 1-6.</w:t>
      </w:r>
      <w:r>
        <w:rPr>
          <w:sz w:val="19"/>
        </w:rPr>
        <w:t xml:space="preserve"> </w:t>
      </w:r>
      <w:hyperlink r:id="rId109">
        <w:r>
          <w:rPr>
            <w:rStyle w:val="Hyperlink"/>
          </w:rPr>
          <w:t xml:space="preserve">https://doi.org/10.1109/CCST.2017.8167791</w:t>
        </w:r>
      </w:hyperlink>
      <w:r>
        <w:rPr>
          <w:sz w:val="19"/>
        </w:rPr>
        <w:t xml:space="preserve">.</w:t>
      </w:r>
    </w:p>
    <w:p>
      <w:pPr>
        <w:pStyle w:val="BodyText"/>
        <w:jc w:val="both"/>
      </w:pPr>
      <w:r>
        <w:t xml:space="preserve">[4] National Institute of Standards and Technology, Multi-Party Threshold Cryptography Project, NIST Computer Security Resource Center, accessed August 2026.</w:t>
      </w:r>
    </w:p>
    <w:p>
      <w:pPr>
        <w:pStyle w:val="BodyText"/>
        <w:jc w:val="both"/>
      </w:pPr>
      <w:r>
        <w:rPr>
          <w:sz w:val="19"/>
        </w:rPr>
        <w:t xml:space="preserve">[5] L. T. A. N. Brandão, R. Peralta, NIST IR 8214C: NIST First Call for Multi-Party Threshold Schemes, National Institute of Standards and Technology, January 2026.</w:t>
      </w:r>
      <w:r>
        <w:rPr>
          <w:sz w:val="19"/>
        </w:rPr>
        <w:t xml:space="preserve"> </w:t>
      </w:r>
      <w:hyperlink r:id="rId110">
        <w:r>
          <w:rPr>
            <w:rStyle w:val="Hyperlink"/>
          </w:rPr>
          <w:t xml:space="preserve">https://doi.org/10.6028/NIST.IR.8214C</w:t>
        </w:r>
      </w:hyperlink>
      <w:r>
        <w:rPr>
          <w:sz w:val="19"/>
        </w:rPr>
        <w:t xml:space="preserve">.</w:t>
      </w:r>
    </w:p>
    <w:p>
      <w:pPr>
        <w:pStyle w:val="BodyText"/>
        <w:jc w:val="both"/>
      </w:pPr>
      <w:r>
        <w:t xml:space="preserve">[6] A. Everspaugh, R. Chaterjee, S. Scott, A. Juels, T. Ristenpart, The Pythia PRF Service, in: 24th USENIX Security Symposium, USENIX Association, 2015, pp. 547-562.</w:t>
      </w:r>
    </w:p>
    <w:p>
      <w:pPr>
        <w:pStyle w:val="BodyText"/>
        <w:jc w:val="both"/>
      </w:pPr>
      <w:r>
        <w:t xml:space="preserve">[7] M. Geihs, H. Montgomery, LaKey: Efficient Lattice-Based Distributed PRFs Enable Scalable Distributed Key Management, in: 33rd USENIX Security Symposium, USENIX Association, 2024, pp. 4319-4335.</w:t>
      </w:r>
    </w:p>
    <w:p>
      <w:pPr>
        <w:pStyle w:val="BodyText"/>
        <w:jc w:val="both"/>
      </w:pPr>
      <w:r>
        <w:rPr>
          <w:sz w:val="19"/>
        </w:rPr>
        <w:t xml:space="preserve">[8] A. Davidson, A. Faz-Hernandez, N. Sullivan, C. A. Wood, Oblivious Pseudorandom Functions (OPRFs) Using Prime-Order Groups, RFC 9497, IETF, 2023.</w:t>
      </w:r>
      <w:r>
        <w:rPr>
          <w:sz w:val="19"/>
        </w:rPr>
        <w:t xml:space="preserve"> </w:t>
      </w:r>
      <w:hyperlink r:id="rId111">
        <w:r>
          <w:rPr>
            <w:rStyle w:val="Hyperlink"/>
          </w:rPr>
          <w:t xml:space="preserve">https://doi.org/10.17487/RFC9497</w:t>
        </w:r>
      </w:hyperlink>
      <w:r>
        <w:rPr>
          <w:sz w:val="19"/>
        </w:rPr>
        <w:t xml:space="preserve">.</w:t>
      </w:r>
    </w:p>
    <w:p>
      <w:pPr>
        <w:pStyle w:val="BodyText"/>
        <w:jc w:val="both"/>
      </w:pPr>
      <w:r>
        <w:rPr>
          <w:sz w:val="19"/>
        </w:rPr>
        <w:t xml:space="preserve">[9] R. Baecker, P. Gerhart, D. Rausch, D. Schröder, A Fully-Adaptive Threshold Partially-Oblivious PRF, in: Advances in Cryptology - CRYPTO 2025, LNCS 16005, Springer, 2025, pp. 569-597.</w:t>
      </w:r>
      <w:r>
        <w:rPr>
          <w:sz w:val="19"/>
        </w:rPr>
        <w:t xml:space="preserve"> </w:t>
      </w:r>
      <w:hyperlink r:id="rId112">
        <w:r>
          <w:rPr>
            <w:rStyle w:val="Hyperlink"/>
          </w:rPr>
          <w:t xml:space="preserve">https://doi.org/10.1007/978-3-032-01901-1_18</w:t>
        </w:r>
      </w:hyperlink>
      <w:r>
        <w:rPr>
          <w:sz w:val="19"/>
        </w:rPr>
        <w:t xml:space="preserve">.</w:t>
      </w:r>
    </w:p>
    <w:p>
      <w:pPr>
        <w:pStyle w:val="BodyText"/>
        <w:jc w:val="both"/>
      </w:pPr>
      <w:r>
        <w:t xml:space="preserve">[10] A. Sharma, V. Srivastava, PIVOT: Proactive and Verifiable Threshold Oblivious Pseudorandom Functions From Isogeny Group Actions, arXiv:2608.01390, 2026. Preprint.</w:t>
      </w:r>
    </w:p>
    <w:p>
      <w:pPr>
        <w:pStyle w:val="BodyText"/>
        <w:jc w:val="both"/>
      </w:pPr>
      <w:r>
        <w:t xml:space="preserve">[11] A. Gautam, S. Lalani, S. Ruoti, Improving Password Generation Through the Design of a Password Composition Policy Description Language, in: Eighteenth Symposium on Usable Privacy and Security (SOUPS 2022), USENIX Association, 2022, pp. 541-560.</w:t>
      </w:r>
    </w:p>
    <w:p>
      <w:pPr>
        <w:pStyle w:val="BodyText"/>
        <w:jc w:val="both"/>
      </w:pPr>
      <w:r>
        <w:t xml:space="preserve">[12] M. Grilo, J. F. Ferreira, J. B. Almeida, Towards Formal Verification of Password Generation Algorithms Used in Password Managers, arXiv:2106.03626, 2021.</w:t>
      </w:r>
    </w:p>
    <w:p>
      <w:pPr>
        <w:pStyle w:val="BodyText"/>
        <w:jc w:val="both"/>
      </w:pPr>
      <w:r>
        <w:rPr>
          <w:sz w:val="19"/>
        </w:rPr>
        <w:t xml:space="preserve">[13] J. Black, P. Rogaway, Ciphers with Arbitrary Finite Domains, in: Topics in Cryptology - CT-RSA 2002, LNCS 2271, Springer, 2002, pp. 114-130.</w:t>
      </w:r>
      <w:r>
        <w:rPr>
          <w:sz w:val="19"/>
        </w:rPr>
        <w:t xml:space="preserve"> </w:t>
      </w:r>
      <w:hyperlink r:id="rId113">
        <w:r>
          <w:rPr>
            <w:rStyle w:val="Hyperlink"/>
          </w:rPr>
          <w:t xml:space="preserve">https://doi.org/10.1007/3-540-45760-7_9</w:t>
        </w:r>
      </w:hyperlink>
      <w:r>
        <w:rPr>
          <w:sz w:val="19"/>
        </w:rPr>
        <w:t xml:space="preserve">.</w:t>
      </w:r>
    </w:p>
    <w:p>
      <w:pPr>
        <w:pStyle w:val="BodyText"/>
        <w:jc w:val="both"/>
      </w:pPr>
      <w:r>
        <w:rPr>
          <w:sz w:val="19"/>
        </w:rPr>
        <w:t xml:space="preserve">[14] M. Bellare, T. Ristenpart, P. Rogaway, T. Stegers, Format-Preserving Encryption, in: Selected Areas in Cryptography 2009, Springer, 2009, pp. 295-312.</w:t>
      </w:r>
      <w:r>
        <w:rPr>
          <w:sz w:val="19"/>
        </w:rPr>
        <w:t xml:space="preserve"> </w:t>
      </w:r>
      <w:hyperlink r:id="rId114">
        <w:r>
          <w:rPr>
            <w:rStyle w:val="Hyperlink"/>
          </w:rPr>
          <w:t xml:space="preserve">https://doi.org/10.1007/978-3-642-05445-7_19</w:t>
        </w:r>
      </w:hyperlink>
      <w:r>
        <w:rPr>
          <w:sz w:val="19"/>
        </w:rPr>
        <w:t xml:space="preserve">.</w:t>
      </w:r>
    </w:p>
    <w:p>
      <w:pPr>
        <w:pStyle w:val="BodyText"/>
        <w:jc w:val="both"/>
      </w:pPr>
      <w:r>
        <w:rPr>
          <w:sz w:val="19"/>
        </w:rPr>
        <w:t xml:space="preserve">[15] M. Dworkin, N. Mouha, NIST SP 800-38G Rev. 1 (Second Public Draft): Recommendation for Block Cipher Modes of Operation: Methods for Format-Preserving Encryption, National Institute of Standards and Technology, February 2025.</w:t>
      </w:r>
      <w:r>
        <w:rPr>
          <w:sz w:val="19"/>
        </w:rPr>
        <w:t xml:space="preserve"> </w:t>
      </w:r>
      <w:hyperlink r:id="rId115">
        <w:r>
          <w:rPr>
            <w:rStyle w:val="Hyperlink"/>
          </w:rPr>
          <w:t xml:space="preserve">https://doi.org/10.6028/NIST.SP.800-38Gr1.2pd</w:t>
        </w:r>
      </w:hyperlink>
      <w:r>
        <w:rPr>
          <w:sz w:val="19"/>
        </w:rPr>
        <w:t xml:space="preserve">.</w:t>
      </w:r>
    </w:p>
    <w:p>
      <w:pPr>
        <w:pStyle w:val="BodyText"/>
        <w:jc w:val="both"/>
      </w:pPr>
      <w:r>
        <w:rPr>
          <w:sz w:val="19"/>
        </w:rPr>
        <w:t xml:space="preserve">[16] A. Shamir, How to Share a Secret, Communications of the ACM 22(11) (1979) 612-613.</w:t>
      </w:r>
      <w:r>
        <w:rPr>
          <w:sz w:val="19"/>
        </w:rPr>
        <w:t xml:space="preserve"> </w:t>
      </w:r>
      <w:hyperlink r:id="rId116">
        <w:r>
          <w:rPr>
            <w:rStyle w:val="Hyperlink"/>
          </w:rPr>
          <w:t xml:space="preserve">https://doi.org/10.1145/359168.359176</w:t>
        </w:r>
      </w:hyperlink>
      <w:r>
        <w:rPr>
          <w:sz w:val="19"/>
        </w:rPr>
        <w:t xml:space="preserve">.</w:t>
      </w:r>
    </w:p>
    <w:p>
      <w:pPr>
        <w:pStyle w:val="BodyText"/>
        <w:jc w:val="both"/>
      </w:pPr>
      <w:r>
        <w:t xml:space="preserve">[17] V. Nair, D. Song, Multi-Factor Key Derivation Function (MFKDF) for Fast, Flexible, Secure, &amp; Practical Key Management, in: 32nd USENIX Security Symposium, USENIX Association, 2023, pp. 2097-2114.</w:t>
      </w:r>
    </w:p>
    <w:p>
      <w:pPr>
        <w:pStyle w:val="BodyText"/>
        <w:jc w:val="both"/>
      </w:pPr>
      <w:r>
        <w:t xml:space="preserve">[18] M. Scarlata, M. Backendal, M. Haller, MFKDF: Multiple Factors Knocked Down Flat, in: 33rd USENIX Security Symposium, USENIX Association, 2024, pp. 4301-4318.</w:t>
      </w:r>
    </w:p>
    <w:bookmarkEnd w:id="117"/>
    <w:bookmarkEnd w:id="118"/>
    <w:sectPr>
      <w:headerReference w:type="default" r:id="rId9"/>
      <w:footerReference w:type="default" r:id="rId10"/>
      <w:pgMar w:top="1080" w:bottom="1080" w:left="1152" w:right="1152"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5"/>
      </w:rPr>
      <w:t>Working draft - experimental placeholders highlighted for Codex backfill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ASTER - Working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hAnsi="Times New Roman" w:eastAsia="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val="0"/>
      <w:keepLines/>
      <w:spacing w:after="200" w:before="0"/>
      <w:jc w:val="center"/>
    </w:pPr>
    <w:rPr>
      <w:rFonts w:asciiTheme="majorHAnsi" w:cstheme="majorBidi" w:eastAsiaTheme="majorEastAsia" w:hAnsiTheme="majorHAnsi" w:ascii="Times New Roman" w:hAnsi="Times New Roman" w:eastAsia="Times New Roman"/>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3" Type="http://schemas.openxmlformats.org/officeDocument/2006/relationships/hyperlink" Target="https://doi.org/10.1007/3-540-45760-7_9" TargetMode="External"/><Relationship Id="rId112" Type="http://schemas.openxmlformats.org/officeDocument/2006/relationships/hyperlink" Target="https://doi.org/10.1007/978-3-032-01901-1_18" TargetMode="External"/><Relationship Id="rId114" Type="http://schemas.openxmlformats.org/officeDocument/2006/relationships/hyperlink" Target="https://doi.org/10.1007/978-3-642-05445-7_19" TargetMode="External"/><Relationship Id="rId108" Type="http://schemas.openxmlformats.org/officeDocument/2006/relationships/hyperlink" Target="https://doi.org/10.1109/ARES.2015.23" TargetMode="External"/><Relationship Id="rId109" Type="http://schemas.openxmlformats.org/officeDocument/2006/relationships/hyperlink" Target="https://doi.org/10.1109/CCST.2017.8167791" TargetMode="External"/><Relationship Id="rId116" Type="http://schemas.openxmlformats.org/officeDocument/2006/relationships/hyperlink" Target="https://doi.org/10.1145/359168.359176" TargetMode="External"/><Relationship Id="rId111" Type="http://schemas.openxmlformats.org/officeDocument/2006/relationships/hyperlink" Target="https://doi.org/10.17487/RFC9497" TargetMode="External"/><Relationship Id="rId110" Type="http://schemas.openxmlformats.org/officeDocument/2006/relationships/hyperlink" Target="https://doi.org/10.6028/NIST.IR.8214C" TargetMode="External"/><Relationship Id="rId115" Type="http://schemas.openxmlformats.org/officeDocument/2006/relationships/hyperlink" Target="https://doi.org/10.6028/NIST.SP.800-38Gr1.2pd" TargetMode="External"/><Relationship Id="rId20" Type="http://schemas.openxmlformats.org/officeDocument/2006/relationships/hyperlink" Target="mailto:revanton@icloud.co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3" Type="http://schemas.openxmlformats.org/officeDocument/2006/relationships/hyperlink" Target="https://doi.org/10.1007/3-540-45760-7_9" TargetMode="External"/><Relationship Id="rId112" Type="http://schemas.openxmlformats.org/officeDocument/2006/relationships/hyperlink" Target="https://doi.org/10.1007/978-3-032-01901-1_18" TargetMode="External"/><Relationship Id="rId114" Type="http://schemas.openxmlformats.org/officeDocument/2006/relationships/hyperlink" Target="https://doi.org/10.1007/978-3-642-05445-7_19" TargetMode="External"/><Relationship Id="rId108" Type="http://schemas.openxmlformats.org/officeDocument/2006/relationships/hyperlink" Target="https://doi.org/10.1109/ARES.2015.23" TargetMode="External"/><Relationship Id="rId109" Type="http://schemas.openxmlformats.org/officeDocument/2006/relationships/hyperlink" Target="https://doi.org/10.1109/CCST.2017.8167791" TargetMode="External"/><Relationship Id="rId116" Type="http://schemas.openxmlformats.org/officeDocument/2006/relationships/hyperlink" Target="https://doi.org/10.1145/359168.359176" TargetMode="External"/><Relationship Id="rId111" Type="http://schemas.openxmlformats.org/officeDocument/2006/relationships/hyperlink" Target="https://doi.org/10.17487/RFC9497" TargetMode="External"/><Relationship Id="rId110" Type="http://schemas.openxmlformats.org/officeDocument/2006/relationships/hyperlink" Target="https://doi.org/10.6028/NIST.IR.8214C" TargetMode="External"/><Relationship Id="rId115" Type="http://schemas.openxmlformats.org/officeDocument/2006/relationships/hyperlink" Target="https://doi.org/10.6028/NIST.SP.800-38Gr1.2pd" TargetMode="External"/><Relationship Id="rId20" Type="http://schemas.openxmlformats.org/officeDocument/2006/relationships/hyperlink" Target="mailto:revanton@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 Authorization-Scoped Threshold Exact-Domain Credential Derivation with Failure-Safe Root-Epoch Healing</dc:title>
  <dc:creator>Yuanyi Zhang</dc:creator>
  <cp:keywords/>
  <dcterms:created xsi:type="dcterms:W3CDTF">2026-08-11T02:35:23Z</dcterms:created>
  <dcterms:modified xsi:type="dcterms:W3CDTF">2026-08-11T02:35:23Z</dcterms:modified>
  <dc:subject>Research manuscript working draft</dc:subject>
</cp:coreProperties>
</file>

<file path=docProps/custom.xml><?xml version="1.0" encoding="utf-8"?>
<Properties xmlns="http://schemas.openxmlformats.org/officeDocument/2006/custom-properties" xmlns:vt="http://schemas.openxmlformats.org/officeDocument/2006/docPropsVTypes"/>
</file>