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7f050e4605abb5e607600053c592f1cb685914"/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</w:rPr>
        <w:t xml:space="preserve">Computers &amp; Electrical Engineering submission checklist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Prepared: 11 August 2026</w:t>
      </w:r>
    </w:p>
    <w:bookmarkStart w:id="11" w:name="requirements-basis"/>
    <w:p>
      <w:pPr>
        <w:pStyle w:val="Heading2"/>
        <w:jc w:val="left"/>
      </w:pPr>
      <w:r>
        <w:rPr>
          <w:rFonts w:ascii="Times New Roman" w:hAnsi="Times New Roman" w:eastAsia="Times New Roman"/>
          <w:color w:val="000000"/>
        </w:rPr>
        <w:t xml:space="preserve">Requirements basis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/>
          <w:color w:val="000000"/>
        </w:rPr>
        <w:t xml:space="preserve">Journal instructions: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9">
        <w:r>
          <w:rPr>
            <w:rStyle w:val="Hyperlink"/>
          </w:rPr>
          <w:t xml:space="preserve">https://www.sciencedirect.com/journal/computers-and-electrical-engineering/publish/guide-for-authors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/>
          <w:color w:val="000000"/>
        </w:rPr>
        <w:t xml:space="preserve">Editorial submission system: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10">
        <w:r>
          <w:rPr>
            <w:rStyle w:val="Hyperlink"/>
          </w:rPr>
          <w:t xml:space="preserve">https://submit.elsevier.com/COMPELECENG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/>
          <w:color w:val="000000"/>
        </w:rPr>
        <w:t xml:space="preserve">Elsevier’s Your Paper Your Way policy permits a flexible initial-submission format, provided that the manuscript is complete, readable, internally consistent, and uses a consistent reference style. Accordingly, the manuscript is supplied in a clean one-column review format rather than being presented as an inferred mandatory Word template.</w:t>
      </w:r>
    </w:p>
    <w:bookmarkEnd w:id="11"/>
    <w:bookmarkStart w:id="12" w:name="manuscript-compliance"/>
    <w:p>
      <w:pPr>
        <w:pStyle w:val="Heading2"/>
        <w:jc w:val="left"/>
      </w:pPr>
      <w:r>
        <w:rPr>
          <w:rFonts w:ascii="Times New Roman" w:hAnsi="Times New Roman" w:eastAsia="Times New Roman"/>
          <w:color w:val="000000"/>
        </w:rPr>
        <w:t xml:space="preserve">Manuscript compliance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Article type: Research article.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Abstract: 246 words; concise, self-contained, and without references.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Keywords: 6.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Highlights: 5 bullets in a separate editable file; every bullet is at most 85 characters including spaces.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References: numbered in square brackets and ordered by first appearance; all 21 references are cited and defined.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Figures: three figures embedded in the manuscript and supplied separately.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Tables: nine editable tables with captions, numbered by first appearance.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Declarations: CRediT, competing interest, funding, data/code availability, generative-AI use, and acknowledgements are supplied.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Corresponding author: name, affiliation, postal location, and e-mail are supplied on the title page.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Supplementary artifact: source, evidence, models, dependency information, and reproduction scripts are packaged separately.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Graphical abstract: supplied as an optional separate TIFF at the required landscape dimensions.</w:t>
      </w:r>
    </w:p>
    <w:bookmarkEnd w:id="12"/>
    <w:bookmarkStart w:id="13" w:name="files-prepared-for-upload"/>
    <w:p>
      <w:pPr>
        <w:pStyle w:val="Heading2"/>
        <w:jc w:val="left"/>
      </w:pPr>
      <w:r>
        <w:rPr>
          <w:rFonts w:ascii="Times New Roman" w:hAnsi="Times New Roman" w:eastAsia="Times New Roman"/>
          <w:color w:val="000000"/>
        </w:rPr>
        <w:t xml:space="preserve">Files prepared for upload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ASTER_CEE_Main_Manuscript.docx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editable manuscript with author information.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ASTER_CEE_Main_Manuscript.pdf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review PDF generated from the editable manuscript.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ASTER_CEE_Title_Page.docx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author, affiliation, and corresponding-author information.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ASTER_CEE_Highlights.docx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mandatory editable highlights file.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ASTER_CEE_Cover_Letter.docx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concise editor cover letter.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ASTER_CEE_Declarations.docx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reusable portal declarations and CRediT statement.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ASTER_CEE_Graphical_Abstract.tif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optional graphical abstract.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Figure_1.png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Figure_2.png</w:t>
      </w:r>
      <w:r>
        <w:rPr>
          <w:rFonts w:ascii="Times New Roman" w:hAnsi="Times New Roman" w:eastAsia="Times New Roman"/>
          <w:color w:val="000000"/>
        </w:rPr>
        <w:t xml:space="preserve">,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Figure_3.png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separate figure files.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ASTER_CEE_Supplementary_Artifact.zip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reproducibility package.</w:t>
      </w:r>
    </w:p>
    <w:bookmarkEnd w:id="13"/>
    <w:bookmarkStart w:id="14" w:name="X3d22a547565296a9c5bac09626207273f47dda0"/>
    <w:p>
      <w:pPr>
        <w:pStyle w:val="Heading2"/>
        <w:jc w:val="left"/>
      </w:pPr>
      <w:r>
        <w:rPr>
          <w:rFonts w:ascii="Times New Roman" w:hAnsi="Times New Roman" w:eastAsia="Times New Roman"/>
          <w:color w:val="000000"/>
        </w:rPr>
        <w:t xml:space="preserve">Portal-only confirmations before pressing Submit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/>
          <w:color w:val="000000"/>
        </w:rPr>
        <w:t xml:space="preserve">Confirm the definitive author name and order in the submission portal.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/>
          <w:color w:val="000000"/>
        </w:rPr>
        <w:t xml:space="preserve">Add an ORCID only if the author wishes to associate one; none has been inferred.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/>
          <w:color w:val="000000"/>
        </w:rPr>
        <w:t xml:space="preserve">Supply a telephone number if the portal marks it as mandatory; none is included in the files because no verified number was available.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/>
          <w:color w:val="000000"/>
        </w:rPr>
        <w:t xml:space="preserve">Select the desired subscription/open-access route and license only after reviewing institutional or funder obligations.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/>
          <w:color w:val="000000"/>
        </w:rPr>
        <w:t xml:space="preserve">Confirm that the manuscript is not under consideration elsewhere and that the responsible organization approves submission.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/>
          <w:color w:val="000000"/>
        </w:rPr>
        <w:t xml:space="preserve">Enter suggested or opposed reviewers only if requested by the portal; they are intentionally absent from the cover letter.</w:t>
      </w:r>
    </w:p>
    <w:bookmarkEnd w:id="14"/>
    <w:bookmarkEnd w:id="15"/>
    <w:sectPr>
      <w:headerReference w:type="default" r:id="rId11"/>
      <w:footerReference w:type="default" r:id="rId12"/>
      <w:footnotePr>
        <w:numRestart w:val="eachSect"/>
      </w:footnotePr>
      <w:pgSz w:w="11906" w:h="16838"/>
      <w:pgMar w:top="1361" w:bottom="1247" w:left="1417" w:right="141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uppressLineNumbers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uppressLineNumbers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280"/>
      <w:outlineLvl w:val="0"/>
    </w:pPr>
    <w:rPr>
      <w:rFonts w:asciiTheme="majorHAnsi" w:cstheme="majorBidi" w:eastAsiaTheme="majorEastAsia" w:hAnsiTheme="majorHAnsi" w:ascii="Times New Roman" w:hAnsi="Times New Roman" w:eastAsia="Times New Roman"/>
      <w:b/>
      <w:i w:val="0"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 w:ascii="Times New Roman" w:hAnsi="Times New Roman" w:eastAsia="Times New Roman"/>
      <w:b/>
      <w:i w:val="0"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/>
      <w:outlineLvl w:val="2"/>
    </w:pPr>
    <w:rPr>
      <w:rFonts w:cstheme="majorBidi" w:eastAsiaTheme="majorEastAsia" w:ascii="Times New Roman" w:hAnsi="Times New Roman" w:eastAsia="Times New Roman"/>
      <w:b/>
      <w:i w:val="0"/>
      <w:color w:val="00000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40"/>
      <w:outlineLvl w:val="3"/>
    </w:pPr>
    <w:rPr>
      <w:rFonts w:cstheme="majorBidi" w:eastAsiaTheme="majorEastAsia" w:ascii="Times New Roman" w:hAnsi="Times New Roman" w:eastAsia="Times New Roman"/>
      <w:b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submit.elsevier.com/COMPELECENG" TargetMode="External"/><Relationship Id="rId9" Type="http://schemas.openxmlformats.org/officeDocument/2006/relationships/hyperlink" Target="https://www.sciencedirect.com/journal/computers-and-electrical-engineering/publish/guide-for-authors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submit.elsevier.com/COMPELECENG" TargetMode="External"/><Relationship Id="rId9" Type="http://schemas.openxmlformats.org/officeDocument/2006/relationships/hyperlink" Target="https://www.sciencedirect.com/journal/computers-and-electrical-engineering/publish/guide-for-auth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2026-08-11T11:22:24Z</dcterms:created>
  <dcterms:modified xsi:type="dcterms:W3CDTF">2026-08-11T11:22:24Z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