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**AUTORES**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Grady Boock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Ivar Jacaboson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Robert C. Martin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Alistar Cockburn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Eric Gama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O'Docherty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James Gosling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Eric Evans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Ed Youdon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Peter Coad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James Rumbaugh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Peter Coad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Wirfs-Brock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Joshua Kerieusky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Martin Fowler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Philippe Kruchten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Michael Feathers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Craig Larman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Kent Back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**Padrões de Projeto**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GRASP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GOF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**UML**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 **LIVROS**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[ ] Handbook of Software Architecture - Grady Booch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[ ] Arquitetura de Software - Shaw e Garlan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BAIXAR: https://github.com/djtrack16/thyme/tree/master/computer%20science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Mono" w:cs="Roboto Mono" w:eastAsia="Roboto Mono" w:hAnsi="Roboto Mon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Mono" w:cs="Roboto Mono" w:eastAsia="Roboto Mono" w:hAnsi="Roboto Mon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