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08/11/2017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15:00 - 17:00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Instancia presencial en Fray Bentos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Camilo Ferreira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Inicio de presentación de defensa y práctica para dicha instancia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Tener un criterio inicial para llevar a cabo la presentación (incluyendo material audiovisual y organización de oratoria)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Capacitación y discusión sobre presentaciones efectivas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participan de instancias para capacitarse en lo que refiere a presentaciones efectivas.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También se retroalimentan compartiendo los puntos más vitales de la misma así decidiendo cuales son los más remarcados en nuestra presentación.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Desarrollar una presentación inicial y organización de la oratoria de la misma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identifican los puntos clave a comunicar en una presentación de powerpoint. Junto a que debe ser comunicado oralmente para brindar una presentación efectiva.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último se decide la organización y distribución de la misma entre los miembros del equipo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Practica de presentación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realizan la presentación en instancia presencial para así retroalimentarse del grupo educativo en su totalidad (incluyendo entre el equipo en sí mismo).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identifican puntos débiles, puntos fuertes y mejoras inmediatas a realizar.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Carga de actividad en plataforma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equipo decide el modelo final de la presentación inicial y asigna un miembro a cargar la actividad en plataforma.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3.jpg"/>
          <a:graphic>
            <a:graphicData uri="http://schemas.openxmlformats.org/drawingml/2006/picture">
              <pic:pic>
                <pic:nvPicPr>
                  <pic:cNvPr descr="pp.jpg"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jpg"/></Relationships>
</file>