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14/11/2017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19:43 - 23:52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Sala de whatsapp y Skype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Gonzalo Alfonso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Ultimar detalles de entrega 3.2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Seguimiento más exhaustivo sobre tareas para garantizar sean completadas de manera eficiente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Actualización de Google Drive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actualizan componentes en Google Drive para que todos accedan a la información más actualizada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tareas relacionadas a testing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asigna a miembros específicos del equipo a certificar la tarea sea avanzada en la mayor medida posible.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trabaja en TestLink para creación de CPs y SPs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base de datos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revisa la evolución de la base de datos e intentar resolver contingencias de carácter inmediato.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configuración para ejecución de 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hace revisión de computadores de miembros del equipo para intentar resolver inconvenientes para correr proyecto de manera correcta.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Junto a ello se genera un tutorial y FAQ para intentar resolver esta cuestión basado en una configuración válida.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