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line="360" w:lineRule="auto"/>
      </w:pPr>
      <w:r>
        <w:rPr>
          <w:rFonts w:ascii="Times New Roman" w:hAnsi="Times New Roman"/>
          <w:b/>
          <w:sz w:val="24"/>
        </w:rPr>
        <w:t>EXCELENTÍSSIMO SENHOR DOUTOR JUIZ DE DIREITO DA ___ VARA CÍVEL DA COMARCA DE ___</w:t>
      </w:r>
    </w:p>
    <w:p>
      <w:pPr>
        <w:spacing w:after="480" w:line="360" w:lineRule="auto"/>
        <w:jc w:val="center"/>
      </w:pPr>
      <w:r>
        <w:rPr>
          <w:rFonts w:ascii="Times New Roman" w:hAnsi="Times New Roman"/>
          <w:b/>
          <w:sz w:val="28"/>
        </w:rPr>
        <w:t>MEMORIAIS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b w:val="0"/>
          <w:sz w:val="24"/>
        </w:rPr>
        <w:t>Autor: João Silva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b w:val="0"/>
          <w:sz w:val="24"/>
        </w:rPr>
        <w:t>Réu: Banco XYZ S.A.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b w:val="0"/>
          <w:sz w:val="24"/>
        </w:rPr>
        <w:t>Processo nº [NÚMERO DO PROCESSO]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I - SÍNTESE PROCESSUAL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sz w:val="24"/>
        </w:rPr>
        <w:t>[Histórico do andamento processual]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II - DOS FATOS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sz w:val="24"/>
        </w:rPr>
        <w:t>O autor era cliente do Banco Réu há mais de 10 anos. Em 15/01/2024, sua conta foi bloqueada indevidamente sem aviso prévio, por 45 dias, impedindo movimentações financeiras e causando danos.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III - DO DIREITO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sz w:val="24"/>
        </w:rPr>
        <w:t>Aplica-se o CDC (Lei 8.078/90). O art. 14 estabelece responsabilidade objetiva. O bloqueio indevido configura falha na prestação de serviço. Súmula 75 do TJSP. Violação ao direito básico do consumidor à informação e boa-fé objetiva.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IV - DOS PEDIDOS</w:t>
      </w:r>
    </w:p>
    <w:p>
      <w:pPr>
        <w:pStyle w:val="ListBullet"/>
        <w:spacing w:after="60" w:line="360" w:lineRule="auto"/>
      </w:pPr>
      <w:r>
        <w:rPr>
          <w:rFonts w:ascii="Times New Roman" w:hAnsi="Times New Roman"/>
          <w:sz w:val="24"/>
        </w:rPr>
        <w:t>O julgamento de procedência dos pedidos iniciais;</w:t>
      </w:r>
    </w:p>
    <w:p>
      <w:pPr>
        <w:pStyle w:val="ListBullet"/>
        <w:spacing w:after="60" w:line="360" w:lineRule="auto"/>
      </w:pPr>
      <w:r>
        <w:rPr>
          <w:rFonts w:ascii="Times New Roman" w:hAnsi="Times New Roman"/>
          <w:sz w:val="24"/>
        </w:rPr>
        <w:t>A condenação da parte contrária ao pagamento de custas e honorários.</w:t>
      </w:r>
    </w:p>
    <w:p>
      <w:pPr>
        <w:spacing w:before="360" w:after="240" w:line="360" w:lineRule="auto"/>
        <w:jc w:val="right"/>
      </w:pPr>
      <w:r>
        <w:rPr>
          <w:rFonts w:ascii="Times New Roman" w:hAnsi="Times New Roman"/>
          <w:sz w:val="24"/>
        </w:rPr>
        <w:t>[CIDADE], 29 de May de 2026.</w:t>
      </w:r>
    </w:p>
    <w:p>
      <w:pPr>
        <w:spacing w:before="240" w:line="360" w:lineRule="auto"/>
        <w:jc w:val="center"/>
      </w:pPr>
      <w:r>
        <w:rPr>
          <w:rFonts w:ascii="Times New Roman" w:hAnsi="Times New Roman"/>
          <w:sz w:val="24"/>
        </w:rPr>
        <w:br/>
        <w:t>[NOME DO ADVOGADO]</w:t>
        <w:br/>
        <w:t>OAB [NÚMERO OAB]</w:t>
      </w:r>
    </w:p>
    <w:p>
      <w:pPr>
        <w:spacing w:before="480"/>
        <w:jc w:val="center"/>
      </w:pPr>
      <w:r>
        <w:rPr>
          <w:rFonts w:ascii="Times New Roman" w:hAnsi="Times New Roman"/>
          <w:i/>
          <w:sz w:val="18"/>
        </w:rPr>
        <w:br/>
        <w:t>[AVISO] Este documento foi gerado por inteligência artificial com base nos documentos fornecidos. A revisão por um advogado responsável é obrigatória antes de qualquer utilização.</w:t>
      </w:r>
    </w:p>
    <w:sectPr w:rsidR="00FC693F" w:rsidRPr="0006063C" w:rsidSect="00034616">
      <w:footerReference w:type="default" r:id="rId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i/>
        <w:sz w:val="16"/>
      </w:rPr>
      <w:t>Nex-Júris - Documento gerado por IA | Revisão obrigatória pelo advogado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