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UNIVERSIDADE ESTADUAL PAULISTA </w:t>
        <w:br w:type="textWrapping"/>
        <w:t xml:space="preserve">“JÚLIO DE MESQUITA FILHO”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Câmpus de Marília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4736465</wp:posOffset>
            </wp:positionH>
            <wp:positionV relativeFrom="paragraph">
              <wp:posOffset>4445</wp:posOffset>
            </wp:positionV>
            <wp:extent cx="1000928" cy="521882"/>
            <wp:effectExtent b="0" l="0" r="0" t="0"/>
            <wp:wrapNone/>
            <wp:docPr descr="INSTRUÇÃO PPGFONO Nº 01/2011" id="1" name="image4.png"/>
            <a:graphic>
              <a:graphicData uri="http://schemas.openxmlformats.org/drawingml/2006/picture">
                <pic:pic>
                  <pic:nvPicPr>
                    <pic:cNvPr descr="INSTRUÇÃO PPGFONO Nº 01/2011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0928" cy="52188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-634</wp:posOffset>
            </wp:positionH>
            <wp:positionV relativeFrom="paragraph">
              <wp:posOffset>-319404</wp:posOffset>
            </wp:positionV>
            <wp:extent cx="1184111" cy="1136294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4111" cy="11362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ALLAN FERREIRA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Interoperabilidade em saúde com dados do</w:t>
      </w:r>
      <w:r w:rsidDel="00000000" w:rsidR="00000000" w:rsidRPr="00000000">
        <w:rPr>
          <w:b w:val="1"/>
          <w:sz w:val="32"/>
          <w:szCs w:val="32"/>
          <w:rtl w:val="0"/>
        </w:rPr>
        <w:t xml:space="preserve"> prontuário eletrônico</w:t>
      </w:r>
      <w:r w:rsidDel="00000000" w:rsidR="00000000" w:rsidRPr="00000000">
        <w:rPr>
          <w:b w:val="1"/>
          <w:sz w:val="32"/>
          <w:szCs w:val="32"/>
          <w:rtl w:val="0"/>
        </w:rPr>
        <w:t xml:space="preserve"> do paciente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Marília</w:t>
        <w:br w:type="textWrapping"/>
        <w:t xml:space="preserve">2022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ALLAN FERREIRA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Interoperabilidade em saúde com dados do</w:t>
      </w:r>
      <w:r w:rsidDel="00000000" w:rsidR="00000000" w:rsidRPr="00000000">
        <w:rPr>
          <w:b w:val="1"/>
          <w:sz w:val="32"/>
          <w:szCs w:val="32"/>
          <w:rtl w:val="0"/>
        </w:rPr>
        <w:t xml:space="preserve"> prontuário eletrônico</w:t>
      </w:r>
      <w:r w:rsidDel="00000000" w:rsidR="00000000" w:rsidRPr="00000000">
        <w:rPr>
          <w:b w:val="1"/>
          <w:sz w:val="32"/>
          <w:szCs w:val="32"/>
          <w:rtl w:val="0"/>
        </w:rPr>
        <w:t xml:space="preserve"> do paciente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ind w:left="3969" w:firstLine="0"/>
        <w:rPr/>
      </w:pPr>
      <w:r w:rsidDel="00000000" w:rsidR="00000000" w:rsidRPr="00000000">
        <w:rPr>
          <w:rtl w:val="0"/>
        </w:rPr>
        <w:t xml:space="preserve">Trabalho Final apresentado para a disciplina de Métodos de Pesquisa Aplicados à Ciência da Informação do Programa de Pós Graduação em Ciência da Informação da Faculdade de Filosofia e Ciências, da Universidade Estadual Paulista – UNESP – Campus de Marília. </w:t>
      </w:r>
    </w:p>
    <w:p w:rsidR="00000000" w:rsidDel="00000000" w:rsidP="00000000" w:rsidRDefault="00000000" w:rsidRPr="00000000" w14:paraId="00000023">
      <w:pPr>
        <w:ind w:left="396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left="3969" w:firstLine="0"/>
        <w:rPr/>
      </w:pPr>
      <w:r w:rsidDel="00000000" w:rsidR="00000000" w:rsidRPr="00000000">
        <w:rPr>
          <w:b w:val="1"/>
          <w:rtl w:val="0"/>
        </w:rPr>
        <w:t xml:space="preserve">Área de Concentração:</w:t>
      </w:r>
      <w:r w:rsidDel="00000000" w:rsidR="00000000" w:rsidRPr="00000000">
        <w:rPr>
          <w:rtl w:val="0"/>
        </w:rPr>
        <w:t xml:space="preserve"> Informação, Tecnologia e Conhecimento</w:t>
      </w:r>
    </w:p>
    <w:p w:rsidR="00000000" w:rsidDel="00000000" w:rsidP="00000000" w:rsidRDefault="00000000" w:rsidRPr="00000000" w14:paraId="00000025">
      <w:pPr>
        <w:spacing w:after="0" w:line="240" w:lineRule="auto"/>
        <w:ind w:left="396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ind w:left="3969" w:firstLine="0"/>
        <w:rPr/>
      </w:pPr>
      <w:r w:rsidDel="00000000" w:rsidR="00000000" w:rsidRPr="00000000">
        <w:rPr>
          <w:b w:val="1"/>
          <w:rtl w:val="0"/>
        </w:rPr>
        <w:t xml:space="preserve">Linha de Pesquisa:</w:t>
      </w:r>
      <w:r w:rsidDel="00000000" w:rsidR="00000000" w:rsidRPr="00000000">
        <w:rPr>
          <w:rtl w:val="0"/>
        </w:rPr>
        <w:t xml:space="preserve"> Informação e Tecnologia</w:t>
      </w:r>
    </w:p>
    <w:p w:rsidR="00000000" w:rsidDel="00000000" w:rsidP="00000000" w:rsidRDefault="00000000" w:rsidRPr="00000000" w14:paraId="00000027">
      <w:pPr>
        <w:spacing w:after="0" w:line="240" w:lineRule="auto"/>
        <w:ind w:left="396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ind w:left="3969" w:firstLine="0"/>
        <w:rPr/>
      </w:pPr>
      <w:r w:rsidDel="00000000" w:rsidR="00000000" w:rsidRPr="00000000">
        <w:rPr>
          <w:b w:val="1"/>
          <w:rtl w:val="0"/>
        </w:rPr>
        <w:t xml:space="preserve">Orientador:</w:t>
      </w:r>
      <w:r w:rsidDel="00000000" w:rsidR="00000000" w:rsidRPr="00000000">
        <w:rPr>
          <w:rtl w:val="0"/>
        </w:rPr>
        <w:t xml:space="preserve"> Dr. Leonardo Castro Botega</w:t>
      </w:r>
    </w:p>
    <w:p w:rsidR="00000000" w:rsidDel="00000000" w:rsidP="00000000" w:rsidRDefault="00000000" w:rsidRPr="00000000" w14:paraId="00000029">
      <w:pPr>
        <w:spacing w:after="0" w:line="240" w:lineRule="auto"/>
        <w:ind w:left="396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ind w:left="3969" w:firstLine="0"/>
        <w:rPr/>
      </w:pPr>
      <w:r w:rsidDel="00000000" w:rsidR="00000000" w:rsidRPr="00000000">
        <w:rPr>
          <w:b w:val="1"/>
          <w:rtl w:val="0"/>
        </w:rPr>
        <w:t xml:space="preserve">Prof. da Disciplina:</w:t>
      </w:r>
      <w:r w:rsidDel="00000000" w:rsidR="00000000" w:rsidRPr="00000000">
        <w:rPr>
          <w:rtl w:val="0"/>
        </w:rPr>
        <w:t xml:space="preserve"> Dr. Marta L. P. Valentim e Dr. Oswaldo F. de Almeida Júnior</w:t>
      </w:r>
    </w:p>
    <w:p w:rsidR="00000000" w:rsidDel="00000000" w:rsidP="00000000" w:rsidRDefault="00000000" w:rsidRPr="00000000" w14:paraId="0000002B">
      <w:pPr>
        <w:spacing w:after="0" w:line="240" w:lineRule="auto"/>
        <w:ind w:left="396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ind w:left="396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Marília</w:t>
        <w:br w:type="textWrapping"/>
        <w:t xml:space="preserve">2022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LISTA DE ILUSTRAÇÕES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0" w:before="0" w:line="360" w:lineRule="auto"/>
            <w:ind w:left="0" w:right="0" w:firstLine="709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Figura 1- Mapa conceitual do ambiente informacional de um prontuário eletrônico e sua semântica.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0" w:before="0" w:line="360" w:lineRule="auto"/>
            <w:ind w:left="0" w:right="0" w:firstLine="709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Figura 2 Mapa conceitual da estrutura FHIR.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LISTA DE ABREVIATURAS E SIGLAS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0"/>
        <w:rPr/>
      </w:pPr>
      <w:r w:rsidDel="00000000" w:rsidR="00000000" w:rsidRPr="00000000">
        <w:rPr>
          <w:rtl w:val="0"/>
        </w:rPr>
        <w:t xml:space="preserve">EMR</w:t>
        <w:tab/>
        <w:t xml:space="preserve">Eletronic Medical Records</w:t>
      </w:r>
    </w:p>
    <w:p w:rsidR="00000000" w:rsidDel="00000000" w:rsidP="00000000" w:rsidRDefault="00000000" w:rsidRPr="00000000" w14:paraId="00000039">
      <w:pPr>
        <w:ind w:firstLine="0"/>
        <w:rPr/>
      </w:pPr>
      <w:r w:rsidDel="00000000" w:rsidR="00000000" w:rsidRPr="00000000">
        <w:rPr>
          <w:rtl w:val="0"/>
        </w:rPr>
        <w:t xml:space="preserve">EBM</w:t>
        <w:tab/>
        <w:t xml:space="preserve">Evidence Based Medicine</w:t>
      </w:r>
    </w:p>
    <w:p w:rsidR="00000000" w:rsidDel="00000000" w:rsidP="00000000" w:rsidRDefault="00000000" w:rsidRPr="00000000" w14:paraId="0000003A">
      <w:pPr>
        <w:ind w:firstLine="0"/>
        <w:rPr/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FHIR</w:t>
      </w:r>
      <w:r w:rsidDel="00000000" w:rsidR="00000000" w:rsidRPr="00000000">
        <w:rPr>
          <w:rtl w:val="0"/>
        </w:rPr>
        <w:tab/>
        <w:t xml:space="preserve">Fast Healthcare Interoperability Resources</w:t>
      </w:r>
    </w:p>
    <w:p w:rsidR="00000000" w:rsidDel="00000000" w:rsidP="00000000" w:rsidRDefault="00000000" w:rsidRPr="00000000" w14:paraId="0000003B">
      <w:pPr>
        <w:ind w:firstLine="0"/>
        <w:rPr/>
      </w:pPr>
      <w:r w:rsidDel="00000000" w:rsidR="00000000" w:rsidRPr="00000000">
        <w:rPr>
          <w:rtl w:val="0"/>
        </w:rPr>
        <w:t xml:space="preserve">ERP</w:t>
        <w:tab/>
        <w:t xml:space="preserve">Enterprise Resource Planning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SUMÁRIO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20"/>
          <w:tab w:val="right" w:pos="9061"/>
        </w:tabs>
        <w:spacing w:after="100" w:before="0" w:line="36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F">
          <w:pPr>
            <w:tabs>
              <w:tab w:val="right" w:pos="9070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INTRODUÇÃO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9070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 OBJETIVOS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070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1.1.1 Objetivos Específicos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9070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PROCEDIMENTOS METODOLÓGICOS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9070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 NATUREZA E TIPO DA PESQUISA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9070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 MÉTODO DE PESQUISA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9070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 TÉCNICA DE COLETA DE DADOS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9070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 INSTRUMENTOS DE COLETA DE DADOS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9070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 TÉCNICAS E INSTRUMENTOS DE ANÁLISES DE DADOS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pos="9070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CONSIDERAÇÕES FINAIS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pos="9070.511811023624"/>
            </w:tabs>
            <w:spacing w:after="80"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REFERÊNCIAS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A">
      <w:pPr>
        <w:rPr/>
        <w:sectPr>
          <w:headerReference r:id="rId8" w:type="default"/>
          <w:pgSz w:h="16838" w:w="11906" w:orient="portrait"/>
          <w:pgMar w:bottom="1134" w:top="1843" w:left="1701" w:right="1134" w:header="709" w:footer="709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numPr>
          <w:ilvl w:val="0"/>
          <w:numId w:val="3"/>
        </w:numPr>
        <w:ind w:left="720" w:hanging="36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339" w:firstLine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Com a evolução e popularização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dos microcomputadores, o desenvolvimento de aplicações que permitem a transposição de registros físicos para meios eletrônicos tem crescido em número em todas as áreas, 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em particular na década de 60, houve um crescimento exponencial de aplicações de informática na área de saúde, onde começaram a surgir os primeiros sistemas de informação hospitalar (MIRANDA et.al.,2015). Não somente o número, mas também a importância dos Registros Médicos Eletrônicos (EMR) cresceu, e de acordo com Tierney (2013) influenciam diretamente a maneira como os profissionais ministram os cuidados aos pacientes de várias maneiras, impactando os fluxos de trabalho e auxiliando o pensamento clínico crítico.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339" w:firstLine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 dos grandes desafios dos EMR é alcançar 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interoperabilidade dos dados de saúde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que por definição é a capacidade de dois ou mais sistemas cooperarem apesar das diferenças de linguagem, estruturas ou plataforma de execução (WEGNER, 1996). O número de itens que compõem o desafio é grande, mas destaca-se entre eles o problema da representação da informação para manipulação computacional, devido ao fato de que o escopo da saúde é muito complexo e fornece uma dificuldade natural na busca por representação informatizada dos seus conceitos. Além disso, outro fator a ser considerado é o grande volume de padrões existentes, que acarreta na dificuldade da escolha que gerará melhor custo-benefício para cada tipo de instituição (PETRY et al, 2008).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" w:line="360" w:lineRule="auto"/>
        <w:ind w:left="0" w:right="340" w:firstLine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dados clínicos de pacientes são fundamentais desde o início do contato assistencial, a começar pela identificação correta da patologia que possibilita a eleição adequada de tratamento, medicações e procedimentos. A escolha assertiva do tratamento pode não só diminuir o tempo de duração da patologia, como interferir diretamente na prevenção de óbitos, dado que “o erro de diagnóstico pode ser a maior preocupação de segurança do paciente não tratada nos Estados Unidos, responsável por cerca de 40.000 a 80.000 mortes anualmente”, como afirma Graber (2017).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" w:line="360" w:lineRule="auto"/>
        <w:ind w:left="0" w:right="340" w:firstLine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extensão dos dados de saúde é grande e contempla toda a abrangência de dados clínicos, desde informações de origem exclusiva dos pacientes, como tipo sanguíneo e etnia, até os dados provenientes de contatos assistenciais, como resultado de exames, anamneses, evoluções e receituários.  Para ajudar na etapa de identificação e monitoramento das patologias são utilizados também resultados de exames, que subsidiam os profissionais nas tomadas de decisões de diagnósticos quanto nas evoluções posteriores, mediante a medicações e procedimentos. Atualmente, existem mais de 4000 testes de laboratório selecionáveis, e um número comparativamente desconcertante de opções de imagem como afirma Graber (2017).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346" w:firstLine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Ainda como ferramenta de extensão, na área da saúde, a interoperabilidade de dados vem crescendo para permitir a troca de dados entre os diferentes sistemas e ferramentas utilizadas, gerando mais informações valiosas no cuidado do paciente. Ela aumenta a capacidade de organização e recuperação dos dados, e, portanto, gera uma série de benefícios para as organizações de saúde, como cuidado mais eficaz ao paciente e insumos para pesquisas de caráter preditivo, pois habilita a possibilidade de se recuperar informação de diferentes fontes que estão distribuídas e armazenadas em ambientes heterogêneos (Nardon, 2003). Além disso, o compartilhamento do conhecimento dos dados de cuidado de saúde favorece a medicina baseada em evidências (EBM - Evidence Based Medicine), que é, de fato, o novo paradigma para a prática médica, que destaca a importância dos resultados de grandes ensaios clínicos na construção de novos tratamentos individuais e remove a ênfase da intuição como base para fazer decisões clínicas (LEWIS, 2004).</w:t>
      </w:r>
    </w:p>
    <w:p w:rsidR="00000000" w:rsidDel="00000000" w:rsidP="00000000" w:rsidRDefault="00000000" w:rsidRPr="00000000" w14:paraId="00000052">
      <w:pPr>
        <w:spacing w:after="0" w:lineRule="auto"/>
        <w:ind w:right="346" w:firstLine="72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Pine (2019) afirma que “pesquisas sobre interoperabilidade e troca de informações entre sistemas de tecnologia da informação destacam o uso de dados secundários para uma variedade de propósitos, incluindo pesquisa, gestão, melhoria da qualidade e prestação de contas”. Dentre os principais benefícios que a interoperabilidade traz ao setor da saúde</w:t>
      </w:r>
      <w:r w:rsidDel="00000000" w:rsidR="00000000" w:rsidRPr="00000000">
        <w:rPr>
          <w:rtl w:val="0"/>
        </w:rPr>
        <w:t xml:space="preserve">, pode-se destacar: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Troca de informações na gestão de consultórios, clínicas e hospitais atu</w:t>
      </w:r>
      <w:r w:rsidDel="00000000" w:rsidR="00000000" w:rsidRPr="00000000">
        <w:rPr>
          <w:rtl w:val="0"/>
        </w:rPr>
        <w:t xml:space="preserve">ando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em todos os níveis de atenção ao paciente, permitindo o rastreio clínico do indivíduo nos serviços utilizados;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Compartilhamento de dados do prontuário eletrônico do paciente PEP (Prontuário Eletrônico do Paciente) com segurança para aumento de evidências que subsidiam decisões clínicas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Disponibilização de resultados de exames laboratoriais e de radiologia, permitindo emitir e obter laudos com maior agilidade.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ind w:right="346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O modelo em que se baseia a interoperabilidade, permite que a assistência à saúde seja feita com maior segurança e eficiência, dado que ele traz visão integral da saúde, reunindo, compartilhando e utilizando as diferentes informações de um mesmo paciente. Além da perspectiva clínica existem os ganhos nos processos e redução de custos, visto que a interoperabilidade evita desde procedimentos duplicados – pois permite a comunicação mais ágil e transparente entre todos os profissionais que cuidam do paciente – até gastos desnecessários com exames duplicados.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ind w:right="346" w:firstLine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Entretanto, as atividades e recursos envolvidos no processo de interoperabilidade são complexos, devido desde a própria heterogeneidade das diversas fontes de dados, que apresentam diferenças estruturais e semânticas, até os modelos de troca de informação entre as instituições de saúde.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As diferenças estruturais podem ser observadas no modo como os sistemas organizam e armazenam seus dados, como quantidade de tabelas, tipagem de dados e escolha por texto livre ou informações tabuladas.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ind w:right="346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Já as diferenças semânticas podem ser percebidas desde a escolha de vocabulários adotados por cada instituição, que apesar de possuir essencialmente o mesmo significado são identificados por códigos e descrições divergentes. Para que as instituições possam trocar informações de forma precisa e automática, os documentos clínicos eletrônicos devem fazer uso de códigos clínicos estabelecidos, também chamados de vocabulários controlados, como aqueles de SNOMED-CT, LOINC e ICD-9 CM. No entanto, não existe um esquema de codificação universalmente aceito que encapsula todas as informações clínicas, como afirma Hamm (2007).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Rule="auto"/>
        <w:ind w:right="346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Atualmente existem várias propostas de soluções e caminhos a serem adotados para realizar a interoperabilidade, que se complementam, padrões para trocas de informações, como o TISS e o padrão FHIR.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ind w:right="346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O TISS é um modelo padrão para troca de informações entre os agentes de saúde suplementar e planos de saúde que tem por objetivo a uniformização de ações tanto clínicas quanto administrativas e financeiras e permite o acompanhamento financeiro das operadoras de convênios médicos.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ind w:right="346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O padrão FHIR é desenvolvido pela HL7® International e é um protocolo internacional para envio e recebimento de dados na área da saúde que contempla informações clínicas e administrativas e vem de encontro com a crescente necessidade de integração de dados na área da saúde para otimizar a pesquisa e desenvolvimento, como afirma NOUMEIR(2019)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Rule="auto"/>
        <w:ind w:firstLine="720"/>
        <w:rPr/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Portanto, a adoção de interoperabilidade de dados de saúde traz às instituições a possibilidade de oferecer um tratamento mais cuidadoso e eficiente ao paciente ao mesmo tempo que otimiza a utilização de seus recursos, aumentando a eficiência nos processos e redução de custos.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360" w:lineRule="auto"/>
        <w:ind w:left="0" w:right="335" w:firstLine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Nestes termos, o estudo da interoperabilidade na saúde justifica-se pois é um objeto de estudo em que a ciência da informação tem muito a contribuir, pois além de os dados de cuidados de saúde primários serem a fonte mais rica de dados de saúde de rotina (Thiru et. al., 2003),  ao realizar o compartilhamento de dados de saúde, busca-se obter a integração de dados e equivalência semântica  de diversas fontes heterogêneas, assegurando a fidedignidade da informação, simplificando e unificando a pesquisa e recuperação das informações. Inclusive no Brasil, há uma preocupação com a interoperabilidade de sistemas médicos ficou evidente por meio da portaria nº 2.073 de 2011 do Ministério da Saúde, sendo uma das recomendações desta adotar ontologias e terminologias para lidar com as questões de interoperabilidade de Sistemas de Informação. (BRASIL, 2011).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360" w:lineRule="auto"/>
        <w:ind w:left="0" w:right="335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Considerando o contexto supracitado, são formuladas as seguintes perguntas de pesquisa para este projeto: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360" w:lineRule="auto"/>
        <w:ind w:left="0" w:right="335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Quais os desafios dos processos de habilitação das instituições para permitir a interoperabilidade dos dados?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360" w:lineRule="auto"/>
        <w:ind w:left="0" w:right="335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Como os fluxos informacionais e padrões atuais, presente em instituições de saúde, podem ser melhorados através de análises e ferramentas providas pelo viés da ciência da informação?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360" w:lineRule="auto"/>
        <w:ind w:left="0" w:right="335" w:firstLine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Diante do exposto, a próxima seção detalha os objetivos que norteiam o desenvolvimento deste trabalho.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rPr/>
      </w:pPr>
      <w:bookmarkStart w:colFirst="0" w:colLast="0" w:name="_lriaklqle975" w:id="5"/>
      <w:bookmarkEnd w:id="5"/>
      <w:r w:rsidDel="00000000" w:rsidR="00000000" w:rsidRPr="00000000">
        <w:rPr>
          <w:rtl w:val="0"/>
        </w:rPr>
        <w:t xml:space="preserve">1.1 OBJETIVOS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Este trabalho tem como objetivo geral fornecer subsídios tecnológicos para a criação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de um modelo informacional que promova a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integração dos dados observacionais contidos em prontuários eletrônicos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rPr/>
      </w:pPr>
      <w:bookmarkStart w:colFirst="0" w:colLast="0" w:name="_tyjcwt" w:id="6"/>
      <w:bookmarkEnd w:id="6"/>
      <w:r w:rsidDel="00000000" w:rsidR="00000000" w:rsidRPr="00000000">
        <w:rPr>
          <w:rtl w:val="0"/>
        </w:rPr>
        <w:t xml:space="preserve">1.1.1 Objetivos Específicos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Para atender o objetivo geral deste trabalho, foram estabelecidos os seguintes objetivos específicos: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Propor um fluxo de transformações e mapeamentos dos dados primitivos contidos nos prontuários eletrônicos, a princípio utilizando o padrão FHIR, utilizando IA como ferramenta de apoio;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nalisar e identificar como estão sendo realizadas as integrações de dados de saúde através dos modelos atuais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ompreender o impacto da informação, bem como suas limitações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Identificar oportunidades no fluxo informacional para o emprego de processos tecnológicos como a representação semântica utilizando, a princípio, Inteligência Artificial e o padrão FHIR, a fim de contribuir para uma melhor eficiência na identificação, conversão e representação dos dados.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Para alcançar os objetivos elucidados, faz-se necessário realizar uma proposição de métodos científicos que garantam o rigor e a relevância da pesquisa. Para tanto, a próxima seção apresenta os procedimentos metodológicos que serão aplicados durante a execução desta pesquisa e, na sequência, é apresentado as considerações finais desta etapa. </w:t>
      </w:r>
    </w:p>
    <w:p w:rsidR="00000000" w:rsidDel="00000000" w:rsidP="00000000" w:rsidRDefault="00000000" w:rsidRPr="00000000" w14:paraId="0000006D">
      <w:pPr>
        <w:pStyle w:val="Heading1"/>
        <w:rPr/>
      </w:pPr>
      <w:bookmarkStart w:colFirst="0" w:colLast="0" w:name="_3dy6vkm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rPr/>
      </w:pPr>
      <w:bookmarkStart w:colFirst="0" w:colLast="0" w:name="_9zsqz812lbes" w:id="8"/>
      <w:bookmarkEnd w:id="8"/>
      <w:r w:rsidDel="00000000" w:rsidR="00000000" w:rsidRPr="00000000">
        <w:rPr>
          <w:rtl w:val="0"/>
        </w:rPr>
        <w:t xml:space="preserve">2 PROCEDIMENTOS METODOLÓGICOS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A condução de métodos de pesquisa adequados é um dos pré-requisitos apontado por Dresch, Lacerda e Júnior (2015) para a construção de um conhecimento científico, assim como, a aplicação de métodos diversificados aos diferentes problemas da pesquisa também podem contribuir para o avanço do conhecimento e são considerados fatores preponderantes para chegar ao rigor necessário, portanto, foram articuladas escolhas teóricas e metodológicas que possibilitam sistematizar e viabilizar a execução desta pesquisa.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Com o intuito de detalhar os procedimentos metodológicos a serem utilizados no desenvolvimento desta pesquisa, esta seção foi dividida nos seguintes tópicos:  natureza e tipo da pesquisa, método de pesquisa, técnica de coleta de dados, instrumentos de coleta de dados e técnicas de análise de dados.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rPr/>
      </w:pPr>
      <w:bookmarkStart w:colFirst="0" w:colLast="0" w:name="_1t3h5sf" w:id="9"/>
      <w:bookmarkEnd w:id="9"/>
      <w:r w:rsidDel="00000000" w:rsidR="00000000" w:rsidRPr="00000000">
        <w:rPr>
          <w:rtl w:val="0"/>
        </w:rPr>
        <w:t xml:space="preserve">2.1 NATUREZA E TIPO DA PESQUISA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Quanto à sua natureza, a pesquisa caracteriza-se como qualitativa. Quanto ao tipo, pode ser caracterizada como documental, pois irá utilizar dados que constam no ERP do Hospital das Clínicas de Marília/SP e exploratória, porque realiza-se uma revisão bibliográfica visando compreender melhor os temas: interoperabilidade de dados, dados de saúde, FHIR – buscando informações relacionadas com os assuntos com foco no problema, para encontrar possíveis soluções (Cervo e Bervian, 2003) 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rPr/>
      </w:pPr>
      <w:bookmarkStart w:colFirst="0" w:colLast="0" w:name="_4d34og8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rPr/>
      </w:pPr>
      <w:bookmarkStart w:colFirst="0" w:colLast="0" w:name="_wo341dx15ssl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rPr/>
      </w:pPr>
      <w:bookmarkStart w:colFirst="0" w:colLast="0" w:name="_hauqsqj34mus" w:id="12"/>
      <w:bookmarkEnd w:id="12"/>
      <w:r w:rsidDel="00000000" w:rsidR="00000000" w:rsidRPr="00000000">
        <w:rPr>
          <w:rtl w:val="0"/>
        </w:rPr>
        <w:t xml:space="preserve">2.2 MÉTODO DE PESQUISA</w:t>
      </w:r>
    </w:p>
    <w:p w:rsidR="00000000" w:rsidDel="00000000" w:rsidP="00000000" w:rsidRDefault="00000000" w:rsidRPr="00000000" w14:paraId="0000007E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A pesquisa se propõe a realizar um levantamento de processos e experimentos relacionados à adequação de dados de saúde para a habilitação à interoperabilidade, por isso, o método de pesquisa aplicado para este estudo usa Estudo de Caso Único, por caracterizar uma exploração de um sistema limitado, envolvendo uma coleta de dados de forma profunda e com variedades de fontes de informação dentro do seu contexto (Bedrettin et al., 2016).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rPr/>
      </w:pPr>
      <w:bookmarkStart w:colFirst="0" w:colLast="0" w:name="_2s8eyo1" w:id="13"/>
      <w:bookmarkEnd w:id="13"/>
      <w:r w:rsidDel="00000000" w:rsidR="00000000" w:rsidRPr="00000000">
        <w:rPr>
          <w:rtl w:val="0"/>
        </w:rPr>
        <w:t xml:space="preserve">2.3 TÉCNICA DE COLETA DE DADOS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tl w:val="0"/>
        </w:rPr>
        <w:t xml:space="preserve">As técnicas aplicadas na pesquisa serão: observação estruturada, onde o observador sabe o que procura e se utiliza de instrumentos para a coleta de dados mediante a objetivos anteriormente definidos e observação não participante, onde o observador toma contato com o contexto, mas sem integrar-se a ele (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MAZUCATO et al., 2018), tendo as seguintes fontes de evidência:</w:t>
      </w:r>
    </w:p>
    <w:p w:rsidR="00000000" w:rsidDel="00000000" w:rsidP="00000000" w:rsidRDefault="00000000" w:rsidRPr="00000000" w14:paraId="00000084">
      <w:pPr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•  Dados dos RES que constam no banco de dados do ERP do Hospital das Clínicas de Marília (SP)</w:t>
      </w:r>
    </w:p>
    <w:p w:rsidR="00000000" w:rsidDel="00000000" w:rsidP="00000000" w:rsidRDefault="00000000" w:rsidRPr="00000000" w14:paraId="00000085">
      <w:pPr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• Vocabulários padronizados utilizados em cada contexto hospitalar e a estrutura de armazenamento dos dados.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rPr/>
      </w:pPr>
      <w:bookmarkStart w:colFirst="0" w:colLast="0" w:name="_17dp8vu" w:id="14"/>
      <w:bookmarkEnd w:id="14"/>
      <w:r w:rsidDel="00000000" w:rsidR="00000000" w:rsidRPr="00000000">
        <w:rPr>
          <w:rtl w:val="0"/>
        </w:rPr>
        <w:t xml:space="preserve">2.3 INSTRUMENTOS DE COLETA DE DADOS</w:t>
      </w:r>
    </w:p>
    <w:p w:rsidR="00000000" w:rsidDel="00000000" w:rsidP="00000000" w:rsidRDefault="00000000" w:rsidRPr="00000000" w14:paraId="00000088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Esta pesquisa será conduzida utilizando os seguintes instrumentos para coleta de dados: roteiro de observação (dados que constam no ERP) sobre diagnóstico, tratamentos/procedimentos, riscos e resultados clínicos e mapeamento de termos (vocabulário) por meio de conceitos e definições e definição de conceitos padronizados.</w:t>
        <w:tab/>
      </w:r>
    </w:p>
    <w:p w:rsidR="00000000" w:rsidDel="00000000" w:rsidP="00000000" w:rsidRDefault="00000000" w:rsidRPr="00000000" w14:paraId="0000008A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rPr/>
      </w:pPr>
      <w:bookmarkStart w:colFirst="0" w:colLast="0" w:name="_3rdcrjn" w:id="15"/>
      <w:bookmarkEnd w:id="15"/>
      <w:r w:rsidDel="00000000" w:rsidR="00000000" w:rsidRPr="00000000">
        <w:rPr>
          <w:rtl w:val="0"/>
        </w:rPr>
        <w:t xml:space="preserve">2.4 TÉCNICAS E INSTRUMENTOS DE ANÁLISES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Como técnica de análise de dados, a pesquisa se utilizará de Mapas Conceituais, que no contexto da informação tem se demonstrado efetiva para múltiplas atribuições, a começar por sua definição de organizar e representar o conhecimento (Rodrigues e Cervantes, 2014).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Abaixo, na figura 1 é apresentado um exemplo de mapa conceitual do contexto informacional do ambiente de prontuário eletrônico e sua representação semântica:</w:t>
      </w:r>
    </w:p>
    <w:p w:rsidR="00000000" w:rsidDel="00000000" w:rsidP="00000000" w:rsidRDefault="00000000" w:rsidRPr="00000000" w14:paraId="0000008F">
      <w:pPr>
        <w:keepNext w:val="1"/>
        <w:rPr/>
      </w:pPr>
      <w:r w:rsidDel="00000000" w:rsidR="00000000" w:rsidRPr="00000000">
        <w:rPr/>
        <w:drawing>
          <wp:inline distB="0" distT="0" distL="0" distR="0">
            <wp:extent cx="5760085" cy="3331845"/>
            <wp:effectExtent b="0" l="0" r="0" t="0"/>
            <wp:docPr descr="Diagrama&#10;&#10;Descrição gerada automaticamente" id="3" name="image2.png"/>
            <a:graphic>
              <a:graphicData uri="http://schemas.openxmlformats.org/drawingml/2006/picture">
                <pic:pic>
                  <pic:nvPicPr>
                    <pic:cNvPr descr="Diagrama&#10;&#10;Descrição gerada automaticamente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31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bookmarkStart w:colFirst="0" w:colLast="0" w:name="_26in1rg" w:id="16"/>
      <w:bookmarkEnd w:id="16"/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Figura 1- Mapa conceitual do ambiente informacional de um prontuário eletrônico e sua semântica.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Fonte: Elaborado pelo autor.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Na próxima figura é demonstrado o mapa conceitual da arquitetura do padrão FHIR:</w:t>
      </w:r>
    </w:p>
    <w:p w:rsidR="00000000" w:rsidDel="00000000" w:rsidP="00000000" w:rsidRDefault="00000000" w:rsidRPr="00000000" w14:paraId="00000093">
      <w:pPr>
        <w:keepNext w:val="1"/>
        <w:rPr/>
      </w:pPr>
      <w:r w:rsidDel="00000000" w:rsidR="00000000" w:rsidRPr="00000000">
        <w:rPr>
          <w:rFonts w:ascii="Calibri" w:cs="Calibri" w:eastAsia="Calibri" w:hAnsi="Calibri"/>
          <w:color w:val="000000"/>
        </w:rPr>
        <w:drawing>
          <wp:inline distB="0" distT="0" distL="0" distR="0">
            <wp:extent cx="5732780" cy="3093085"/>
            <wp:effectExtent b="0" l="0" r="0" t="0"/>
            <wp:docPr descr="Diagrama, Esquemático&#10;&#10;Descrição gerada automaticamente" id="4" name="image3.png"/>
            <a:graphic>
              <a:graphicData uri="http://schemas.openxmlformats.org/drawingml/2006/picture">
                <pic:pic>
                  <pic:nvPicPr>
                    <pic:cNvPr descr="Diagrama, Esquemático&#10;&#10;Descrição gerada automaticamente"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3093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bookmarkStart w:colFirst="0" w:colLast="0" w:name="_lnxbz9" w:id="17"/>
      <w:bookmarkEnd w:id="17"/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Figura 2 Mapa conceitual da estrutura FHIR.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Fonte: Elaborado pelo autor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Como instrumentos de análises de dados serão utilizados: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Técnicas de programação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Science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29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Machine Learning</w:t>
      </w:r>
    </w:p>
    <w:p w:rsidR="00000000" w:rsidDel="00000000" w:rsidP="00000000" w:rsidRDefault="00000000" w:rsidRPr="00000000" w14:paraId="0000009A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rPr/>
      </w:pPr>
      <w:bookmarkStart w:colFirst="0" w:colLast="0" w:name="_35nkun2" w:id="18"/>
      <w:bookmarkEnd w:id="18"/>
      <w:r w:rsidDel="00000000" w:rsidR="00000000" w:rsidRPr="00000000">
        <w:rPr>
          <w:rtl w:val="0"/>
        </w:rPr>
        <w:t xml:space="preserve">CONSIDERAÇÕES FINAIS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Acredita-se que com a produção deste estudo haja uma contribuição com o processo de interoperabilidade de dados de saúde no que diz respeito às etapas de mapeamento de dados brutos contidos no EMR, a princípio para o padrão FHIR, para o qual constatou-se que há uma demanda e produção emergente nos últimos anos, por meio da articulação entre as áreas Ciência da Informação e Ciência da Computação.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Diante do arcabouço estabelecido, esta pesquisa se beneficiará com a aplicação de mapas conceituais, como principal artefato, considerando que este método permite sintetizar, representar e organizar os conceitos relacionados ao conhecimento que está em estudo.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presente pesquisa encontra-se em um ponto de partida e ainda requer aprofundamentos que poderão proporcionar reflexões mais abrangentes acerca dos problemas e questões de pesquisa elencados, podendo inclusive, identificar novas questões de pesquisa, assim como, aprimorar os procedimentos metodológicos e as técnicas de coleta e análise de dados a serem utilizadas.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1"/>
        <w:rPr/>
      </w:pPr>
      <w:bookmarkStart w:colFirst="0" w:colLast="0" w:name="_1ksv4uv" w:id="19"/>
      <w:bookmarkEnd w:id="19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BARBOSA, D. M.; BAX, M. A Design Science como metodologia para a criação de um modelo de Gestão da Informação para o contexto da avaliação de cursos de graduação. </w:t>
      </w:r>
      <w:r w:rsidDel="00000000" w:rsidR="00000000" w:rsidRPr="00000000">
        <w:rPr>
          <w:b w:val="1"/>
          <w:rtl w:val="0"/>
        </w:rPr>
        <w:t xml:space="preserve">Revista Ibero-Americana de Ciência da Informação</w:t>
      </w:r>
      <w:r w:rsidDel="00000000" w:rsidR="00000000" w:rsidRPr="00000000">
        <w:rPr>
          <w:rtl w:val="0"/>
        </w:rPr>
        <w:t xml:space="preserve">, v. 10, n. 1, p. 32–48, 2017.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CERVO, A. L.; BERVIAN, P. A.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Metodologia científica.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5. ed. São Paulo: Prentice Hall, 2003.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sz w:val="23"/>
          <w:szCs w:val="23"/>
          <w:rtl w:val="0"/>
        </w:rPr>
        <w:t xml:space="preserve">DRESCH, A.; LACERDA, D. P.; JÚNIOR, J. A. V. A. </w:t>
      </w:r>
      <w:r w:rsidDel="00000000" w:rsidR="00000000" w:rsidRPr="00000000">
        <w:rPr>
          <w:b w:val="1"/>
          <w:sz w:val="23"/>
          <w:szCs w:val="23"/>
          <w:rtl w:val="0"/>
        </w:rPr>
        <w:t xml:space="preserve">Design Science Research: método de pesquisa para avanço da ciência e tecnologia</w:t>
      </w:r>
      <w:r w:rsidDel="00000000" w:rsidR="00000000" w:rsidRPr="00000000">
        <w:rPr>
          <w:sz w:val="23"/>
          <w:szCs w:val="23"/>
          <w:rtl w:val="0"/>
        </w:rPr>
        <w:t xml:space="preserve">. Porto Alegre: Bookman,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Graber ML, Byrne C, Johnston D.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The impact of electronic health records on diagnosis. Diagnosis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(Berl). 2017 Nov 27;4(4):211-223. doi: 10.1515/dx-2017-0012. PMID: 29536944.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Grüne S.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Anamnese und körperliche Untersuchung [Anamnesis and clinical examination]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. Dtsch Med Wochenschr. 2016 Jan;141(1):24-7. German. doi: 10.1055/s-0041-106337. Epub 2015 Dec 28. PMID: 26710199.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Hamm RA, Knoop SE, Schwarz P, Block AD, Davis WL 4th.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Harmonizing clinical terminologies: driving interoperability in healthcare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. Stud Health Technol Inform. 2007;129(Pt 1):660-3. PMID: 17911799.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Lewis SJ, Orland BI.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The importance and impact of evidence-based medicine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. J Manag Care Pharm. 2004 Sep;10(5 Suppl A):S3-5. doi: 10.18553/jmcp.2004.10.S5-A.S3. PMID: 15369418.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MAZUCATO, Thiago et al. </w:t>
      </w:r>
      <w:r w:rsidDel="00000000" w:rsidR="00000000" w:rsidRPr="00000000">
        <w:rPr>
          <w:rFonts w:ascii="Calibri" w:cs="Calibri" w:eastAsia="Calibri" w:hAnsi="Calibri"/>
          <w:b w:val="1"/>
          <w:color w:val="222222"/>
          <w:highlight w:val="white"/>
          <w:rtl w:val="0"/>
        </w:rPr>
        <w:t xml:space="preserve">Metodologia da pesquisa e do trabalho científico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. Penápolis: Funepe, 2018.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MIRANDA, Nelson Júlio de Oliveira; PINTO, Virgínia Bentes.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Prontuário eletrônico do paciente: padronização e interoperabilidade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. In: Encontro Nacional de Pesquisa em Ciência da Informação, 16., 2015, João Pessoa. Anais... João Pessoa: ANCIB, 2015.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NARDON, Fabiane Bizinella; MOURA JUNIOR, Lincoln de Assis.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Compartilhamento de conhecimento em saúde utilizando ontologias e bancos de dados dedutivos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. 2003.Universidade de São Paulo, São Paulo,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NOUMEIR, R.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Active Learning of the HL7 Medical Standard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. J Digit Imaging 32, 354–361 (2019). </w:t>
      </w:r>
      <w:hyperlink r:id="rId1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4"/>
            <w:szCs w:val="24"/>
            <w:highlight w:val="white"/>
            <w:u w:val="single"/>
            <w:vertAlign w:val="baseline"/>
            <w:rtl w:val="0"/>
          </w:rPr>
          <w:t xml:space="preserve">https://doi.org/10.1007/s10278-018-0134-3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Pine KH.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The qualculative dimension of healthcare data interoperability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. Health Informatics J. 2019 Sep;25(3):536-548. doi: 10.1177/1460458219833095. Epub 2019 Apr 19. PMID: 31002277.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THIRU, Krish; HASSEY, Alan; SULLIVAN, Frank.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Systematic review of scope and quality of electronic patient record data in primary care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. Bmj, v. 326, n. 7398, p. 1070, 2003.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Tierney MJ, Pageler NM, Kahana M, Pantaleoni JL, Longhurst CA.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Medical education in the electronic medical record (EMR) era: benefits, challenges, and future directions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. Acad Med. 2013 Jun;88(6):748-52. doi: 10.1097/ACM.0b013e3182905ceb. PMID: 23619078.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PRODANOV, Cleber Cristiano; DE FREITAS, Ernani Cesar.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Metodologia do trabalho científico: métodos e técnicas da pesquisa e do trabalho acadêmico-2ª Edição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. Editora Feevale, 2013.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40" w:lineRule="auto"/>
        <w:ind w:firstLine="708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RODRIGUES, M. R.; CERVANTES, B. M. N. Organização e representação do conhecimento por meio de mapas conceituais.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Ciência da Informação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Brasília, v.43, n.1, p.154-169, jan./abr.2014. Disponível em: </w:t>
      </w:r>
      <w:hyperlink r:id="rId12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http://revista.ibict.br/ciinf/article/view/1425/1603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40" w:lineRule="auto"/>
        <w:ind w:firstLine="708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STAN, Ovidiu; MICLEA, Liviu.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Local EHR management based on FHIR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. In: 2018 IEEE International Conference on Automation, Quality and Testing, Robotics (AQTR). IEEE, 2018. p. 1-5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YAZAN, Bedrettin et al. </w:t>
      </w:r>
      <w:r w:rsidDel="00000000" w:rsidR="00000000" w:rsidRPr="00000000">
        <w:rPr>
          <w:rFonts w:ascii="Calibri" w:cs="Calibri" w:eastAsia="Calibri" w:hAnsi="Calibri"/>
          <w:b w:val="1"/>
          <w:color w:val="222222"/>
          <w:highlight w:val="white"/>
          <w:rtl w:val="0"/>
        </w:rPr>
        <w:t xml:space="preserve">Três abordagens do método de estudo de caso em educação: Yin, Merriam e Stake.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 Revista Meta: Avaliação, v. 8, n. 22, p. 149-182, 2016.</w:t>
      </w:r>
    </w:p>
    <w:sectPr>
      <w:headerReference r:id="rId13" w:type="default"/>
      <w:type w:val="continuous"/>
      <w:pgSz w:h="16838" w:w="11906" w:orient="portrait"/>
      <w:pgMar w:bottom="1134" w:top="1843" w:left="1701" w:right="1134" w:header="709" w:footer="709"/>
      <w:pgNumType w:start="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709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709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709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709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pt-BR"/>
      </w:rPr>
    </w:rPrDefault>
    <w:pPrDefault>
      <w:pPr>
        <w:spacing w:after="160"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59" w:lineRule="auto"/>
      <w:ind w:firstLine="0"/>
      <w:jc w:val="left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i.org/10.1007/s10278-018-0134-3" TargetMode="External"/><Relationship Id="rId10" Type="http://schemas.openxmlformats.org/officeDocument/2006/relationships/image" Target="media/image3.png"/><Relationship Id="rId13" Type="http://schemas.openxmlformats.org/officeDocument/2006/relationships/header" Target="header1.xml"/><Relationship Id="rId12" Type="http://schemas.openxmlformats.org/officeDocument/2006/relationships/hyperlink" Target="http://revista.ibict.br/ciinf/article/view/1425/160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