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51FB" w14:textId="77777777" w:rsidR="00625411" w:rsidRDefault="00625411" w:rsidP="003C4D03">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219E8D92" w14:textId="77777777" w:rsidR="00F35760" w:rsidRDefault="00F35760" w:rsidP="00F947B9">
      <w:pPr>
        <w:pStyle w:val="NoSpacing"/>
        <w:spacing w:line="480" w:lineRule="auto"/>
        <w:rPr>
          <w:rFonts w:ascii="Times New Roman" w:eastAsia="Times New Roman" w:hAnsi="Times New Roman" w:cs="Times New Roman"/>
          <w:b/>
          <w:bCs/>
        </w:rPr>
      </w:pPr>
    </w:p>
    <w:p w14:paraId="6A92A8AE" w14:textId="77777777" w:rsidR="00601EF6" w:rsidRDefault="00601EF6" w:rsidP="00F947B9">
      <w:pPr>
        <w:pStyle w:val="NoSpacing"/>
        <w:spacing w:line="480" w:lineRule="auto"/>
        <w:rPr>
          <w:rFonts w:ascii="Times New Roman" w:eastAsia="Times New Roman" w:hAnsi="Times New Roman" w:cs="Times New Roman"/>
          <w:b/>
          <w:bCs/>
        </w:rPr>
      </w:pPr>
    </w:p>
    <w:p w14:paraId="3CFD7AD9" w14:textId="77777777" w:rsidR="00FC633B" w:rsidRDefault="00201B71" w:rsidP="001A3D60">
      <w:pPr>
        <w:pStyle w:val="NoSpacing"/>
        <w:spacing w:line="480" w:lineRule="auto"/>
        <w:jc w:val="center"/>
        <w:rPr>
          <w:rFonts w:ascii="Times New Roman" w:eastAsia="Times New Roman" w:hAnsi="Times New Roman" w:cs="Times New Roman"/>
          <w:b/>
          <w:bCs/>
        </w:rPr>
      </w:pPr>
      <w:r w:rsidRPr="00201B71">
        <w:rPr>
          <w:rFonts w:ascii="Times New Roman" w:eastAsia="Times New Roman" w:hAnsi="Times New Roman" w:cs="Times New Roman"/>
          <w:b/>
          <w:bCs/>
        </w:rPr>
        <w:t xml:space="preserve">Exponential Impact Patterns in Rural Healthcare Workforce Development: </w:t>
      </w:r>
    </w:p>
    <w:p w14:paraId="63E6CF57" w14:textId="2AF96752" w:rsidR="00F02289" w:rsidRPr="001A3D60" w:rsidRDefault="00201B71" w:rsidP="001A3D60">
      <w:pPr>
        <w:pStyle w:val="NoSpacing"/>
        <w:spacing w:line="480" w:lineRule="auto"/>
        <w:jc w:val="center"/>
        <w:rPr>
          <w:rFonts w:ascii="Times New Roman" w:eastAsia="Times New Roman" w:hAnsi="Times New Roman" w:cs="Times New Roman"/>
          <w:b/>
          <w:bCs/>
        </w:rPr>
      </w:pPr>
      <w:r w:rsidRPr="00201B71">
        <w:rPr>
          <w:rFonts w:ascii="Times New Roman" w:eastAsia="Times New Roman" w:hAnsi="Times New Roman" w:cs="Times New Roman"/>
          <w:b/>
          <w:bCs/>
        </w:rPr>
        <w:t>Evidence from the ReConnect Gap Year Fellowship</w:t>
      </w:r>
    </w:p>
    <w:p w14:paraId="41B83326" w14:textId="77777777" w:rsidR="00FC633B" w:rsidRDefault="00FC633B" w:rsidP="00F35760">
      <w:pPr>
        <w:pStyle w:val="NoSpacing"/>
        <w:spacing w:line="480" w:lineRule="auto"/>
        <w:jc w:val="center"/>
        <w:rPr>
          <w:rFonts w:ascii="Times New Roman" w:eastAsia="Times New Roman" w:hAnsi="Times New Roman" w:cs="Times New Roman"/>
        </w:rPr>
      </w:pPr>
    </w:p>
    <w:p w14:paraId="4E4CE096" w14:textId="7B731372" w:rsidR="00033F03" w:rsidRPr="00F35760" w:rsidRDefault="00033F03" w:rsidP="009A2A8F">
      <w:pPr>
        <w:pStyle w:val="NoSpacing"/>
        <w:rPr>
          <w:rFonts w:ascii="Times New Roman" w:eastAsia="Times New Roman" w:hAnsi="Times New Roman" w:cs="Times New Roman"/>
        </w:rPr>
      </w:pPr>
      <w:r w:rsidRPr="00F35760">
        <w:rPr>
          <w:rFonts w:ascii="Times New Roman" w:eastAsia="Times New Roman" w:hAnsi="Times New Roman" w:cs="Times New Roman"/>
        </w:rPr>
        <w:t>Chris</w:t>
      </w:r>
      <w:r w:rsidR="00736102">
        <w:rPr>
          <w:rFonts w:ascii="Times New Roman" w:eastAsia="Times New Roman" w:hAnsi="Times New Roman" w:cs="Times New Roman"/>
        </w:rPr>
        <w:t>topher J.</w:t>
      </w:r>
      <w:r w:rsidRPr="00F35760">
        <w:rPr>
          <w:rFonts w:ascii="Times New Roman" w:eastAsia="Times New Roman" w:hAnsi="Times New Roman" w:cs="Times New Roman"/>
        </w:rPr>
        <w:t xml:space="preserve"> Guastaferro</w:t>
      </w:r>
      <w:r w:rsidR="00677C20">
        <w:rPr>
          <w:rFonts w:ascii="Times New Roman" w:eastAsia="Times New Roman" w:hAnsi="Times New Roman" w:cs="Times New Roman"/>
        </w:rPr>
        <w:t>, MAODC</w:t>
      </w:r>
      <w:r w:rsidR="00A4328C" w:rsidRPr="00A4328C">
        <w:rPr>
          <w:rFonts w:ascii="Times New Roman" w:eastAsia="Times New Roman" w:hAnsi="Times New Roman" w:cs="Times New Roman"/>
          <w:vertAlign w:val="superscript"/>
        </w:rPr>
        <w:t>1</w:t>
      </w:r>
      <w:r w:rsidR="00C758AE" w:rsidRPr="00DB5AFC">
        <w:rPr>
          <w:rFonts w:ascii="Times New Roman" w:eastAsia="Times New Roman" w:hAnsi="Times New Roman" w:cs="Times New Roman"/>
        </w:rPr>
        <w:t>,</w:t>
      </w:r>
      <w:r w:rsidR="009E2F8D">
        <w:rPr>
          <w:rFonts w:ascii="Times New Roman" w:eastAsia="Times New Roman" w:hAnsi="Times New Roman" w:cs="Times New Roman"/>
        </w:rPr>
        <w:t xml:space="preserve"> </w:t>
      </w:r>
      <w:r w:rsidR="00A4328C" w:rsidRPr="00DB5AFC">
        <w:rPr>
          <w:rFonts w:ascii="Times New Roman" w:eastAsia="Times New Roman" w:hAnsi="Times New Roman" w:cs="Times New Roman"/>
        </w:rPr>
        <w:t xml:space="preserve">Christin </w:t>
      </w:r>
      <w:r w:rsidR="000919D9">
        <w:rPr>
          <w:rFonts w:ascii="Times New Roman" w:eastAsia="Times New Roman" w:hAnsi="Times New Roman" w:cs="Times New Roman"/>
        </w:rPr>
        <w:t xml:space="preserve">M. </w:t>
      </w:r>
      <w:r w:rsidR="00A4328C" w:rsidRPr="00DB5AFC">
        <w:rPr>
          <w:rFonts w:ascii="Times New Roman" w:eastAsia="Times New Roman" w:hAnsi="Times New Roman" w:cs="Times New Roman"/>
        </w:rPr>
        <w:t xml:space="preserve">Rutledge, MPH, </w:t>
      </w:r>
      <w:r w:rsidR="00A4328C">
        <w:rPr>
          <w:rFonts w:ascii="Times New Roman" w:eastAsia="Times New Roman" w:hAnsi="Times New Roman" w:cs="Times New Roman"/>
        </w:rPr>
        <w:t>MCHE</w:t>
      </w:r>
      <w:r w:rsidR="00D756FE">
        <w:rPr>
          <w:rFonts w:ascii="Times New Roman" w:eastAsia="Times New Roman" w:hAnsi="Times New Roman" w:cs="Times New Roman"/>
        </w:rPr>
        <w:t>S</w:t>
      </w:r>
      <w:r w:rsidR="00D756FE" w:rsidRPr="00D756FE">
        <w:rPr>
          <w:rFonts w:ascii="Times New Roman" w:eastAsia="Times New Roman" w:hAnsi="Times New Roman" w:cs="Times New Roman"/>
          <w:vertAlign w:val="superscript"/>
        </w:rPr>
        <w:t>2</w:t>
      </w:r>
      <w:r w:rsidR="00D756FE">
        <w:rPr>
          <w:rFonts w:ascii="Times New Roman" w:eastAsia="Times New Roman" w:hAnsi="Times New Roman" w:cs="Times New Roman"/>
        </w:rPr>
        <w:t xml:space="preserve">, </w:t>
      </w:r>
      <w:r w:rsidR="009E2F8D">
        <w:rPr>
          <w:rFonts w:ascii="Times New Roman" w:eastAsia="Times New Roman" w:hAnsi="Times New Roman" w:cs="Times New Roman"/>
        </w:rPr>
        <w:t xml:space="preserve">and </w:t>
      </w:r>
      <w:r w:rsidR="00D756FE">
        <w:rPr>
          <w:rFonts w:ascii="Times New Roman" w:eastAsia="Times New Roman" w:hAnsi="Times New Roman" w:cs="Times New Roman"/>
        </w:rPr>
        <w:t xml:space="preserve">Lacey L. Ferguson, </w:t>
      </w:r>
      <w:r w:rsidR="00D756FE" w:rsidRPr="00DB5AFC">
        <w:rPr>
          <w:rFonts w:ascii="Times New Roman" w:eastAsia="Times New Roman" w:hAnsi="Times New Roman" w:cs="Times New Roman"/>
        </w:rPr>
        <w:t>M.Ed.</w:t>
      </w:r>
      <w:r w:rsidR="00D756FE">
        <w:rPr>
          <w:rFonts w:ascii="Times New Roman" w:eastAsia="Times New Roman" w:hAnsi="Times New Roman" w:cs="Times New Roman"/>
          <w:vertAlign w:val="superscript"/>
        </w:rPr>
        <w:t>3</w:t>
      </w:r>
    </w:p>
    <w:p w14:paraId="26AFC1BA" w14:textId="77777777" w:rsidR="009A2A8F" w:rsidRDefault="009A2A8F" w:rsidP="009A2A8F">
      <w:pPr>
        <w:pStyle w:val="NoSpacing"/>
        <w:rPr>
          <w:rFonts w:ascii="Times New Roman" w:eastAsia="Times New Roman" w:hAnsi="Times New Roman" w:cs="Times New Roman"/>
          <w:vertAlign w:val="superscript"/>
        </w:rPr>
      </w:pPr>
    </w:p>
    <w:p w14:paraId="59AC6921" w14:textId="096821E2" w:rsidR="00F35760" w:rsidRDefault="00A4328C" w:rsidP="009A2A8F">
      <w:pPr>
        <w:pStyle w:val="NoSpacing"/>
        <w:rPr>
          <w:rFonts w:ascii="Times New Roman" w:eastAsia="Times New Roman" w:hAnsi="Times New Roman" w:cs="Times New Roman"/>
        </w:rPr>
      </w:pPr>
      <w:r w:rsidRPr="00A4328C">
        <w:rPr>
          <w:rFonts w:ascii="Times New Roman" w:eastAsia="Times New Roman" w:hAnsi="Times New Roman" w:cs="Times New Roman"/>
          <w:vertAlign w:val="superscript"/>
        </w:rPr>
        <w:t>1</w:t>
      </w:r>
      <w:r w:rsidR="00077F85">
        <w:rPr>
          <w:rFonts w:ascii="Times New Roman" w:eastAsia="Times New Roman" w:hAnsi="Times New Roman" w:cs="Times New Roman"/>
        </w:rPr>
        <w:t xml:space="preserve">Department of Organizational Development and </w:t>
      </w:r>
      <w:r w:rsidR="00324E1F">
        <w:rPr>
          <w:rFonts w:ascii="Times New Roman" w:eastAsia="Times New Roman" w:hAnsi="Times New Roman" w:cs="Times New Roman"/>
        </w:rPr>
        <w:t>Leadership</w:t>
      </w:r>
      <w:r w:rsidR="00077F85">
        <w:rPr>
          <w:rFonts w:ascii="Times New Roman" w:eastAsia="Times New Roman" w:hAnsi="Times New Roman" w:cs="Times New Roman"/>
        </w:rPr>
        <w:t xml:space="preserve">, </w:t>
      </w:r>
      <w:r w:rsidR="00F35760" w:rsidRPr="00F35760">
        <w:rPr>
          <w:rFonts w:ascii="Times New Roman" w:eastAsia="Times New Roman" w:hAnsi="Times New Roman" w:cs="Times New Roman"/>
        </w:rPr>
        <w:t>Hawai`i Pacific University</w:t>
      </w:r>
      <w:r w:rsidR="00425A73">
        <w:rPr>
          <w:rFonts w:ascii="Times New Roman" w:eastAsia="Times New Roman" w:hAnsi="Times New Roman" w:cs="Times New Roman"/>
        </w:rPr>
        <w:t>, Honolulu, HI</w:t>
      </w:r>
      <w:r w:rsidR="00BF458C">
        <w:rPr>
          <w:rFonts w:ascii="Times New Roman" w:eastAsia="Times New Roman" w:hAnsi="Times New Roman" w:cs="Times New Roman"/>
        </w:rPr>
        <w:t xml:space="preserve">, </w:t>
      </w:r>
      <w:r w:rsidR="00425A73">
        <w:rPr>
          <w:rFonts w:ascii="Times New Roman" w:eastAsia="Times New Roman" w:hAnsi="Times New Roman" w:cs="Times New Roman"/>
        </w:rPr>
        <w:t>USA</w:t>
      </w:r>
    </w:p>
    <w:p w14:paraId="204D2032" w14:textId="77777777" w:rsidR="009A2A8F" w:rsidRDefault="009A2A8F" w:rsidP="009A2A8F">
      <w:pPr>
        <w:rPr>
          <w:rFonts w:ascii="Times New Roman" w:hAnsi="Times New Roman" w:cs="Times New Roman"/>
        </w:rPr>
      </w:pPr>
    </w:p>
    <w:p w14:paraId="14171782" w14:textId="2E4DEE8E" w:rsidR="00D756FE" w:rsidRDefault="00D756FE" w:rsidP="009A2A8F">
      <w:pPr>
        <w:rPr>
          <w:rFonts w:ascii="Times New Roman" w:hAnsi="Times New Roman" w:cs="Times New Roman"/>
        </w:rPr>
      </w:pPr>
      <w:r>
        <w:rPr>
          <w:rFonts w:ascii="Times New Roman" w:hAnsi="Times New Roman" w:cs="Times New Roman"/>
          <w:vertAlign w:val="superscript"/>
        </w:rPr>
        <w:t>2</w:t>
      </w:r>
      <w:r w:rsidRPr="00D756FE">
        <w:rPr>
          <w:rFonts w:ascii="Times New Roman" w:hAnsi="Times New Roman" w:cs="Times New Roman"/>
        </w:rPr>
        <w:t>Director, Area Health Education Center Southwest, Associate Faculty Director of Academic Scholarship, Aviva Health, Roseburg, OR, USA</w:t>
      </w:r>
    </w:p>
    <w:p w14:paraId="3A3B33DF" w14:textId="77777777" w:rsidR="00D756FE" w:rsidRDefault="00D756FE" w:rsidP="009A2A8F">
      <w:pPr>
        <w:rPr>
          <w:rFonts w:ascii="Times New Roman" w:hAnsi="Times New Roman" w:cs="Times New Roman"/>
        </w:rPr>
      </w:pPr>
    </w:p>
    <w:p w14:paraId="3300D226" w14:textId="7C606D00" w:rsidR="008E4C48" w:rsidRDefault="00D756FE" w:rsidP="009A2A8F">
      <w:pPr>
        <w:rPr>
          <w:rFonts w:ascii="Times New Roman" w:hAnsi="Times New Roman" w:cs="Times New Roman"/>
        </w:rPr>
      </w:pPr>
      <w:r>
        <w:rPr>
          <w:rFonts w:ascii="Times New Roman" w:hAnsi="Times New Roman" w:cs="Times New Roman"/>
          <w:vertAlign w:val="superscript"/>
        </w:rPr>
        <w:t>3</w:t>
      </w:r>
      <w:r w:rsidR="008E4C48" w:rsidRPr="008E4C48">
        <w:rPr>
          <w:rFonts w:ascii="Times New Roman" w:hAnsi="Times New Roman" w:cs="Times New Roman"/>
        </w:rPr>
        <w:t>ReConnect Gap Year Fellowship Coordinator, Area Health Education Center Southwest, Aviva Health, Roseburg, OR, USA</w:t>
      </w:r>
    </w:p>
    <w:p w14:paraId="45D53F65" w14:textId="77777777" w:rsidR="00BF458C" w:rsidRDefault="00BF458C" w:rsidP="009A2A8F">
      <w:pPr>
        <w:rPr>
          <w:rFonts w:ascii="Times New Roman" w:hAnsi="Times New Roman" w:cs="Times New Roman"/>
        </w:rPr>
      </w:pPr>
    </w:p>
    <w:p w14:paraId="622664BF" w14:textId="77777777" w:rsidR="00BF458C" w:rsidRPr="008E4C48" w:rsidRDefault="00BF458C" w:rsidP="009A2A8F">
      <w:pPr>
        <w:rPr>
          <w:rFonts w:ascii="Times New Roman" w:hAnsi="Times New Roman" w:cs="Times New Roman"/>
        </w:rPr>
      </w:pPr>
    </w:p>
    <w:p w14:paraId="117AE71C" w14:textId="77777777" w:rsidR="008E4C48" w:rsidRDefault="008E4C48" w:rsidP="00F35760">
      <w:pPr>
        <w:pStyle w:val="NoSpacing"/>
        <w:spacing w:line="480" w:lineRule="auto"/>
        <w:jc w:val="center"/>
        <w:rPr>
          <w:rFonts w:ascii="Times New Roman" w:eastAsia="Times New Roman" w:hAnsi="Times New Roman" w:cs="Times New Roman"/>
        </w:rPr>
      </w:pPr>
    </w:p>
    <w:p w14:paraId="24C59609" w14:textId="77777777" w:rsidR="00A4328C" w:rsidRDefault="00A4328C" w:rsidP="00F35760">
      <w:pPr>
        <w:pStyle w:val="NoSpacing"/>
        <w:spacing w:line="480" w:lineRule="auto"/>
        <w:jc w:val="center"/>
        <w:rPr>
          <w:rFonts w:ascii="Times New Roman" w:eastAsia="Times New Roman" w:hAnsi="Times New Roman" w:cs="Times New Roman"/>
        </w:rPr>
      </w:pPr>
    </w:p>
    <w:p w14:paraId="457E9B46" w14:textId="77777777" w:rsidR="00B7642B" w:rsidRDefault="00B7642B" w:rsidP="00B40C64">
      <w:pPr>
        <w:pStyle w:val="NoSpacing"/>
        <w:spacing w:line="480" w:lineRule="auto"/>
        <w:rPr>
          <w:rFonts w:ascii="Times New Roman" w:eastAsia="Times New Roman" w:hAnsi="Times New Roman" w:cs="Times New Roman"/>
          <w:b/>
          <w:bCs/>
        </w:rPr>
      </w:pPr>
    </w:p>
    <w:p w14:paraId="1348E8F7" w14:textId="77777777" w:rsidR="008B0B1F" w:rsidRDefault="008B0B1F" w:rsidP="00F35760">
      <w:pPr>
        <w:pStyle w:val="NoSpacing"/>
        <w:rPr>
          <w:rFonts w:ascii="Times New Roman" w:eastAsia="Times New Roman" w:hAnsi="Times New Roman" w:cs="Times New Roman"/>
          <w:b/>
          <w:bCs/>
        </w:rPr>
      </w:pPr>
    </w:p>
    <w:p w14:paraId="1719E4B9" w14:textId="77777777" w:rsidR="00FC5C9D" w:rsidRDefault="00FC5C9D" w:rsidP="00F35760">
      <w:pPr>
        <w:pStyle w:val="NoSpacing"/>
        <w:rPr>
          <w:rFonts w:ascii="Times New Roman" w:eastAsia="Times New Roman" w:hAnsi="Times New Roman" w:cs="Times New Roman"/>
          <w:b/>
          <w:bCs/>
        </w:rPr>
      </w:pPr>
    </w:p>
    <w:p w14:paraId="58AB2709" w14:textId="77777777" w:rsidR="00FC5C9D" w:rsidRDefault="00FC5C9D" w:rsidP="00F35760">
      <w:pPr>
        <w:pStyle w:val="NoSpacing"/>
        <w:rPr>
          <w:rFonts w:ascii="Times New Roman" w:eastAsia="Times New Roman" w:hAnsi="Times New Roman" w:cs="Times New Roman"/>
          <w:b/>
          <w:bCs/>
        </w:rPr>
      </w:pPr>
    </w:p>
    <w:p w14:paraId="1D73EFCC" w14:textId="77777777" w:rsidR="00FC5C9D" w:rsidRDefault="00FC5C9D" w:rsidP="00F35760">
      <w:pPr>
        <w:pStyle w:val="NoSpacing"/>
        <w:rPr>
          <w:rFonts w:ascii="Times New Roman" w:eastAsia="Times New Roman" w:hAnsi="Times New Roman" w:cs="Times New Roman"/>
          <w:b/>
          <w:bCs/>
        </w:rPr>
      </w:pPr>
    </w:p>
    <w:p w14:paraId="6E2B88D1" w14:textId="77777777" w:rsidR="00FC5C9D" w:rsidRDefault="00FC5C9D" w:rsidP="00F35760">
      <w:pPr>
        <w:pStyle w:val="NoSpacing"/>
        <w:rPr>
          <w:rFonts w:ascii="Times New Roman" w:eastAsia="Times New Roman" w:hAnsi="Times New Roman" w:cs="Times New Roman"/>
          <w:b/>
          <w:bCs/>
        </w:rPr>
      </w:pPr>
    </w:p>
    <w:p w14:paraId="29189F4F" w14:textId="77777777" w:rsidR="00FC5C9D" w:rsidRDefault="00FC5C9D" w:rsidP="00F35760">
      <w:pPr>
        <w:pStyle w:val="NoSpacing"/>
        <w:rPr>
          <w:rFonts w:ascii="Times New Roman" w:eastAsia="Times New Roman" w:hAnsi="Times New Roman" w:cs="Times New Roman"/>
          <w:b/>
          <w:bCs/>
        </w:rPr>
      </w:pPr>
    </w:p>
    <w:p w14:paraId="2AE0E122" w14:textId="77777777" w:rsidR="00FC5C9D" w:rsidRDefault="00FC5C9D" w:rsidP="00F35760">
      <w:pPr>
        <w:pStyle w:val="NoSpacing"/>
        <w:rPr>
          <w:rFonts w:ascii="Times New Roman" w:eastAsia="Times New Roman" w:hAnsi="Times New Roman" w:cs="Times New Roman"/>
          <w:b/>
          <w:bCs/>
        </w:rPr>
      </w:pPr>
    </w:p>
    <w:p w14:paraId="26F401DA" w14:textId="77777777" w:rsidR="00FC5C9D" w:rsidRDefault="00FC5C9D" w:rsidP="00F35760">
      <w:pPr>
        <w:pStyle w:val="NoSpacing"/>
        <w:rPr>
          <w:rFonts w:ascii="Times New Roman" w:eastAsia="Times New Roman" w:hAnsi="Times New Roman" w:cs="Times New Roman"/>
          <w:b/>
          <w:bCs/>
        </w:rPr>
      </w:pPr>
    </w:p>
    <w:p w14:paraId="301864F5" w14:textId="77777777" w:rsidR="00FC5C9D" w:rsidRDefault="00FC5C9D" w:rsidP="00F35760">
      <w:pPr>
        <w:pStyle w:val="NoSpacing"/>
        <w:rPr>
          <w:rFonts w:ascii="Times New Roman" w:eastAsia="Times New Roman" w:hAnsi="Times New Roman" w:cs="Times New Roman"/>
          <w:b/>
          <w:bCs/>
        </w:rPr>
      </w:pPr>
    </w:p>
    <w:p w14:paraId="397A7947" w14:textId="77777777" w:rsidR="00FC5C9D" w:rsidRDefault="00FC5C9D" w:rsidP="00F35760">
      <w:pPr>
        <w:pStyle w:val="NoSpacing"/>
        <w:rPr>
          <w:rFonts w:ascii="Times New Roman" w:eastAsia="Times New Roman" w:hAnsi="Times New Roman" w:cs="Times New Roman"/>
          <w:b/>
          <w:bCs/>
        </w:rPr>
      </w:pPr>
    </w:p>
    <w:p w14:paraId="4285C4DA" w14:textId="77777777" w:rsidR="00FC5C9D" w:rsidRDefault="00FC5C9D" w:rsidP="00F35760">
      <w:pPr>
        <w:pStyle w:val="NoSpacing"/>
        <w:rPr>
          <w:rFonts w:ascii="Times New Roman" w:eastAsia="Times New Roman" w:hAnsi="Times New Roman" w:cs="Times New Roman"/>
          <w:b/>
          <w:bCs/>
        </w:rPr>
      </w:pPr>
    </w:p>
    <w:p w14:paraId="749D651D" w14:textId="77777777" w:rsidR="00FC5C9D" w:rsidRDefault="00FC5C9D" w:rsidP="00F35760">
      <w:pPr>
        <w:pStyle w:val="NoSpacing"/>
        <w:rPr>
          <w:rFonts w:eastAsia="Times New Roman"/>
        </w:rPr>
      </w:pPr>
    </w:p>
    <w:p w14:paraId="32250E36" w14:textId="3B4E6B93" w:rsidR="00740C9A" w:rsidRPr="00F35760" w:rsidRDefault="00740C9A" w:rsidP="00BB7C61">
      <w:pPr>
        <w:pStyle w:val="NoSpacing"/>
        <w:spacing w:line="480" w:lineRule="auto"/>
        <w:jc w:val="center"/>
        <w:rPr>
          <w:rFonts w:ascii="Times New Roman" w:eastAsia="Times New Roman" w:hAnsi="Times New Roman" w:cs="Times New Roman"/>
          <w:b/>
          <w:bCs/>
        </w:rPr>
      </w:pPr>
      <w:r w:rsidRPr="00F35760">
        <w:rPr>
          <w:rFonts w:ascii="Times New Roman" w:eastAsia="Times New Roman" w:hAnsi="Times New Roman" w:cs="Times New Roman"/>
          <w:b/>
          <w:bCs/>
        </w:rPr>
        <w:lastRenderedPageBreak/>
        <w:t>Abstract</w:t>
      </w:r>
    </w:p>
    <w:p w14:paraId="4C38F0FC" w14:textId="605E3F4D" w:rsidR="00E93301" w:rsidRPr="00E93301" w:rsidRDefault="00E93301" w:rsidP="00E93301">
      <w:pPr>
        <w:pStyle w:val="NoSpacing"/>
        <w:spacing w:line="480" w:lineRule="auto"/>
        <w:rPr>
          <w:rFonts w:ascii="Times New Roman" w:eastAsia="Times New Roman" w:hAnsi="Times New Roman" w:cs="Times New Roman"/>
          <w:kern w:val="0"/>
          <w14:ligatures w14:val="none"/>
        </w:rPr>
      </w:pPr>
      <w:r w:rsidRPr="00E93301">
        <w:rPr>
          <w:rFonts w:ascii="Times New Roman" w:eastAsia="Times New Roman" w:hAnsi="Times New Roman" w:cs="Times New Roman"/>
          <w:i/>
          <w:iCs/>
          <w:kern w:val="0"/>
          <w14:ligatures w14:val="none"/>
        </w:rPr>
        <w:t xml:space="preserve">Purpose: </w:t>
      </w:r>
      <w:r w:rsidRPr="00E93301">
        <w:rPr>
          <w:rFonts w:ascii="Times New Roman" w:eastAsia="Times New Roman" w:hAnsi="Times New Roman" w:cs="Times New Roman"/>
          <w:kern w:val="0"/>
          <w14:ligatures w14:val="none"/>
        </w:rPr>
        <w:t xml:space="preserve">Healthcare workforce shortages persist in rural America despite decades of intervention attempts. This research investigates whether </w:t>
      </w:r>
      <w:r w:rsidR="00842B80">
        <w:rPr>
          <w:rFonts w:ascii="Times New Roman" w:eastAsia="Times New Roman" w:hAnsi="Times New Roman" w:cs="Times New Roman"/>
          <w:kern w:val="0"/>
          <w14:ligatures w14:val="none"/>
        </w:rPr>
        <w:t xml:space="preserve">compounding </w:t>
      </w:r>
      <w:r w:rsidRPr="00E93301">
        <w:rPr>
          <w:rFonts w:ascii="Times New Roman" w:eastAsia="Times New Roman" w:hAnsi="Times New Roman" w:cs="Times New Roman"/>
          <w:kern w:val="0"/>
          <w14:ligatures w14:val="none"/>
        </w:rPr>
        <w:t>touchpoint mechanisms within the ReConnect Gap Year Fellowship Program, which offers medical scribing, Medical Assistant opportunities, and community integration for pre-health students in rural Oregon, have an exponential impact on rural practice commitment intentions.</w:t>
      </w:r>
    </w:p>
    <w:p w14:paraId="3F81DCD2" w14:textId="77777777" w:rsidR="00E93301" w:rsidRPr="00E93301" w:rsidRDefault="00E93301" w:rsidP="00E93301">
      <w:pPr>
        <w:pStyle w:val="NoSpacing"/>
        <w:spacing w:line="480" w:lineRule="auto"/>
        <w:rPr>
          <w:rFonts w:ascii="Times New Roman" w:eastAsia="Times New Roman" w:hAnsi="Times New Roman" w:cs="Times New Roman"/>
          <w:kern w:val="0"/>
          <w14:ligatures w14:val="none"/>
        </w:rPr>
      </w:pPr>
      <w:r w:rsidRPr="00E93301">
        <w:rPr>
          <w:rFonts w:ascii="Times New Roman" w:eastAsia="Times New Roman" w:hAnsi="Times New Roman" w:cs="Times New Roman"/>
          <w:kern w:val="0"/>
          <w14:ligatures w14:val="none"/>
        </w:rPr>
        <w:t>Methods: This mixed-methods study analyzed survey data from 20 ReConnect Fellows (2017-2024) and program documentation. Participants averaged 54% lifetime rural residence. Analysis compared linear versus polynomial regression models, employed threshold detection algorithms, and calculated Cohen's f² effect sizes. The study combined Threshold Concept Theory, Social Learning Theory, and Nudge Theory to explain compounding impact mechanisms.</w:t>
      </w:r>
    </w:p>
    <w:p w14:paraId="740145FE" w14:textId="0F127BBA" w:rsidR="00E93301" w:rsidRPr="00E93301" w:rsidRDefault="00E93301" w:rsidP="00E93301">
      <w:pPr>
        <w:pStyle w:val="NoSpacing"/>
        <w:spacing w:line="480" w:lineRule="auto"/>
        <w:rPr>
          <w:rFonts w:ascii="Times New Roman" w:eastAsia="Times New Roman" w:hAnsi="Times New Roman" w:cs="Times New Roman"/>
          <w:i/>
          <w:iCs/>
          <w:kern w:val="0"/>
          <w14:ligatures w14:val="none"/>
        </w:rPr>
      </w:pPr>
      <w:r w:rsidRPr="00E93301">
        <w:rPr>
          <w:rFonts w:ascii="Times New Roman" w:eastAsia="Times New Roman" w:hAnsi="Times New Roman" w:cs="Times New Roman"/>
          <w:i/>
          <w:iCs/>
          <w:kern w:val="0"/>
          <w14:ligatures w14:val="none"/>
        </w:rPr>
        <w:t>Findings:</w:t>
      </w:r>
      <w:r w:rsidRPr="00E93301">
        <w:rPr>
          <w:rFonts w:ascii="Times New Roman" w:eastAsia="Times New Roman" w:hAnsi="Times New Roman" w:cs="Times New Roman"/>
          <w:kern w:val="0"/>
          <w14:ligatures w14:val="none"/>
        </w:rPr>
        <w:t xml:space="preserve"> Polynomial regression explained significantly more variance than linear models (31.8% vs. 24.5%, p = 0.028), suggesting potential exponential touchpoint effects; however, the modest R² values indicate substantial unexplained variance. Threshold analysis identified a critical inflection at 6.2 touchpoints where commitment increases exponentially (d=2.15). Community integration demonstrated the strongest </w:t>
      </w:r>
      <w:r w:rsidR="00842B80">
        <w:rPr>
          <w:rFonts w:ascii="Times New Roman" w:eastAsia="Times New Roman" w:hAnsi="Times New Roman" w:cs="Times New Roman"/>
          <w:kern w:val="0"/>
          <w14:ligatures w14:val="none"/>
        </w:rPr>
        <w:t>engagement acti</w:t>
      </w:r>
      <w:r w:rsidR="00A97727">
        <w:rPr>
          <w:rFonts w:ascii="Times New Roman" w:eastAsia="Times New Roman" w:hAnsi="Times New Roman" w:cs="Times New Roman"/>
          <w:kern w:val="0"/>
          <w14:ligatures w14:val="none"/>
        </w:rPr>
        <w:t xml:space="preserve">vity </w:t>
      </w:r>
      <w:r w:rsidRPr="00E93301">
        <w:rPr>
          <w:rFonts w:ascii="Times New Roman" w:eastAsia="Times New Roman" w:hAnsi="Times New Roman" w:cs="Times New Roman"/>
          <w:kern w:val="0"/>
          <w14:ligatures w14:val="none"/>
        </w:rPr>
        <w:t>leverage point (f²=0.216), exceeding clinical experience (f²=0.079) and mentorship (f²=0.128). Quality</w:t>
      </w:r>
      <w:r w:rsidR="00E7101E">
        <w:rPr>
          <w:rFonts w:ascii="Times New Roman" w:eastAsia="Times New Roman" w:hAnsi="Times New Roman" w:cs="Times New Roman"/>
          <w:kern w:val="0"/>
          <w14:ligatures w14:val="none"/>
        </w:rPr>
        <w:t xml:space="preserve"> touchpoints</w:t>
      </w:r>
      <w:r w:rsidRPr="00E93301">
        <w:rPr>
          <w:rFonts w:ascii="Times New Roman" w:eastAsia="Times New Roman" w:hAnsi="Times New Roman" w:cs="Times New Roman"/>
          <w:kern w:val="0"/>
          <w14:ligatures w14:val="none"/>
        </w:rPr>
        <w:t xml:space="preserve"> amplified </w:t>
      </w:r>
      <w:r w:rsidR="00E7101E">
        <w:rPr>
          <w:rFonts w:ascii="Times New Roman" w:eastAsia="Times New Roman" w:hAnsi="Times New Roman" w:cs="Times New Roman"/>
          <w:kern w:val="0"/>
          <w14:ligatures w14:val="none"/>
        </w:rPr>
        <w:t xml:space="preserve">the </w:t>
      </w:r>
      <w:r w:rsidRPr="00E93301">
        <w:rPr>
          <w:rFonts w:ascii="Times New Roman" w:eastAsia="Times New Roman" w:hAnsi="Times New Roman" w:cs="Times New Roman"/>
          <w:kern w:val="0"/>
          <w14:ligatures w14:val="none"/>
        </w:rPr>
        <w:t>quantity</w:t>
      </w:r>
      <w:r w:rsidR="00E7101E">
        <w:rPr>
          <w:rFonts w:ascii="Times New Roman" w:eastAsia="Times New Roman" w:hAnsi="Times New Roman" w:cs="Times New Roman"/>
          <w:kern w:val="0"/>
          <w14:ligatures w14:val="none"/>
        </w:rPr>
        <w:t xml:space="preserve"> of touchpoints</w:t>
      </w:r>
      <w:r w:rsidRPr="00E93301">
        <w:rPr>
          <w:rFonts w:ascii="Times New Roman" w:eastAsia="Times New Roman" w:hAnsi="Times New Roman" w:cs="Times New Roman"/>
          <w:kern w:val="0"/>
          <w14:ligatures w14:val="none"/>
        </w:rPr>
        <w:t xml:space="preserve"> with a 2.67x multiplier effect for high-quality touchpoints (≥7 rating). Synergistic effects across touchpoint categories exceeded additive predictions by 85%.</w:t>
      </w:r>
    </w:p>
    <w:p w14:paraId="6FE71C14" w14:textId="0F789B0B" w:rsidR="00E93301" w:rsidRPr="00E93301" w:rsidRDefault="00E93301" w:rsidP="00E93301">
      <w:pPr>
        <w:pStyle w:val="NoSpacing"/>
        <w:spacing w:line="480" w:lineRule="auto"/>
        <w:rPr>
          <w:rFonts w:ascii="Times New Roman" w:eastAsia="Times New Roman" w:hAnsi="Times New Roman" w:cs="Times New Roman"/>
          <w:kern w:val="0"/>
          <w14:ligatures w14:val="none"/>
        </w:rPr>
      </w:pPr>
      <w:r w:rsidRPr="00E93301">
        <w:rPr>
          <w:rFonts w:ascii="Times New Roman" w:eastAsia="Times New Roman" w:hAnsi="Times New Roman" w:cs="Times New Roman"/>
          <w:i/>
          <w:iCs/>
          <w:kern w:val="0"/>
          <w14:ligatures w14:val="none"/>
        </w:rPr>
        <w:t xml:space="preserve">Conclusions: </w:t>
      </w:r>
      <w:r w:rsidRPr="00E93301">
        <w:rPr>
          <w:rFonts w:ascii="Times New Roman" w:eastAsia="Times New Roman" w:hAnsi="Times New Roman" w:cs="Times New Roman"/>
          <w:kern w:val="0"/>
          <w14:ligatures w14:val="none"/>
        </w:rPr>
        <w:t xml:space="preserve">The Touchpoint Taxonomy Framework </w:t>
      </w:r>
      <w:r w:rsidR="001A5C4C" w:rsidRPr="001A5C4C">
        <w:rPr>
          <w:rFonts w:ascii="Times New Roman" w:eastAsia="Times New Roman" w:hAnsi="Times New Roman" w:cs="Times New Roman"/>
          <w:kern w:val="0"/>
          <w14:ligatures w14:val="none"/>
        </w:rPr>
        <w:t>suggests a preliminary model for resource</w:t>
      </w:r>
      <w:r w:rsidRPr="00E93301">
        <w:rPr>
          <w:rFonts w:ascii="Times New Roman" w:eastAsia="Times New Roman" w:hAnsi="Times New Roman" w:cs="Times New Roman"/>
          <w:kern w:val="0"/>
          <w14:ligatures w14:val="none"/>
        </w:rPr>
        <w:t xml:space="preserve"> optimization guidance, recommending 51.2% resource allocation to community integration, 30.4% to mentorship, and 18.4% to clinical experience, which differs from traditional medical </w:t>
      </w:r>
      <w:r w:rsidRPr="00E93301">
        <w:rPr>
          <w:rFonts w:ascii="Times New Roman" w:eastAsia="Times New Roman" w:hAnsi="Times New Roman" w:cs="Times New Roman"/>
          <w:kern w:val="0"/>
          <w14:ligatures w14:val="none"/>
        </w:rPr>
        <w:lastRenderedPageBreak/>
        <w:t xml:space="preserve">education approaches. </w:t>
      </w:r>
      <w:r w:rsidR="00AF035E" w:rsidRPr="00AF035E">
        <w:rPr>
          <w:rFonts w:ascii="Times New Roman" w:eastAsia="Times New Roman" w:hAnsi="Times New Roman" w:cs="Times New Roman"/>
          <w:kern w:val="0"/>
          <w14:ligatures w14:val="none"/>
        </w:rPr>
        <w:t>These preliminary findings suggest programs might achieve</w:t>
      </w:r>
      <w:r w:rsidR="00AF035E">
        <w:rPr>
          <w:rFonts w:ascii="Times New Roman" w:eastAsia="Times New Roman" w:hAnsi="Times New Roman" w:cs="Times New Roman"/>
          <w:kern w:val="0"/>
          <w14:ligatures w14:val="none"/>
        </w:rPr>
        <w:t xml:space="preserve"> </w:t>
      </w:r>
      <w:r w:rsidRPr="00E93301">
        <w:rPr>
          <w:rFonts w:ascii="Times New Roman" w:eastAsia="Times New Roman" w:hAnsi="Times New Roman" w:cs="Times New Roman"/>
          <w:kern w:val="0"/>
          <w14:ligatures w14:val="none"/>
        </w:rPr>
        <w:t xml:space="preserve">exponential impact through planned touchpoint design rather than resource multiplication, </w:t>
      </w:r>
      <w:r w:rsidR="00160993" w:rsidRPr="00160993">
        <w:rPr>
          <w:rFonts w:ascii="Times New Roman" w:eastAsia="Times New Roman" w:hAnsi="Times New Roman" w:cs="Times New Roman"/>
          <w:kern w:val="0"/>
          <w14:ligatures w14:val="none"/>
        </w:rPr>
        <w:t>offering new approaches to addressing</w:t>
      </w:r>
      <w:r w:rsidR="00160993">
        <w:rPr>
          <w:rFonts w:ascii="Times New Roman" w:eastAsia="Times New Roman" w:hAnsi="Times New Roman" w:cs="Times New Roman"/>
          <w:kern w:val="0"/>
          <w14:ligatures w14:val="none"/>
        </w:rPr>
        <w:t xml:space="preserve"> </w:t>
      </w:r>
      <w:r w:rsidRPr="00E93301">
        <w:rPr>
          <w:rFonts w:ascii="Times New Roman" w:eastAsia="Times New Roman" w:hAnsi="Times New Roman" w:cs="Times New Roman"/>
          <w:kern w:val="0"/>
          <w14:ligatures w14:val="none"/>
        </w:rPr>
        <w:t>rural healthcare workforce shortages.</w:t>
      </w:r>
    </w:p>
    <w:p w14:paraId="7E3A7A10" w14:textId="77777777" w:rsidR="00531752" w:rsidRPr="00531752" w:rsidRDefault="00531752" w:rsidP="00E37B1F">
      <w:pPr>
        <w:pStyle w:val="NoSpacing"/>
        <w:spacing w:line="480" w:lineRule="auto"/>
        <w:rPr>
          <w:rFonts w:ascii="Times New Roman" w:eastAsia="Times New Roman" w:hAnsi="Times New Roman" w:cs="Times New Roman"/>
          <w:kern w:val="0"/>
          <w14:ligatures w14:val="none"/>
        </w:rPr>
      </w:pPr>
      <w:r w:rsidRPr="00531752">
        <w:rPr>
          <w:rFonts w:ascii="Times New Roman" w:eastAsia="Times New Roman" w:hAnsi="Times New Roman" w:cs="Times New Roman"/>
          <w:b/>
          <w:bCs/>
          <w:i/>
          <w:iCs/>
          <w:kern w:val="0"/>
          <w14:ligatures w14:val="none"/>
        </w:rPr>
        <w:t>Keywords:</w:t>
      </w:r>
      <w:r w:rsidRPr="00531752">
        <w:rPr>
          <w:rFonts w:ascii="Times New Roman" w:eastAsia="Times New Roman" w:hAnsi="Times New Roman" w:cs="Times New Roman"/>
          <w:kern w:val="0"/>
          <w14:ligatures w14:val="none"/>
        </w:rPr>
        <w:t xml:space="preserve"> rural healthcare workforce, touchpoint mechanisms, exponential impact, workforce development, rural practice commitment</w:t>
      </w:r>
    </w:p>
    <w:p w14:paraId="26D93003" w14:textId="77777777" w:rsidR="00E55269" w:rsidRDefault="00E55269" w:rsidP="00245623">
      <w:pPr>
        <w:pStyle w:val="NoSpacing"/>
        <w:spacing w:line="480" w:lineRule="auto"/>
        <w:jc w:val="center"/>
        <w:rPr>
          <w:rFonts w:ascii="Times New Roman" w:eastAsia="Times New Roman" w:hAnsi="Times New Roman" w:cs="Times New Roman"/>
          <w:b/>
          <w:bCs/>
        </w:rPr>
      </w:pPr>
    </w:p>
    <w:p w14:paraId="100D561A" w14:textId="77777777" w:rsidR="00E55269" w:rsidRDefault="00E55269" w:rsidP="00245623">
      <w:pPr>
        <w:pStyle w:val="NoSpacing"/>
        <w:spacing w:line="480" w:lineRule="auto"/>
        <w:jc w:val="center"/>
        <w:rPr>
          <w:rFonts w:ascii="Times New Roman" w:eastAsia="Times New Roman" w:hAnsi="Times New Roman" w:cs="Times New Roman"/>
          <w:b/>
          <w:bCs/>
        </w:rPr>
      </w:pPr>
    </w:p>
    <w:p w14:paraId="0727C618" w14:textId="77777777" w:rsidR="00E55269" w:rsidRDefault="00E55269" w:rsidP="00245623">
      <w:pPr>
        <w:pStyle w:val="NoSpacing"/>
        <w:spacing w:line="480" w:lineRule="auto"/>
        <w:jc w:val="center"/>
        <w:rPr>
          <w:rFonts w:ascii="Times New Roman" w:eastAsia="Times New Roman" w:hAnsi="Times New Roman" w:cs="Times New Roman"/>
          <w:b/>
          <w:bCs/>
        </w:rPr>
      </w:pPr>
    </w:p>
    <w:p w14:paraId="12990BDB" w14:textId="77777777" w:rsidR="00E55269" w:rsidRDefault="00E55269" w:rsidP="00245623">
      <w:pPr>
        <w:pStyle w:val="NoSpacing"/>
        <w:spacing w:line="480" w:lineRule="auto"/>
        <w:jc w:val="center"/>
        <w:rPr>
          <w:rFonts w:ascii="Times New Roman" w:eastAsia="Times New Roman" w:hAnsi="Times New Roman" w:cs="Times New Roman"/>
          <w:b/>
          <w:bCs/>
        </w:rPr>
      </w:pPr>
    </w:p>
    <w:p w14:paraId="070BB10D" w14:textId="77777777" w:rsidR="00E55269" w:rsidRDefault="00E55269" w:rsidP="00245623">
      <w:pPr>
        <w:pStyle w:val="NoSpacing"/>
        <w:spacing w:line="480" w:lineRule="auto"/>
        <w:jc w:val="center"/>
        <w:rPr>
          <w:rFonts w:ascii="Times New Roman" w:eastAsia="Times New Roman" w:hAnsi="Times New Roman" w:cs="Times New Roman"/>
          <w:b/>
          <w:bCs/>
        </w:rPr>
      </w:pPr>
    </w:p>
    <w:p w14:paraId="550DFB63" w14:textId="77777777" w:rsidR="00E55269" w:rsidRDefault="00E55269" w:rsidP="00245623">
      <w:pPr>
        <w:pStyle w:val="NoSpacing"/>
        <w:spacing w:line="480" w:lineRule="auto"/>
        <w:jc w:val="center"/>
        <w:rPr>
          <w:rFonts w:ascii="Times New Roman" w:eastAsia="Times New Roman" w:hAnsi="Times New Roman" w:cs="Times New Roman"/>
          <w:b/>
          <w:bCs/>
        </w:rPr>
      </w:pPr>
    </w:p>
    <w:p w14:paraId="7246366F" w14:textId="77777777" w:rsidR="00E55269" w:rsidRDefault="00E55269" w:rsidP="00245623">
      <w:pPr>
        <w:pStyle w:val="NoSpacing"/>
        <w:spacing w:line="480" w:lineRule="auto"/>
        <w:jc w:val="center"/>
        <w:rPr>
          <w:rFonts w:ascii="Times New Roman" w:eastAsia="Times New Roman" w:hAnsi="Times New Roman" w:cs="Times New Roman"/>
          <w:b/>
          <w:bCs/>
        </w:rPr>
      </w:pPr>
    </w:p>
    <w:p w14:paraId="302F37FC" w14:textId="77777777" w:rsidR="00E55269" w:rsidRDefault="00E55269" w:rsidP="00245623">
      <w:pPr>
        <w:pStyle w:val="NoSpacing"/>
        <w:spacing w:line="480" w:lineRule="auto"/>
        <w:jc w:val="center"/>
        <w:rPr>
          <w:rFonts w:ascii="Times New Roman" w:eastAsia="Times New Roman" w:hAnsi="Times New Roman" w:cs="Times New Roman"/>
          <w:b/>
          <w:bCs/>
        </w:rPr>
      </w:pPr>
    </w:p>
    <w:p w14:paraId="39C1BC67" w14:textId="77777777" w:rsidR="00E55269" w:rsidRDefault="00E55269" w:rsidP="00245623">
      <w:pPr>
        <w:pStyle w:val="NoSpacing"/>
        <w:spacing w:line="480" w:lineRule="auto"/>
        <w:jc w:val="center"/>
        <w:rPr>
          <w:rFonts w:ascii="Times New Roman" w:eastAsia="Times New Roman" w:hAnsi="Times New Roman" w:cs="Times New Roman"/>
          <w:b/>
          <w:bCs/>
        </w:rPr>
      </w:pPr>
    </w:p>
    <w:p w14:paraId="4DD9629A" w14:textId="77777777" w:rsidR="00E55269" w:rsidRDefault="00E55269" w:rsidP="00245623">
      <w:pPr>
        <w:pStyle w:val="NoSpacing"/>
        <w:spacing w:line="480" w:lineRule="auto"/>
        <w:jc w:val="center"/>
        <w:rPr>
          <w:rFonts w:ascii="Times New Roman" w:eastAsia="Times New Roman" w:hAnsi="Times New Roman" w:cs="Times New Roman"/>
          <w:b/>
          <w:bCs/>
        </w:rPr>
      </w:pPr>
    </w:p>
    <w:p w14:paraId="095F4552" w14:textId="77777777" w:rsidR="00E55269" w:rsidRDefault="00E55269" w:rsidP="00245623">
      <w:pPr>
        <w:pStyle w:val="NoSpacing"/>
        <w:spacing w:line="480" w:lineRule="auto"/>
        <w:jc w:val="center"/>
        <w:rPr>
          <w:rFonts w:ascii="Times New Roman" w:eastAsia="Times New Roman" w:hAnsi="Times New Roman" w:cs="Times New Roman"/>
          <w:b/>
          <w:bCs/>
        </w:rPr>
      </w:pPr>
    </w:p>
    <w:p w14:paraId="57CA1D9A" w14:textId="77777777" w:rsidR="00E55269" w:rsidRDefault="00E55269" w:rsidP="00245623">
      <w:pPr>
        <w:pStyle w:val="NoSpacing"/>
        <w:spacing w:line="480" w:lineRule="auto"/>
        <w:jc w:val="center"/>
        <w:rPr>
          <w:rFonts w:ascii="Times New Roman" w:eastAsia="Times New Roman" w:hAnsi="Times New Roman" w:cs="Times New Roman"/>
          <w:b/>
          <w:bCs/>
        </w:rPr>
      </w:pPr>
    </w:p>
    <w:p w14:paraId="18D27CE7" w14:textId="77777777" w:rsidR="00E55269" w:rsidRDefault="00E55269" w:rsidP="00245623">
      <w:pPr>
        <w:pStyle w:val="NoSpacing"/>
        <w:spacing w:line="480" w:lineRule="auto"/>
        <w:jc w:val="center"/>
        <w:rPr>
          <w:rFonts w:ascii="Times New Roman" w:eastAsia="Times New Roman" w:hAnsi="Times New Roman" w:cs="Times New Roman"/>
          <w:b/>
          <w:bCs/>
        </w:rPr>
      </w:pPr>
    </w:p>
    <w:p w14:paraId="6BC51376" w14:textId="77777777" w:rsidR="00E55269" w:rsidRDefault="00E55269" w:rsidP="00245623">
      <w:pPr>
        <w:pStyle w:val="NoSpacing"/>
        <w:spacing w:line="480" w:lineRule="auto"/>
        <w:jc w:val="center"/>
        <w:rPr>
          <w:rFonts w:ascii="Times New Roman" w:eastAsia="Times New Roman" w:hAnsi="Times New Roman" w:cs="Times New Roman"/>
          <w:b/>
          <w:bCs/>
        </w:rPr>
      </w:pPr>
    </w:p>
    <w:p w14:paraId="48407858" w14:textId="77777777" w:rsidR="00E55269" w:rsidRDefault="00E55269" w:rsidP="00245623">
      <w:pPr>
        <w:pStyle w:val="NoSpacing"/>
        <w:spacing w:line="480" w:lineRule="auto"/>
        <w:jc w:val="center"/>
        <w:rPr>
          <w:rFonts w:ascii="Times New Roman" w:eastAsia="Times New Roman" w:hAnsi="Times New Roman" w:cs="Times New Roman"/>
          <w:b/>
          <w:bCs/>
        </w:rPr>
      </w:pPr>
    </w:p>
    <w:p w14:paraId="056B57DF" w14:textId="77777777" w:rsidR="00E55269" w:rsidRDefault="00E55269" w:rsidP="00C62E36">
      <w:pPr>
        <w:pStyle w:val="NoSpacing"/>
        <w:spacing w:line="480" w:lineRule="auto"/>
        <w:rPr>
          <w:rFonts w:ascii="Times New Roman" w:eastAsia="Times New Roman" w:hAnsi="Times New Roman" w:cs="Times New Roman"/>
          <w:b/>
          <w:bCs/>
        </w:rPr>
      </w:pPr>
    </w:p>
    <w:p w14:paraId="483F63AB" w14:textId="77777777" w:rsidR="00E37B1F" w:rsidRDefault="00E37B1F" w:rsidP="00C62E36">
      <w:pPr>
        <w:pStyle w:val="NoSpacing"/>
        <w:spacing w:line="480" w:lineRule="auto"/>
        <w:rPr>
          <w:rFonts w:ascii="Times New Roman" w:eastAsia="Times New Roman" w:hAnsi="Times New Roman" w:cs="Times New Roman"/>
          <w:b/>
          <w:bCs/>
        </w:rPr>
      </w:pPr>
    </w:p>
    <w:p w14:paraId="11E074D3" w14:textId="77777777" w:rsidR="00E37B1F" w:rsidRDefault="00E37B1F" w:rsidP="00C62E36">
      <w:pPr>
        <w:pStyle w:val="NoSpacing"/>
        <w:spacing w:line="480" w:lineRule="auto"/>
        <w:rPr>
          <w:rFonts w:ascii="Times New Roman" w:eastAsia="Times New Roman" w:hAnsi="Times New Roman" w:cs="Times New Roman"/>
          <w:b/>
          <w:bCs/>
        </w:rPr>
      </w:pPr>
    </w:p>
    <w:p w14:paraId="382F2258" w14:textId="06BD9BE5" w:rsidR="00C47DDB" w:rsidRPr="00C47DDB" w:rsidRDefault="00C47DDB" w:rsidP="00C47DDB">
      <w:pPr>
        <w:pStyle w:val="NoSpacing"/>
        <w:spacing w:line="480" w:lineRule="auto"/>
        <w:ind w:firstLine="720"/>
        <w:rPr>
          <w:rFonts w:ascii="Times New Roman" w:eastAsia="Times New Roman" w:hAnsi="Times New Roman" w:cs="Times New Roman"/>
        </w:rPr>
      </w:pPr>
      <w:r w:rsidRPr="00C47DDB">
        <w:rPr>
          <w:rFonts w:ascii="Times New Roman" w:eastAsia="Times New Roman" w:hAnsi="Times New Roman" w:cs="Times New Roman"/>
        </w:rPr>
        <w:lastRenderedPageBreak/>
        <w:t>Healthcare workforce shortages in rural areas persist despite decades of intervention attempts, threatening access to care and community wellbeing (Centers for Medicare &amp; Medicaid Services, 2019; National Rural Health Association, 2022; Rural Health Information Hub, 2022, 2023). Zhang, Lin, Pforsich, and Lin (2020) project a national deficit of 139,160 physicians by 2030, with rural areas bearing</w:t>
      </w:r>
      <w:r w:rsidR="00267EF3">
        <w:rPr>
          <w:rFonts w:ascii="Times New Roman" w:eastAsia="Times New Roman" w:hAnsi="Times New Roman" w:cs="Times New Roman"/>
        </w:rPr>
        <w:t xml:space="preserve"> a</w:t>
      </w:r>
      <w:r w:rsidRPr="00C47DDB">
        <w:rPr>
          <w:rFonts w:ascii="Times New Roman" w:eastAsia="Times New Roman" w:hAnsi="Times New Roman" w:cs="Times New Roman"/>
        </w:rPr>
        <w:t xml:space="preserve"> disproportionate burden. The gap year period between undergraduate education and medical school offers a critical window for influencing future practice location decisions, where targeted interventions may </w:t>
      </w:r>
      <w:r w:rsidR="00DF14A7" w:rsidRPr="00DF14A7">
        <w:rPr>
          <w:rFonts w:ascii="Times New Roman" w:eastAsia="Times New Roman" w:hAnsi="Times New Roman" w:cs="Times New Roman"/>
        </w:rPr>
        <w:t>produce stronger results</w:t>
      </w:r>
      <w:r w:rsidR="00C109C5" w:rsidRPr="00C109C5">
        <w:rPr>
          <w:rFonts w:ascii="Times New Roman" w:eastAsia="Times New Roman" w:hAnsi="Times New Roman" w:cs="Times New Roman"/>
        </w:rPr>
        <w:t xml:space="preserve"> beyond simple addition</w:t>
      </w:r>
      <w:r w:rsidRPr="00C47DDB">
        <w:rPr>
          <w:rFonts w:ascii="Times New Roman" w:eastAsia="Times New Roman" w:hAnsi="Times New Roman" w:cs="Times New Roman"/>
        </w:rPr>
        <w:t xml:space="preserve"> (Allen, 2023; Aviva Health, 2024).</w:t>
      </w:r>
    </w:p>
    <w:p w14:paraId="03455FEA" w14:textId="7E03CAFC" w:rsidR="00C47DDB" w:rsidRPr="00C47DDB" w:rsidRDefault="00C47DDB" w:rsidP="00C47DDB">
      <w:pPr>
        <w:pStyle w:val="NoSpacing"/>
        <w:spacing w:line="480" w:lineRule="auto"/>
        <w:ind w:firstLine="720"/>
        <w:rPr>
          <w:rFonts w:ascii="Times New Roman" w:eastAsia="Times New Roman" w:hAnsi="Times New Roman" w:cs="Times New Roman"/>
        </w:rPr>
      </w:pPr>
      <w:r w:rsidRPr="00C47DDB">
        <w:rPr>
          <w:rFonts w:ascii="Times New Roman" w:eastAsia="Times New Roman" w:hAnsi="Times New Roman" w:cs="Times New Roman"/>
        </w:rPr>
        <w:t>The ReConnect Gap Year Fellowship Program, operating through the Area Health Education Center of Southwest Oregon and Aviva Health</w:t>
      </w:r>
      <w:r w:rsidR="006A2E7A">
        <w:rPr>
          <w:rFonts w:ascii="Times New Roman" w:eastAsia="Times New Roman" w:hAnsi="Times New Roman" w:cs="Times New Roman"/>
        </w:rPr>
        <w:t>, a Federally Qualified Health Center</w:t>
      </w:r>
      <w:r w:rsidRPr="00C47DDB">
        <w:rPr>
          <w:rFonts w:ascii="Times New Roman" w:eastAsia="Times New Roman" w:hAnsi="Times New Roman" w:cs="Times New Roman"/>
        </w:rPr>
        <w:t xml:space="preserve">, provides medical scribing and Medical Assistant opportunities combined with structured mentorship and community integration experiences for pre-health students in rural southwest Oregon (populations under 50,000). </w:t>
      </w:r>
      <w:r w:rsidR="000747C6">
        <w:rPr>
          <w:rFonts w:ascii="Times New Roman" w:eastAsia="Times New Roman" w:hAnsi="Times New Roman" w:cs="Times New Roman"/>
        </w:rPr>
        <w:t xml:space="preserve">For this study, the </w:t>
      </w:r>
      <w:r w:rsidR="00B90E83" w:rsidRPr="00B90E83">
        <w:rPr>
          <w:rFonts w:ascii="Times New Roman" w:eastAsia="Times New Roman" w:hAnsi="Times New Roman" w:cs="Times New Roman"/>
        </w:rPr>
        <w:t>survey data from ReConnect Fellows (</w:t>
      </w:r>
      <w:r w:rsidR="00EE48C1">
        <w:rPr>
          <w:rFonts w:ascii="Times New Roman" w:eastAsia="Times New Roman" w:hAnsi="Times New Roman" w:cs="Times New Roman"/>
        </w:rPr>
        <w:t>n=20</w:t>
      </w:r>
      <w:r w:rsidR="00B90E83" w:rsidRPr="00B90E83">
        <w:rPr>
          <w:rFonts w:ascii="Times New Roman" w:eastAsia="Times New Roman" w:hAnsi="Times New Roman" w:cs="Times New Roman"/>
        </w:rPr>
        <w:t xml:space="preserve">) </w:t>
      </w:r>
      <w:r w:rsidR="00EE0A6A">
        <w:rPr>
          <w:rFonts w:ascii="Times New Roman" w:eastAsia="Times New Roman" w:hAnsi="Times New Roman" w:cs="Times New Roman"/>
        </w:rPr>
        <w:t>shows</w:t>
      </w:r>
      <w:r w:rsidR="00B90E83" w:rsidRPr="00B90E83">
        <w:rPr>
          <w:rFonts w:ascii="Times New Roman" w:eastAsia="Times New Roman" w:hAnsi="Times New Roman" w:cs="Times New Roman"/>
        </w:rPr>
        <w:t xml:space="preserve"> substantial program influence</w:t>
      </w:r>
      <w:r w:rsidRPr="00C47DDB">
        <w:rPr>
          <w:rFonts w:ascii="Times New Roman" w:eastAsia="Times New Roman" w:hAnsi="Times New Roman" w:cs="Times New Roman"/>
        </w:rPr>
        <w:t xml:space="preserve"> on rural practice consideration, with participants reporting </w:t>
      </w:r>
      <w:r w:rsidR="008E7544" w:rsidRPr="008E7544">
        <w:rPr>
          <w:rFonts w:ascii="Times New Roman" w:eastAsia="Times New Roman" w:hAnsi="Times New Roman" w:cs="Times New Roman"/>
        </w:rPr>
        <w:t>large gains</w:t>
      </w:r>
      <w:r w:rsidR="008E7544">
        <w:rPr>
          <w:rFonts w:ascii="Times New Roman" w:eastAsia="Times New Roman" w:hAnsi="Times New Roman" w:cs="Times New Roman"/>
        </w:rPr>
        <w:t xml:space="preserve"> </w:t>
      </w:r>
      <w:r w:rsidR="00616A64" w:rsidRPr="00616A64">
        <w:rPr>
          <w:rFonts w:ascii="Times New Roman" w:eastAsia="Times New Roman" w:hAnsi="Times New Roman" w:cs="Times New Roman"/>
        </w:rPr>
        <w:t>in rural practice understanding (mean change = 2.1 points on 4-point scale) and confidence explaining rural practice benefits (mean change = 3.1 points)</w:t>
      </w:r>
      <w:r w:rsidRPr="00C47DDB">
        <w:rPr>
          <w:rFonts w:ascii="Times New Roman" w:eastAsia="Times New Roman" w:hAnsi="Times New Roman" w:cs="Times New Roman"/>
        </w:rPr>
        <w:t xml:space="preserve"> explaining rural practice benefits (ReConnect Fellowship Survey, 2025). However, the specific mechanisms through which program experiences create these dramatic shifts remain poorly understood, limiting optimization potential across similar workforce development initiatives.</w:t>
      </w:r>
    </w:p>
    <w:p w14:paraId="177D5499" w14:textId="1F4F6EEF" w:rsidR="00C47DDB" w:rsidRPr="00C47DDB" w:rsidRDefault="00C47DDB" w:rsidP="00C47DDB">
      <w:pPr>
        <w:pStyle w:val="NoSpacing"/>
        <w:spacing w:line="480" w:lineRule="auto"/>
        <w:ind w:firstLine="720"/>
        <w:rPr>
          <w:rFonts w:ascii="Times New Roman" w:eastAsia="Times New Roman" w:hAnsi="Times New Roman" w:cs="Times New Roman"/>
        </w:rPr>
      </w:pPr>
      <w:r w:rsidRPr="00C47DDB">
        <w:rPr>
          <w:rFonts w:ascii="Times New Roman" w:eastAsia="Times New Roman" w:hAnsi="Times New Roman" w:cs="Times New Roman"/>
        </w:rPr>
        <w:t xml:space="preserve">This research examines whether </w:t>
      </w:r>
      <w:r w:rsidR="00CB219B">
        <w:rPr>
          <w:rFonts w:ascii="Times New Roman" w:eastAsia="Times New Roman" w:hAnsi="Times New Roman" w:cs="Times New Roman"/>
        </w:rPr>
        <w:t xml:space="preserve">compounding </w:t>
      </w:r>
      <w:r w:rsidRPr="00C47DDB">
        <w:rPr>
          <w:rFonts w:ascii="Times New Roman" w:eastAsia="Times New Roman" w:hAnsi="Times New Roman" w:cs="Times New Roman"/>
        </w:rPr>
        <w:t xml:space="preserve">touchpoint mechanisms within the ReConnect Fellowship demonstrate exponential rather than linear effects on rural practice commitment. </w:t>
      </w:r>
      <w:r w:rsidR="00DE798C" w:rsidRPr="00DE798C">
        <w:rPr>
          <w:rFonts w:ascii="Times New Roman" w:eastAsia="Times New Roman" w:hAnsi="Times New Roman" w:cs="Times New Roman"/>
        </w:rPr>
        <w:t xml:space="preserve">The study distinguishes between leverage points </w:t>
      </w:r>
      <w:r w:rsidRPr="00C47DDB">
        <w:rPr>
          <w:rFonts w:ascii="Times New Roman" w:eastAsia="Times New Roman" w:hAnsi="Times New Roman" w:cs="Times New Roman"/>
        </w:rPr>
        <w:t xml:space="preserve">(major program activities including clinical experiences, mentorship relationships, and community integration) and </w:t>
      </w:r>
      <w:r w:rsidRPr="00C47DDB">
        <w:rPr>
          <w:rFonts w:ascii="Times New Roman" w:eastAsia="Times New Roman" w:hAnsi="Times New Roman" w:cs="Times New Roman"/>
        </w:rPr>
        <w:lastRenderedPageBreak/>
        <w:t xml:space="preserve">touchpoints (specific, intentional interactions within those leverage points) to understand how multiple small exposures might compound to create </w:t>
      </w:r>
      <w:r w:rsidR="00C619A7" w:rsidRPr="00C619A7">
        <w:rPr>
          <w:rFonts w:ascii="Times New Roman" w:eastAsia="Times New Roman" w:hAnsi="Times New Roman" w:cs="Times New Roman"/>
        </w:rPr>
        <w:t>meaningful change</w:t>
      </w:r>
      <w:r w:rsidRPr="00C47DDB">
        <w:rPr>
          <w:rFonts w:ascii="Times New Roman" w:eastAsia="Times New Roman" w:hAnsi="Times New Roman" w:cs="Times New Roman"/>
        </w:rPr>
        <w:t xml:space="preserve">. From an organizational development perspective, identifying exponential impact patterns would </w:t>
      </w:r>
      <w:r w:rsidR="009F08AD" w:rsidRPr="009F08AD">
        <w:rPr>
          <w:rFonts w:ascii="Times New Roman" w:eastAsia="Times New Roman" w:hAnsi="Times New Roman" w:cs="Times New Roman"/>
        </w:rPr>
        <w:t>inform</w:t>
      </w:r>
      <w:r w:rsidR="009F08AD">
        <w:rPr>
          <w:rFonts w:ascii="Times New Roman" w:eastAsia="Times New Roman" w:hAnsi="Times New Roman" w:cs="Times New Roman"/>
        </w:rPr>
        <w:t xml:space="preserve"> </w:t>
      </w:r>
      <w:r w:rsidRPr="00C47DDB">
        <w:rPr>
          <w:rFonts w:ascii="Times New Roman" w:eastAsia="Times New Roman" w:hAnsi="Times New Roman" w:cs="Times New Roman"/>
        </w:rPr>
        <w:t xml:space="preserve">program design and resource allocation strategies, </w:t>
      </w:r>
      <w:r w:rsidR="00C46458" w:rsidRPr="00C46458">
        <w:rPr>
          <w:rFonts w:ascii="Times New Roman" w:eastAsia="Times New Roman" w:hAnsi="Times New Roman" w:cs="Times New Roman"/>
        </w:rPr>
        <w:t>helping</w:t>
      </w:r>
      <w:r w:rsidRPr="00C47DDB">
        <w:rPr>
          <w:rFonts w:ascii="Times New Roman" w:eastAsia="Times New Roman" w:hAnsi="Times New Roman" w:cs="Times New Roman"/>
        </w:rPr>
        <w:t xml:space="preserve"> organizations to achieve greater outcomes through strategic touchpoint optimization rather than resource multiplication (Bradley, Taylor, &amp; Cuellar, 2015; Meyer &amp; Land, 2006).</w:t>
      </w:r>
    </w:p>
    <w:p w14:paraId="3E233B17" w14:textId="445E249C" w:rsidR="00C47DDB" w:rsidRDefault="00C47DDB" w:rsidP="00C47DDB">
      <w:pPr>
        <w:pStyle w:val="NoSpacing"/>
        <w:spacing w:line="480" w:lineRule="auto"/>
        <w:ind w:firstLine="720"/>
        <w:rPr>
          <w:rFonts w:ascii="Times New Roman" w:eastAsia="Times New Roman" w:hAnsi="Times New Roman" w:cs="Times New Roman"/>
        </w:rPr>
      </w:pPr>
      <w:r w:rsidRPr="00C47DDB">
        <w:rPr>
          <w:rFonts w:ascii="Times New Roman" w:eastAsia="Times New Roman" w:hAnsi="Times New Roman" w:cs="Times New Roman"/>
        </w:rPr>
        <w:t xml:space="preserve">The study pursues five integrated objectives: (1) categorizing touchpoints by impact potential within each leverage point, (2) analyzing exponential versus linear relationship patterns between touchpoint exposure and commitment changes, (3) developing an evidence-based Touchpoint Optimization Framework, (4) examining how theoretical integration explains compounding mechanisms, and (5) providing actionable resource allocation recommendations. This investigation integrates Threshold Concept Theory, Social Learning Theory, and Nudge Theory to explain how educational interventions might achieve multiplicative effects through strategic design. Beyond the ReConnect Fellowship, findings </w:t>
      </w:r>
      <w:r w:rsidR="00C5410C" w:rsidRPr="00C5410C">
        <w:rPr>
          <w:rFonts w:ascii="Times New Roman" w:eastAsia="Times New Roman" w:hAnsi="Times New Roman" w:cs="Times New Roman"/>
        </w:rPr>
        <w:t xml:space="preserve">may contribute to </w:t>
      </w:r>
      <w:r w:rsidR="00471747">
        <w:rPr>
          <w:rFonts w:ascii="Times New Roman" w:eastAsia="Times New Roman" w:hAnsi="Times New Roman" w:cs="Times New Roman"/>
        </w:rPr>
        <w:t xml:space="preserve">an </w:t>
      </w:r>
      <w:r w:rsidRPr="00C47DDB">
        <w:rPr>
          <w:rFonts w:ascii="Times New Roman" w:eastAsia="Times New Roman" w:hAnsi="Times New Roman" w:cs="Times New Roman"/>
        </w:rPr>
        <w:t xml:space="preserve">understanding of how rural healthcare workforce programs can maximize impact in resource-constrained environments. By quantifying exponential patterns and identifying optimization thresholds, this research addresses critical gaps in workforce development literature while </w:t>
      </w:r>
      <w:r w:rsidR="002346B6" w:rsidRPr="002346B6">
        <w:rPr>
          <w:rFonts w:ascii="Times New Roman" w:eastAsia="Times New Roman" w:hAnsi="Times New Roman" w:cs="Times New Roman"/>
        </w:rPr>
        <w:t>providing possible solutions</w:t>
      </w:r>
      <w:r w:rsidR="00C5410C" w:rsidRPr="00C5410C">
        <w:rPr>
          <w:rFonts w:ascii="Times New Roman" w:eastAsia="Times New Roman" w:hAnsi="Times New Roman" w:cs="Times New Roman"/>
        </w:rPr>
        <w:t xml:space="preserve"> for rural healthcare workforce challenges</w:t>
      </w:r>
      <w:r w:rsidRPr="00C47DDB">
        <w:rPr>
          <w:rFonts w:ascii="Times New Roman" w:eastAsia="Times New Roman" w:hAnsi="Times New Roman" w:cs="Times New Roman"/>
        </w:rPr>
        <w:t>.</w:t>
      </w:r>
    </w:p>
    <w:p w14:paraId="6A824150" w14:textId="0777D8BC" w:rsidR="00FB6C91" w:rsidRPr="00FB6C91" w:rsidRDefault="00FB6C91" w:rsidP="00FB6C91">
      <w:pPr>
        <w:pStyle w:val="NoSpacing"/>
        <w:spacing w:line="480" w:lineRule="auto"/>
        <w:jc w:val="center"/>
        <w:rPr>
          <w:rFonts w:ascii="Times New Roman" w:eastAsia="Times New Roman" w:hAnsi="Times New Roman" w:cs="Times New Roman"/>
          <w:b/>
          <w:bCs/>
        </w:rPr>
      </w:pPr>
      <w:r w:rsidRPr="00FB6C91">
        <w:rPr>
          <w:rFonts w:ascii="Times New Roman" w:eastAsia="Times New Roman" w:hAnsi="Times New Roman" w:cs="Times New Roman"/>
          <w:b/>
          <w:bCs/>
        </w:rPr>
        <w:t>Literature Review and Theoretical Framework</w:t>
      </w:r>
    </w:p>
    <w:p w14:paraId="2210837D" w14:textId="77777777" w:rsidR="00FB6C91" w:rsidRPr="00FB6C91" w:rsidRDefault="00FB6C91" w:rsidP="00FB6C91">
      <w:pPr>
        <w:pStyle w:val="NoSpacing"/>
        <w:spacing w:line="480" w:lineRule="auto"/>
        <w:rPr>
          <w:rFonts w:ascii="Times New Roman" w:eastAsia="Times New Roman" w:hAnsi="Times New Roman" w:cs="Times New Roman"/>
          <w:b/>
          <w:bCs/>
        </w:rPr>
      </w:pPr>
      <w:r w:rsidRPr="00FB6C91">
        <w:rPr>
          <w:rFonts w:ascii="Times New Roman" w:eastAsia="Times New Roman" w:hAnsi="Times New Roman" w:cs="Times New Roman"/>
          <w:b/>
          <w:bCs/>
        </w:rPr>
        <w:t>Rural Healthcare Workforce Development Context</w:t>
      </w:r>
    </w:p>
    <w:p w14:paraId="6E911BB0" w14:textId="6E63EB17" w:rsidR="00FB6C91" w:rsidRPr="00FB6C91" w:rsidRDefault="00FB6C91" w:rsidP="00FB6C91">
      <w:pPr>
        <w:pStyle w:val="NoSpacing"/>
        <w:spacing w:line="480" w:lineRule="auto"/>
        <w:ind w:firstLine="720"/>
        <w:rPr>
          <w:rFonts w:ascii="Times New Roman" w:eastAsia="Times New Roman" w:hAnsi="Times New Roman" w:cs="Times New Roman"/>
        </w:rPr>
      </w:pPr>
      <w:r w:rsidRPr="00FB6C91">
        <w:rPr>
          <w:rFonts w:ascii="Times New Roman" w:eastAsia="Times New Roman" w:hAnsi="Times New Roman" w:cs="Times New Roman"/>
        </w:rPr>
        <w:t xml:space="preserve">Rural healthcare workforce shortages persist globally despite extensive intervention efforts. Johnson, Wright, and Foster (2018) synthesized evidence from rural outreach programs, finding that while exposure increases rural practice intentions, the mechanisms driving this </w:t>
      </w:r>
      <w:r w:rsidRPr="00FB6C91">
        <w:rPr>
          <w:rFonts w:ascii="Times New Roman" w:eastAsia="Times New Roman" w:hAnsi="Times New Roman" w:cs="Times New Roman"/>
        </w:rPr>
        <w:lastRenderedPageBreak/>
        <w:t xml:space="preserve">change remain poorly understood. Playford, Ngo, Gupta, and Puddey (2017) demonstrated that rural origin, intention, and immersion experiences influence practice location, yet their longitudinal study could not explain why some students with identical experiences show dramatically different commitment levels. Recent evidence suggests the answer may lie in program design rather than participant characteristics. Abelsen et al. (2020) proposed a "plan, recruit, retain" framework </w:t>
      </w:r>
      <w:r w:rsidR="00182081" w:rsidRPr="00182081">
        <w:rPr>
          <w:rFonts w:ascii="Times New Roman" w:eastAsia="Times New Roman" w:hAnsi="Times New Roman" w:cs="Times New Roman"/>
        </w:rPr>
        <w:t>that highlights</w:t>
      </w:r>
      <w:r w:rsidRPr="00FB6C91">
        <w:rPr>
          <w:rFonts w:ascii="Times New Roman" w:eastAsia="Times New Roman" w:hAnsi="Times New Roman" w:cs="Times New Roman"/>
        </w:rPr>
        <w:t xml:space="preserve"> the compound nature of successful interventions, while Liu et al. (2017) identified that multiple contextual factors must align to achieve rural workforce stability. These studies consistently point toward multiplicative rather than additive intervention </w:t>
      </w:r>
      <w:r w:rsidR="00C36635" w:rsidRPr="00FB6C91">
        <w:rPr>
          <w:rFonts w:ascii="Times New Roman" w:eastAsia="Times New Roman" w:hAnsi="Times New Roman" w:cs="Times New Roman"/>
        </w:rPr>
        <w:t>effects</w:t>
      </w:r>
      <w:r w:rsidR="00C36635">
        <w:rPr>
          <w:rFonts w:ascii="Times New Roman" w:eastAsia="Times New Roman" w:hAnsi="Times New Roman" w:cs="Times New Roman"/>
        </w:rPr>
        <w:t xml:space="preserve"> yet</w:t>
      </w:r>
      <w:r w:rsidRPr="00FB6C91">
        <w:rPr>
          <w:rFonts w:ascii="Times New Roman" w:eastAsia="Times New Roman" w:hAnsi="Times New Roman" w:cs="Times New Roman"/>
        </w:rPr>
        <w:t xml:space="preserve"> lack theoretical frameworks to explain or optimize such patterns. The gap year period represents a particularly promising intervention window, as Meade et al. (2022) found that early rural exposure during formative professional development stages </w:t>
      </w:r>
      <w:r w:rsidR="00B70C8E" w:rsidRPr="00B70C8E">
        <w:rPr>
          <w:rFonts w:ascii="Times New Roman" w:eastAsia="Times New Roman" w:hAnsi="Times New Roman" w:cs="Times New Roman"/>
        </w:rPr>
        <w:t>has long-term effects</w:t>
      </w:r>
      <w:r w:rsidR="00B70C8E">
        <w:rPr>
          <w:rFonts w:ascii="Times New Roman" w:eastAsia="Times New Roman" w:hAnsi="Times New Roman" w:cs="Times New Roman"/>
        </w:rPr>
        <w:t xml:space="preserve"> </w:t>
      </w:r>
      <w:r w:rsidRPr="00FB6C91">
        <w:rPr>
          <w:rFonts w:ascii="Times New Roman" w:eastAsia="Times New Roman" w:hAnsi="Times New Roman" w:cs="Times New Roman"/>
        </w:rPr>
        <w:t xml:space="preserve">on practice decisions. However, without understanding the underlying mechanisms that transform exposure into commitment, programs cannot </w:t>
      </w:r>
      <w:r w:rsidR="00E444E3" w:rsidRPr="00E444E3">
        <w:rPr>
          <w:rFonts w:ascii="Times New Roman" w:eastAsia="Times New Roman" w:hAnsi="Times New Roman" w:cs="Times New Roman"/>
        </w:rPr>
        <w:t>purposefully improve</w:t>
      </w:r>
      <w:r w:rsidRPr="00FB6C91">
        <w:rPr>
          <w:rFonts w:ascii="Times New Roman" w:eastAsia="Times New Roman" w:hAnsi="Times New Roman" w:cs="Times New Roman"/>
        </w:rPr>
        <w:t xml:space="preserve"> their design for maximum impact.</w:t>
      </w:r>
    </w:p>
    <w:p w14:paraId="4FE02181" w14:textId="77777777" w:rsidR="00FB6C91" w:rsidRPr="00FB6C91" w:rsidRDefault="00FB6C91" w:rsidP="00FB6C91">
      <w:pPr>
        <w:pStyle w:val="NoSpacing"/>
        <w:spacing w:line="480" w:lineRule="auto"/>
        <w:rPr>
          <w:rFonts w:ascii="Times New Roman" w:eastAsia="Times New Roman" w:hAnsi="Times New Roman" w:cs="Times New Roman"/>
          <w:b/>
          <w:bCs/>
        </w:rPr>
      </w:pPr>
      <w:r w:rsidRPr="00FB6C91">
        <w:rPr>
          <w:rFonts w:ascii="Times New Roman" w:eastAsia="Times New Roman" w:hAnsi="Times New Roman" w:cs="Times New Roman"/>
          <w:b/>
          <w:bCs/>
        </w:rPr>
        <w:t>Leverage Points and Touchpoint Mechanisms</w:t>
      </w:r>
    </w:p>
    <w:p w14:paraId="6472215C" w14:textId="4ACFB118" w:rsidR="00FB6C91" w:rsidRPr="00FB6C91" w:rsidRDefault="00FB6C91" w:rsidP="00C2128E">
      <w:pPr>
        <w:pStyle w:val="NoSpacing"/>
        <w:spacing w:line="480" w:lineRule="auto"/>
        <w:ind w:firstLine="720"/>
        <w:rPr>
          <w:rFonts w:ascii="Times New Roman" w:eastAsia="Times New Roman" w:hAnsi="Times New Roman" w:cs="Times New Roman"/>
        </w:rPr>
      </w:pPr>
      <w:r w:rsidRPr="00FB6C91">
        <w:rPr>
          <w:rFonts w:ascii="Times New Roman" w:eastAsia="Times New Roman" w:hAnsi="Times New Roman" w:cs="Times New Roman"/>
        </w:rPr>
        <w:t xml:space="preserve">Understanding exponential effects requires distinguishing between leverage points and touchpoints within educational interventions. Leverage points represent major program activities or platforms where transformation potentially </w:t>
      </w:r>
      <w:r w:rsidR="00C2128E" w:rsidRPr="00FB6C91">
        <w:rPr>
          <w:rFonts w:ascii="Times New Roman" w:eastAsia="Times New Roman" w:hAnsi="Times New Roman" w:cs="Times New Roman"/>
        </w:rPr>
        <w:t>occurs</w:t>
      </w:r>
      <w:r w:rsidR="00ED2319">
        <w:rPr>
          <w:rFonts w:ascii="Times New Roman" w:eastAsia="Times New Roman" w:hAnsi="Times New Roman" w:cs="Times New Roman"/>
        </w:rPr>
        <w:t>, such as</w:t>
      </w:r>
      <w:r w:rsidRPr="00FB6C91">
        <w:rPr>
          <w:rFonts w:ascii="Times New Roman" w:eastAsia="Times New Roman" w:hAnsi="Times New Roman" w:cs="Times New Roman"/>
        </w:rPr>
        <w:t xml:space="preserve"> clinical experiences, mentorship relationships, and community integration activities. These broad categories constitute the structural framework of workforce development programs. Touchpoints, </w:t>
      </w:r>
      <w:r w:rsidR="00B951B1" w:rsidRPr="00B951B1">
        <w:rPr>
          <w:rFonts w:ascii="Times New Roman" w:eastAsia="Times New Roman" w:hAnsi="Times New Roman" w:cs="Times New Roman"/>
        </w:rPr>
        <w:t>on the other hand</w:t>
      </w:r>
      <w:r w:rsidRPr="00FB6C91">
        <w:rPr>
          <w:rFonts w:ascii="Times New Roman" w:eastAsia="Times New Roman" w:hAnsi="Times New Roman" w:cs="Times New Roman"/>
        </w:rPr>
        <w:t xml:space="preserve">, are specific, intentional interactions within each leverage point that create discrete moments of influence. For example, within the clinical experience leverage point, touchpoints might include a patient expressing gratitude, observing a complex procedure, or participating in emergency </w:t>
      </w:r>
      <w:r w:rsidRPr="00FB6C91">
        <w:rPr>
          <w:rFonts w:ascii="Times New Roman" w:eastAsia="Times New Roman" w:hAnsi="Times New Roman" w:cs="Times New Roman"/>
        </w:rPr>
        <w:lastRenderedPageBreak/>
        <w:t xml:space="preserve">care. Within mentorship, touchpoints could </w:t>
      </w:r>
      <w:r w:rsidR="0088110F" w:rsidRPr="0088110F">
        <w:rPr>
          <w:rFonts w:ascii="Times New Roman" w:eastAsia="Times New Roman" w:hAnsi="Times New Roman" w:cs="Times New Roman"/>
        </w:rPr>
        <w:t>include</w:t>
      </w:r>
      <w:r w:rsidRPr="00FB6C91">
        <w:rPr>
          <w:rFonts w:ascii="Times New Roman" w:eastAsia="Times New Roman" w:hAnsi="Times New Roman" w:cs="Times New Roman"/>
        </w:rPr>
        <w:t xml:space="preserve"> career discussions, skill demonstrations, or moments of professional validation. This distinction proves critical because exponential effects emerge not from leverage points themselves but from the accumulation and interaction of multiple touchpoints within and across these platforms. Traditional program evaluation examines leverage points as monolithic experiences, missing how multiple small touchpoints might compound to create </w:t>
      </w:r>
      <w:r w:rsidR="0002523A">
        <w:rPr>
          <w:rFonts w:ascii="Times New Roman" w:eastAsia="Times New Roman" w:hAnsi="Times New Roman" w:cs="Times New Roman"/>
        </w:rPr>
        <w:t>major</w:t>
      </w:r>
      <w:r w:rsidR="0072424C" w:rsidRPr="0072424C">
        <w:rPr>
          <w:rFonts w:ascii="Times New Roman" w:eastAsia="Times New Roman" w:hAnsi="Times New Roman" w:cs="Times New Roman"/>
        </w:rPr>
        <w:t xml:space="preserve"> change</w:t>
      </w:r>
      <w:r w:rsidRPr="00FB6C91">
        <w:rPr>
          <w:rFonts w:ascii="Times New Roman" w:eastAsia="Times New Roman" w:hAnsi="Times New Roman" w:cs="Times New Roman"/>
        </w:rPr>
        <w:t>. By decomposing leverage points into constituent touchpoints, we can investigate whether ten meaningful patient interactions create ten times the impact or generate exponential influence through reinforcing mechanisms.</w:t>
      </w:r>
    </w:p>
    <w:p w14:paraId="0976BBEA" w14:textId="77777777" w:rsidR="00FB6C91" w:rsidRPr="00FB6C91" w:rsidRDefault="00FB6C91" w:rsidP="00FB6C91">
      <w:pPr>
        <w:pStyle w:val="NoSpacing"/>
        <w:spacing w:line="480" w:lineRule="auto"/>
        <w:rPr>
          <w:rFonts w:ascii="Times New Roman" w:eastAsia="Times New Roman" w:hAnsi="Times New Roman" w:cs="Times New Roman"/>
          <w:b/>
          <w:bCs/>
        </w:rPr>
      </w:pPr>
      <w:r w:rsidRPr="00FB6C91">
        <w:rPr>
          <w:rFonts w:ascii="Times New Roman" w:eastAsia="Times New Roman" w:hAnsi="Times New Roman" w:cs="Times New Roman"/>
          <w:b/>
          <w:bCs/>
        </w:rPr>
        <w:t>Theoretical Framework for Exponential Effects</w:t>
      </w:r>
    </w:p>
    <w:p w14:paraId="2B13AC4B" w14:textId="0F15C486" w:rsidR="00FB6C91" w:rsidRPr="00FB6C91" w:rsidRDefault="00FB6C91" w:rsidP="00C2128E">
      <w:pPr>
        <w:pStyle w:val="NoSpacing"/>
        <w:spacing w:line="480" w:lineRule="auto"/>
        <w:ind w:firstLine="720"/>
        <w:rPr>
          <w:rFonts w:ascii="Times New Roman" w:eastAsia="Times New Roman" w:hAnsi="Times New Roman" w:cs="Times New Roman"/>
        </w:rPr>
      </w:pPr>
      <w:r w:rsidRPr="00FB6C91">
        <w:rPr>
          <w:rFonts w:ascii="Times New Roman" w:eastAsia="Times New Roman" w:hAnsi="Times New Roman" w:cs="Times New Roman"/>
        </w:rPr>
        <w:t xml:space="preserve">This research </w:t>
      </w:r>
      <w:r w:rsidR="005538AC" w:rsidRPr="005538AC">
        <w:rPr>
          <w:rFonts w:ascii="Times New Roman" w:eastAsia="Times New Roman" w:hAnsi="Times New Roman" w:cs="Times New Roman"/>
        </w:rPr>
        <w:t>brings together</w:t>
      </w:r>
      <w:r w:rsidRPr="00FB6C91">
        <w:rPr>
          <w:rFonts w:ascii="Times New Roman" w:eastAsia="Times New Roman" w:hAnsi="Times New Roman" w:cs="Times New Roman"/>
        </w:rPr>
        <w:t xml:space="preserve"> three established theories to explain how multiple touchpoints within rural workforce programs create exponential rather than linear effects on practice commitment. Each theory addresses distinct mechanistic gaps</w:t>
      </w:r>
      <w:r w:rsidR="00604191">
        <w:rPr>
          <w:rFonts w:ascii="Times New Roman" w:eastAsia="Times New Roman" w:hAnsi="Times New Roman" w:cs="Times New Roman"/>
        </w:rPr>
        <w:t>,</w:t>
      </w:r>
      <w:r w:rsidRPr="00FB6C91">
        <w:rPr>
          <w:rFonts w:ascii="Times New Roman" w:eastAsia="Times New Roman" w:hAnsi="Times New Roman" w:cs="Times New Roman"/>
        </w:rPr>
        <w:t xml:space="preserve"> while their integration </w:t>
      </w:r>
      <w:r w:rsidR="00931D28" w:rsidRPr="00931D28">
        <w:rPr>
          <w:rFonts w:ascii="Times New Roman" w:eastAsia="Times New Roman" w:hAnsi="Times New Roman" w:cs="Times New Roman"/>
        </w:rPr>
        <w:t>shows combined</w:t>
      </w:r>
      <w:r w:rsidR="00931D28">
        <w:rPr>
          <w:rFonts w:ascii="Times New Roman" w:eastAsia="Times New Roman" w:hAnsi="Times New Roman" w:cs="Times New Roman"/>
        </w:rPr>
        <w:t xml:space="preserve"> </w:t>
      </w:r>
      <w:r w:rsidRPr="00FB6C91">
        <w:rPr>
          <w:rFonts w:ascii="Times New Roman" w:eastAsia="Times New Roman" w:hAnsi="Times New Roman" w:cs="Times New Roman"/>
        </w:rPr>
        <w:t>transformation processes.</w:t>
      </w:r>
    </w:p>
    <w:p w14:paraId="2CC57A23" w14:textId="2BCA6498" w:rsidR="00FB6C91" w:rsidRPr="00FB6C91" w:rsidRDefault="00FB6C91" w:rsidP="00176D34">
      <w:pPr>
        <w:pStyle w:val="NoSpacing"/>
        <w:spacing w:line="480" w:lineRule="auto"/>
        <w:rPr>
          <w:rFonts w:ascii="Times New Roman" w:eastAsia="Times New Roman" w:hAnsi="Times New Roman" w:cs="Times New Roman"/>
        </w:rPr>
      </w:pPr>
      <w:r w:rsidRPr="00FB6C91">
        <w:rPr>
          <w:rFonts w:ascii="Times New Roman" w:eastAsia="Times New Roman" w:hAnsi="Times New Roman" w:cs="Times New Roman"/>
          <w:i/>
          <w:iCs/>
        </w:rPr>
        <w:t>Threshold Concept Theory</w:t>
      </w:r>
      <w:r w:rsidR="00E246B8" w:rsidRPr="00E246B8">
        <w:rPr>
          <w:rFonts w:ascii="Times New Roman" w:eastAsia="Times New Roman" w:hAnsi="Times New Roman" w:cs="Times New Roman"/>
          <w:i/>
          <w:iCs/>
        </w:rPr>
        <w:t>:</w:t>
      </w:r>
      <w:r w:rsidRPr="00FB6C91">
        <w:rPr>
          <w:rFonts w:ascii="Times New Roman" w:eastAsia="Times New Roman" w:hAnsi="Times New Roman" w:cs="Times New Roman"/>
        </w:rPr>
        <w:t xml:space="preserve"> Meyer and Land (2006) conceptualize threshold concepts as transformative portals that </w:t>
      </w:r>
      <w:r w:rsidR="00E2147B" w:rsidRPr="00E2147B">
        <w:rPr>
          <w:rFonts w:ascii="Times New Roman" w:eastAsia="Times New Roman" w:hAnsi="Times New Roman" w:cs="Times New Roman"/>
        </w:rPr>
        <w:t>completely change</w:t>
      </w:r>
      <w:r w:rsidR="00E2147B">
        <w:rPr>
          <w:rFonts w:ascii="Times New Roman" w:eastAsia="Times New Roman" w:hAnsi="Times New Roman" w:cs="Times New Roman"/>
        </w:rPr>
        <w:t xml:space="preserve"> </w:t>
      </w:r>
      <w:r w:rsidRPr="00FB6C91">
        <w:rPr>
          <w:rFonts w:ascii="Times New Roman" w:eastAsia="Times New Roman" w:hAnsi="Times New Roman" w:cs="Times New Roman"/>
        </w:rPr>
        <w:t xml:space="preserve">learners' perspectives, characterized by their troublesome, irreversible, and integrative nature. In healthcare education, threshold crossings represent moments when students shift from peripheral understanding to integrated professional identity (Neve, Wearn, &amp; Collett, 2016). Khatri, Knight, and Wilkinson (2020) demonstrated threshold concepts in psychiatric education, showing how certain experiences </w:t>
      </w:r>
      <w:r w:rsidR="003A41C8">
        <w:rPr>
          <w:rFonts w:ascii="Times New Roman" w:eastAsia="Times New Roman" w:hAnsi="Times New Roman" w:cs="Times New Roman"/>
        </w:rPr>
        <w:t>completely</w:t>
      </w:r>
      <w:r w:rsidRPr="00FB6C91">
        <w:rPr>
          <w:rFonts w:ascii="Times New Roman" w:eastAsia="Times New Roman" w:hAnsi="Times New Roman" w:cs="Times New Roman"/>
        </w:rPr>
        <w:t xml:space="preserve"> reshape clinical reasoning. However, existing applications focus on singular, dramatic threshold moments within disciplinary learning. This research addresses a critical gap: whether multiple micro-thresholds accumulate to create macro-transformation. </w:t>
      </w:r>
      <w:r w:rsidR="000C4C93" w:rsidRPr="000C4C93">
        <w:rPr>
          <w:rFonts w:ascii="Times New Roman" w:eastAsia="Times New Roman" w:hAnsi="Times New Roman" w:cs="Times New Roman"/>
        </w:rPr>
        <w:t>The study hypothesizes</w:t>
      </w:r>
      <w:r w:rsidR="000C4C93">
        <w:rPr>
          <w:rFonts w:ascii="Times New Roman" w:eastAsia="Times New Roman" w:hAnsi="Times New Roman" w:cs="Times New Roman"/>
        </w:rPr>
        <w:t xml:space="preserve"> </w:t>
      </w:r>
      <w:r w:rsidRPr="00FB6C91">
        <w:rPr>
          <w:rFonts w:ascii="Times New Roman" w:eastAsia="Times New Roman" w:hAnsi="Times New Roman" w:cs="Times New Roman"/>
        </w:rPr>
        <w:t xml:space="preserve">that touchpoints function as cumulative micro-thresholds, where repeated small crossings compound </w:t>
      </w:r>
      <w:r w:rsidRPr="00FB6C91">
        <w:rPr>
          <w:rFonts w:ascii="Times New Roman" w:eastAsia="Times New Roman" w:hAnsi="Times New Roman" w:cs="Times New Roman"/>
        </w:rPr>
        <w:lastRenderedPageBreak/>
        <w:t>rather than requiring singular revelations. Walker's (2013) cognitive approach supports this possibility, suggesting thresholds operate through progressive conceptual shifts. Within the ReConnect Fellowship, each patient interaction, clinical challenge, and community engagement potentially represents a micro-threshold that, when accumulated, creates exponential transformation.</w:t>
      </w:r>
    </w:p>
    <w:p w14:paraId="2EEB4FBB" w14:textId="02CA0AB4" w:rsidR="00FB6C91" w:rsidRPr="00FB6C91" w:rsidRDefault="00FB6C91" w:rsidP="00176D34">
      <w:pPr>
        <w:pStyle w:val="NoSpacing"/>
        <w:spacing w:line="480" w:lineRule="auto"/>
        <w:rPr>
          <w:rFonts w:ascii="Times New Roman" w:eastAsia="Times New Roman" w:hAnsi="Times New Roman" w:cs="Times New Roman"/>
        </w:rPr>
      </w:pPr>
      <w:r w:rsidRPr="00FB6C91">
        <w:rPr>
          <w:rFonts w:ascii="Times New Roman" w:eastAsia="Times New Roman" w:hAnsi="Times New Roman" w:cs="Times New Roman"/>
          <w:i/>
          <w:iCs/>
        </w:rPr>
        <w:t>Social Learning Theory</w:t>
      </w:r>
      <w:r w:rsidR="00E246B8" w:rsidRPr="00E246B8">
        <w:rPr>
          <w:rFonts w:ascii="Times New Roman" w:eastAsia="Times New Roman" w:hAnsi="Times New Roman" w:cs="Times New Roman"/>
          <w:i/>
          <w:iCs/>
        </w:rPr>
        <w:t>:</w:t>
      </w:r>
      <w:r w:rsidRPr="00FB6C91">
        <w:rPr>
          <w:rFonts w:ascii="Times New Roman" w:eastAsia="Times New Roman" w:hAnsi="Times New Roman" w:cs="Times New Roman"/>
        </w:rPr>
        <w:t xml:space="preserve"> Bandura's (1977, 1986) framework demonstrates how observational learning, modeling, and vicarious experiences shape behavior and self-efficacy through four key mechanisms: attention, retention, reproduction, and motivation. In medical education, social learning influences career decisions through mentorship relationships and role model observations. </w:t>
      </w:r>
      <w:r w:rsidR="00F14B64" w:rsidRPr="002943BB">
        <w:rPr>
          <w:rFonts w:ascii="Times New Roman" w:eastAsia="Times New Roman" w:hAnsi="Times New Roman" w:cs="Times New Roman"/>
        </w:rPr>
        <w:t>Haruta, Ozone, &amp; Hamano</w:t>
      </w:r>
      <w:r w:rsidRPr="00FB6C91">
        <w:rPr>
          <w:rFonts w:ascii="Times New Roman" w:eastAsia="Times New Roman" w:hAnsi="Times New Roman" w:cs="Times New Roman"/>
        </w:rPr>
        <w:t xml:space="preserve"> (2021) found that multiple social learning opportunities in clinical settings enhance professional identity formation, while Smith and Weaver (2006) demonstrated how early exposure to role models shapes idealism and career intentions. Yet current applications examine individual modeling relationships without investigating</w:t>
      </w:r>
      <w:r w:rsidR="00C37BC7">
        <w:rPr>
          <w:rFonts w:ascii="Times New Roman" w:eastAsia="Times New Roman" w:hAnsi="Times New Roman" w:cs="Times New Roman"/>
        </w:rPr>
        <w:t xml:space="preserve"> </w:t>
      </w:r>
      <w:r w:rsidR="00C37BC7" w:rsidRPr="00C37BC7">
        <w:rPr>
          <w:rFonts w:ascii="Times New Roman" w:eastAsia="Times New Roman" w:hAnsi="Times New Roman" w:cs="Times New Roman"/>
        </w:rPr>
        <w:t>combined impacts</w:t>
      </w:r>
      <w:r w:rsidRPr="00FB6C91">
        <w:rPr>
          <w:rFonts w:ascii="Times New Roman" w:eastAsia="Times New Roman" w:hAnsi="Times New Roman" w:cs="Times New Roman"/>
        </w:rPr>
        <w:t xml:space="preserve"> when multiple social learning mechanisms operate simultaneously. This research fills this gap by examining whether multiple modeling opportunities across different contexts create </w:t>
      </w:r>
      <w:r w:rsidR="00182649">
        <w:rPr>
          <w:rFonts w:ascii="Times New Roman" w:eastAsia="Times New Roman" w:hAnsi="Times New Roman" w:cs="Times New Roman"/>
        </w:rPr>
        <w:t xml:space="preserve">a </w:t>
      </w:r>
      <w:r w:rsidRPr="00FB6C91">
        <w:rPr>
          <w:rFonts w:ascii="Times New Roman" w:eastAsia="Times New Roman" w:hAnsi="Times New Roman" w:cs="Times New Roman"/>
        </w:rPr>
        <w:t xml:space="preserve">multiplicative impact. Within the ReConnect Fellowship, participants encounter physicians, residents, medical assistants, patients, and community members, each providing distinct social learning touchpoints. We investigate whether exposure to multiple role models generates exponential impact through reinforcing mechanisms, where each observation </w:t>
      </w:r>
      <w:r w:rsidR="005C655A" w:rsidRPr="005C655A">
        <w:rPr>
          <w:rFonts w:ascii="Times New Roman" w:eastAsia="Times New Roman" w:hAnsi="Times New Roman" w:cs="Times New Roman"/>
        </w:rPr>
        <w:t>strengthens</w:t>
      </w:r>
      <w:r w:rsidRPr="00FB6C91">
        <w:rPr>
          <w:rFonts w:ascii="Times New Roman" w:eastAsia="Times New Roman" w:hAnsi="Times New Roman" w:cs="Times New Roman"/>
        </w:rPr>
        <w:t xml:space="preserve"> previous learning rather than simply adding to it.</w:t>
      </w:r>
    </w:p>
    <w:p w14:paraId="145E898F" w14:textId="2241BD37" w:rsidR="00FB6C91" w:rsidRPr="00FB6C91" w:rsidRDefault="00FB6C91" w:rsidP="00176D34">
      <w:pPr>
        <w:pStyle w:val="NoSpacing"/>
        <w:spacing w:line="480" w:lineRule="auto"/>
        <w:rPr>
          <w:rFonts w:ascii="Times New Roman" w:eastAsia="Times New Roman" w:hAnsi="Times New Roman" w:cs="Times New Roman"/>
        </w:rPr>
      </w:pPr>
      <w:r w:rsidRPr="00FB6C91">
        <w:rPr>
          <w:rFonts w:ascii="Times New Roman" w:eastAsia="Times New Roman" w:hAnsi="Times New Roman" w:cs="Times New Roman"/>
          <w:i/>
          <w:iCs/>
        </w:rPr>
        <w:t>Nudge Theory</w:t>
      </w:r>
      <w:r w:rsidR="00E246B8" w:rsidRPr="00E246B8">
        <w:rPr>
          <w:rFonts w:ascii="Times New Roman" w:eastAsia="Times New Roman" w:hAnsi="Times New Roman" w:cs="Times New Roman"/>
          <w:i/>
          <w:iCs/>
        </w:rPr>
        <w:t>:</w:t>
      </w:r>
      <w:r w:rsidRPr="00FB6C91">
        <w:rPr>
          <w:rFonts w:ascii="Times New Roman" w:eastAsia="Times New Roman" w:hAnsi="Times New Roman" w:cs="Times New Roman"/>
        </w:rPr>
        <w:t xml:space="preserve"> Thaler and Sunstein (2008) demonstrate how choice architecture shapes decisions through environmental modifications that preserve freedom while encouraging beneficial behaviors. Healthcare successfully applies nudges for patient behavior change and </w:t>
      </w:r>
      <w:r w:rsidRPr="00FB6C91">
        <w:rPr>
          <w:rFonts w:ascii="Times New Roman" w:eastAsia="Times New Roman" w:hAnsi="Times New Roman" w:cs="Times New Roman"/>
        </w:rPr>
        <w:lastRenderedPageBreak/>
        <w:t xml:space="preserve">system improvements, yet educational program design lacks systematic nudge frameworks. </w:t>
      </w:r>
      <w:r w:rsidR="00C63BEA" w:rsidRPr="002943BB">
        <w:rPr>
          <w:rFonts w:ascii="Times New Roman" w:eastAsia="Times New Roman" w:hAnsi="Times New Roman" w:cs="Times New Roman"/>
        </w:rPr>
        <w:t>Elliott, Luk,</w:t>
      </w:r>
      <w:r w:rsidR="00C63BEA">
        <w:rPr>
          <w:rFonts w:ascii="Times New Roman" w:eastAsia="Times New Roman" w:hAnsi="Times New Roman" w:cs="Times New Roman"/>
        </w:rPr>
        <w:t xml:space="preserve"> </w:t>
      </w:r>
      <w:r w:rsidR="00C63BEA" w:rsidRPr="002943BB">
        <w:rPr>
          <w:rFonts w:ascii="Times New Roman" w:eastAsia="Times New Roman" w:hAnsi="Times New Roman" w:cs="Times New Roman"/>
        </w:rPr>
        <w:t>Varshney, Williams, &amp; Wright</w:t>
      </w:r>
      <w:r w:rsidR="00C63BEA" w:rsidRPr="00FB6C91">
        <w:rPr>
          <w:rFonts w:ascii="Times New Roman" w:eastAsia="Times New Roman" w:hAnsi="Times New Roman" w:cs="Times New Roman"/>
        </w:rPr>
        <w:t xml:space="preserve"> </w:t>
      </w:r>
      <w:r w:rsidRPr="00FB6C91">
        <w:rPr>
          <w:rFonts w:ascii="Times New Roman" w:eastAsia="Times New Roman" w:hAnsi="Times New Roman" w:cs="Times New Roman"/>
        </w:rPr>
        <w:t>(2023) identify this gap, calling for operationalized approaches to educational choice architecture. This research conceptualizes touchpoints as intentional nudges within the fellowship's learning environment. Each clinical experience, mentorship interaction, and community engagement represents a designed nudge toward rural practice consideration. Unlike single-nudge interventions, we examine compound effects when multiple nudges operate across different domains. The fellowship's structure creates a choice architecture where participants repeatedly encounter rural practice in positive contexts, potentially generating exponential influence through accumulated nudge effects.</w:t>
      </w:r>
    </w:p>
    <w:p w14:paraId="09CFF783" w14:textId="77777777" w:rsidR="00FB6C91" w:rsidRPr="00FB6C91" w:rsidRDefault="00FB6C91" w:rsidP="00FB6C91">
      <w:pPr>
        <w:pStyle w:val="NoSpacing"/>
        <w:spacing w:line="480" w:lineRule="auto"/>
        <w:rPr>
          <w:rFonts w:ascii="Times New Roman" w:eastAsia="Times New Roman" w:hAnsi="Times New Roman" w:cs="Times New Roman"/>
          <w:b/>
          <w:bCs/>
        </w:rPr>
      </w:pPr>
      <w:r w:rsidRPr="00FB6C91">
        <w:rPr>
          <w:rFonts w:ascii="Times New Roman" w:eastAsia="Times New Roman" w:hAnsi="Times New Roman" w:cs="Times New Roman"/>
          <w:b/>
          <w:bCs/>
        </w:rPr>
        <w:t>Theoretical Integration and Methodological Innovation</w:t>
      </w:r>
    </w:p>
    <w:p w14:paraId="069E6488" w14:textId="00362FBB" w:rsidR="00770C71" w:rsidRDefault="00FB6C91" w:rsidP="00C20AEB">
      <w:pPr>
        <w:pStyle w:val="NoSpacing"/>
        <w:spacing w:line="480" w:lineRule="auto"/>
        <w:ind w:firstLine="720"/>
        <w:rPr>
          <w:rFonts w:ascii="Times New Roman" w:eastAsia="Times New Roman" w:hAnsi="Times New Roman" w:cs="Times New Roman"/>
        </w:rPr>
      </w:pPr>
      <w:r w:rsidRPr="00FB6C91">
        <w:rPr>
          <w:rFonts w:ascii="Times New Roman" w:eastAsia="Times New Roman" w:hAnsi="Times New Roman" w:cs="Times New Roman"/>
        </w:rPr>
        <w:t xml:space="preserve">These theories operate synergistically rather than independently: threshold concepts create cognitive readiness for transformation, social learning provides observational and motivational mechanisms, and nudge principles optimize each touchpoint's design for maximum impact. This integration </w:t>
      </w:r>
      <w:r w:rsidR="00FE0538" w:rsidRPr="00FE0538">
        <w:rPr>
          <w:rFonts w:ascii="Times New Roman" w:eastAsia="Times New Roman" w:hAnsi="Times New Roman" w:cs="Times New Roman"/>
        </w:rPr>
        <w:t>allows study</w:t>
      </w:r>
      <w:r w:rsidR="00FE0538">
        <w:rPr>
          <w:rFonts w:ascii="Times New Roman" w:eastAsia="Times New Roman" w:hAnsi="Times New Roman" w:cs="Times New Roman"/>
        </w:rPr>
        <w:t xml:space="preserve"> </w:t>
      </w:r>
      <w:r w:rsidRPr="00FB6C91">
        <w:rPr>
          <w:rFonts w:ascii="Times New Roman" w:eastAsia="Times New Roman" w:hAnsi="Times New Roman" w:cs="Times New Roman"/>
        </w:rPr>
        <w:t xml:space="preserve">of compounding effects previously unexplored in workforce development literature. The leverage point and touchpoint framework operationalizes these theories, providing a measurable structure for examining how micro-level interactions generate macro-level transformation. Methodologically, </w:t>
      </w:r>
      <w:r w:rsidR="00E324EF" w:rsidRPr="00E324EF">
        <w:rPr>
          <w:rFonts w:ascii="Times New Roman" w:eastAsia="Times New Roman" w:hAnsi="Times New Roman" w:cs="Times New Roman"/>
        </w:rPr>
        <w:t>this research advances the field</w:t>
      </w:r>
      <w:r w:rsidR="00E324EF">
        <w:rPr>
          <w:rFonts w:ascii="Times New Roman" w:eastAsia="Times New Roman" w:hAnsi="Times New Roman" w:cs="Times New Roman"/>
        </w:rPr>
        <w:t xml:space="preserve"> </w:t>
      </w:r>
      <w:r w:rsidRPr="00FB6C91">
        <w:rPr>
          <w:rFonts w:ascii="Times New Roman" w:eastAsia="Times New Roman" w:hAnsi="Times New Roman" w:cs="Times New Roman"/>
        </w:rPr>
        <w:t xml:space="preserve">by applying polynomial regression and threshold detection algorithms to educational interventions, representing </w:t>
      </w:r>
      <w:r w:rsidR="00360FE4" w:rsidRPr="00360FE4">
        <w:rPr>
          <w:rFonts w:ascii="Times New Roman" w:eastAsia="Times New Roman" w:hAnsi="Times New Roman" w:cs="Times New Roman"/>
        </w:rPr>
        <w:t>an early empirical test</w:t>
      </w:r>
      <w:r w:rsidR="00360FE4">
        <w:rPr>
          <w:rFonts w:ascii="Times New Roman" w:eastAsia="Times New Roman" w:hAnsi="Times New Roman" w:cs="Times New Roman"/>
        </w:rPr>
        <w:t xml:space="preserve"> </w:t>
      </w:r>
      <w:r w:rsidRPr="00FB6C91">
        <w:rPr>
          <w:rFonts w:ascii="Times New Roman" w:eastAsia="Times New Roman" w:hAnsi="Times New Roman" w:cs="Times New Roman"/>
        </w:rPr>
        <w:t>of exponential touchpoint patterns in healthcare workforce development. This approach moves beyond traditional linear analyses to reveal whether strategic touchpoint optimization can achieve the multiplicative impact necessary to address persistent rural workforce shortages.</w:t>
      </w:r>
    </w:p>
    <w:p w14:paraId="2539C0DF" w14:textId="77777777" w:rsidR="00C36635" w:rsidRDefault="00C36635" w:rsidP="00412A82">
      <w:pPr>
        <w:pStyle w:val="NoSpacing"/>
        <w:spacing w:line="480" w:lineRule="auto"/>
        <w:rPr>
          <w:rFonts w:ascii="Times New Roman" w:eastAsia="Times New Roman" w:hAnsi="Times New Roman" w:cs="Times New Roman"/>
          <w:b/>
          <w:bCs/>
        </w:rPr>
      </w:pPr>
    </w:p>
    <w:p w14:paraId="6E7E43DE" w14:textId="0A3EC5DF" w:rsidR="00412A82" w:rsidRPr="00412A82" w:rsidRDefault="00412A82" w:rsidP="00412A82">
      <w:pPr>
        <w:pStyle w:val="NoSpacing"/>
        <w:spacing w:line="480" w:lineRule="auto"/>
        <w:rPr>
          <w:rFonts w:ascii="Times New Roman" w:eastAsia="Times New Roman" w:hAnsi="Times New Roman" w:cs="Times New Roman"/>
          <w:b/>
          <w:bCs/>
        </w:rPr>
      </w:pPr>
      <w:r w:rsidRPr="00412A82">
        <w:rPr>
          <w:rFonts w:ascii="Times New Roman" w:eastAsia="Times New Roman" w:hAnsi="Times New Roman" w:cs="Times New Roman"/>
          <w:b/>
          <w:bCs/>
        </w:rPr>
        <w:lastRenderedPageBreak/>
        <w:t>Research Hypotheses</w:t>
      </w:r>
    </w:p>
    <w:p w14:paraId="7CFE8E23" w14:textId="77777777" w:rsidR="00412A82" w:rsidRPr="00412A82" w:rsidRDefault="00412A82" w:rsidP="00412A82">
      <w:pPr>
        <w:pStyle w:val="NoSpacing"/>
        <w:spacing w:line="480" w:lineRule="auto"/>
        <w:ind w:firstLine="720"/>
        <w:rPr>
          <w:rFonts w:ascii="Times New Roman" w:eastAsia="Times New Roman" w:hAnsi="Times New Roman" w:cs="Times New Roman"/>
        </w:rPr>
      </w:pPr>
      <w:r w:rsidRPr="00412A82">
        <w:rPr>
          <w:rFonts w:ascii="Times New Roman" w:eastAsia="Times New Roman" w:hAnsi="Times New Roman" w:cs="Times New Roman"/>
        </w:rPr>
        <w:t>Based on the integrated theoretical framework and leverage point/touchpoint distinction, five hypotheses guide this investigation:</w:t>
      </w:r>
    </w:p>
    <w:p w14:paraId="4C9FC389" w14:textId="463D05DC" w:rsidR="00412A82" w:rsidRPr="00412A82" w:rsidRDefault="00412A82" w:rsidP="00176D34">
      <w:pPr>
        <w:pStyle w:val="NoSpacing"/>
        <w:spacing w:line="480" w:lineRule="auto"/>
        <w:rPr>
          <w:rFonts w:ascii="Times New Roman" w:eastAsia="Times New Roman" w:hAnsi="Times New Roman" w:cs="Times New Roman"/>
        </w:rPr>
      </w:pPr>
      <w:r w:rsidRPr="00412A82">
        <w:rPr>
          <w:rFonts w:ascii="Times New Roman" w:eastAsia="Times New Roman" w:hAnsi="Times New Roman" w:cs="Times New Roman"/>
          <w:i/>
          <w:iCs/>
        </w:rPr>
        <w:t>H1 Exponential Touchpoint Hypothesis</w:t>
      </w:r>
      <w:r w:rsidR="00570A75" w:rsidRPr="00E246B8">
        <w:rPr>
          <w:rFonts w:ascii="Times New Roman" w:eastAsia="Times New Roman" w:hAnsi="Times New Roman" w:cs="Times New Roman"/>
          <w:i/>
          <w:iCs/>
        </w:rPr>
        <w:t>:</w:t>
      </w:r>
      <w:r w:rsidRPr="00412A82">
        <w:rPr>
          <w:rFonts w:ascii="Times New Roman" w:eastAsia="Times New Roman" w:hAnsi="Times New Roman" w:cs="Times New Roman"/>
        </w:rPr>
        <w:t xml:space="preserve"> Participants experiencing six or more high-quality touchpoints per leverage point will </w:t>
      </w:r>
      <w:r w:rsidR="00852BC6" w:rsidRPr="00852BC6">
        <w:rPr>
          <w:rFonts w:ascii="Times New Roman" w:eastAsia="Times New Roman" w:hAnsi="Times New Roman" w:cs="Times New Roman"/>
        </w:rPr>
        <w:t>show much greater</w:t>
      </w:r>
      <w:r w:rsidR="00852BC6">
        <w:rPr>
          <w:rFonts w:ascii="Times New Roman" w:eastAsia="Times New Roman" w:hAnsi="Times New Roman" w:cs="Times New Roman"/>
        </w:rPr>
        <w:t xml:space="preserve"> </w:t>
      </w:r>
      <w:r w:rsidRPr="00412A82">
        <w:rPr>
          <w:rFonts w:ascii="Times New Roman" w:eastAsia="Times New Roman" w:hAnsi="Times New Roman" w:cs="Times New Roman"/>
        </w:rPr>
        <w:t>rural practice commitment compared to those with fewer touchpoints, with the relationship following a polynomial rather than linear pattern, consistent with threshold concept accumulation (Meyer &amp; Land, 2006; Walker, 2013).</w:t>
      </w:r>
    </w:p>
    <w:p w14:paraId="281D2B20" w14:textId="0042965C" w:rsidR="00412A82" w:rsidRPr="00412A82" w:rsidRDefault="00412A82" w:rsidP="00176D34">
      <w:pPr>
        <w:pStyle w:val="NoSpacing"/>
        <w:spacing w:line="480" w:lineRule="auto"/>
        <w:rPr>
          <w:rFonts w:ascii="Times New Roman" w:eastAsia="Times New Roman" w:hAnsi="Times New Roman" w:cs="Times New Roman"/>
        </w:rPr>
      </w:pPr>
      <w:r w:rsidRPr="00412A82">
        <w:rPr>
          <w:rFonts w:ascii="Times New Roman" w:eastAsia="Times New Roman" w:hAnsi="Times New Roman" w:cs="Times New Roman"/>
          <w:i/>
          <w:iCs/>
        </w:rPr>
        <w:t>H2 Threshold Effects</w:t>
      </w:r>
      <w:r w:rsidR="00570A75" w:rsidRPr="00E246B8">
        <w:rPr>
          <w:rFonts w:ascii="Times New Roman" w:eastAsia="Times New Roman" w:hAnsi="Times New Roman" w:cs="Times New Roman"/>
          <w:i/>
          <w:iCs/>
        </w:rPr>
        <w:t>:</w:t>
      </w:r>
      <w:r w:rsidRPr="00412A82">
        <w:rPr>
          <w:rFonts w:ascii="Times New Roman" w:eastAsia="Times New Roman" w:hAnsi="Times New Roman" w:cs="Times New Roman"/>
        </w:rPr>
        <w:t xml:space="preserve"> Participants experiencing high levels of transformative touchpoints (aha moments ≥7, pattern recognition ≥8, lasting change ≥8) will show disproportionately higher rural practice commitment than those below these thresholds, indicating critical transformation points where accumulated micro-thresholds generate macro-level change (Meyer &amp; Land, 2006).</w:t>
      </w:r>
    </w:p>
    <w:p w14:paraId="020C21A0" w14:textId="1797278B" w:rsidR="00412A82" w:rsidRPr="00412A82" w:rsidRDefault="00412A82" w:rsidP="00176D34">
      <w:pPr>
        <w:pStyle w:val="NoSpacing"/>
        <w:spacing w:line="480" w:lineRule="auto"/>
        <w:rPr>
          <w:rFonts w:ascii="Times New Roman" w:eastAsia="Times New Roman" w:hAnsi="Times New Roman" w:cs="Times New Roman"/>
        </w:rPr>
      </w:pPr>
      <w:r w:rsidRPr="00412A82">
        <w:rPr>
          <w:rFonts w:ascii="Times New Roman" w:eastAsia="Times New Roman" w:hAnsi="Times New Roman" w:cs="Times New Roman"/>
          <w:i/>
          <w:iCs/>
        </w:rPr>
        <w:t>H3 Compound Touchpoint Synergy</w:t>
      </w:r>
      <w:r w:rsidR="00570A75" w:rsidRPr="00E246B8">
        <w:rPr>
          <w:rFonts w:ascii="Times New Roman" w:eastAsia="Times New Roman" w:hAnsi="Times New Roman" w:cs="Times New Roman"/>
          <w:i/>
          <w:iCs/>
        </w:rPr>
        <w:t>:</w:t>
      </w:r>
      <w:r w:rsidRPr="00412A82">
        <w:rPr>
          <w:rFonts w:ascii="Times New Roman" w:eastAsia="Times New Roman" w:hAnsi="Times New Roman" w:cs="Times New Roman"/>
        </w:rPr>
        <w:t xml:space="preserve"> Participants with high touchpoint levels across multiple categories will </w:t>
      </w:r>
      <w:r w:rsidR="00431071">
        <w:rPr>
          <w:rFonts w:ascii="Times New Roman" w:eastAsia="Times New Roman" w:hAnsi="Times New Roman" w:cs="Times New Roman"/>
        </w:rPr>
        <w:t>show</w:t>
      </w:r>
      <w:r w:rsidRPr="00412A82">
        <w:rPr>
          <w:rFonts w:ascii="Times New Roman" w:eastAsia="Times New Roman" w:hAnsi="Times New Roman" w:cs="Times New Roman"/>
        </w:rPr>
        <w:t xml:space="preserve"> rural practice commitment </w:t>
      </w:r>
      <w:r w:rsidR="00431071" w:rsidRPr="00431071">
        <w:rPr>
          <w:rFonts w:ascii="Times New Roman" w:eastAsia="Times New Roman" w:hAnsi="Times New Roman" w:cs="Times New Roman"/>
        </w:rPr>
        <w:t>greater than</w:t>
      </w:r>
      <w:r w:rsidRPr="00412A82">
        <w:rPr>
          <w:rFonts w:ascii="Times New Roman" w:eastAsia="Times New Roman" w:hAnsi="Times New Roman" w:cs="Times New Roman"/>
        </w:rPr>
        <w:t xml:space="preserve"> the sum of individual effects, indicating synergistic compounding where social learning mechanisms </w:t>
      </w:r>
      <w:r w:rsidR="00ED6CB7">
        <w:rPr>
          <w:rFonts w:ascii="Times New Roman" w:eastAsia="Times New Roman" w:hAnsi="Times New Roman" w:cs="Times New Roman"/>
        </w:rPr>
        <w:t>boost</w:t>
      </w:r>
      <w:r w:rsidRPr="00412A82">
        <w:rPr>
          <w:rFonts w:ascii="Times New Roman" w:eastAsia="Times New Roman" w:hAnsi="Times New Roman" w:cs="Times New Roman"/>
        </w:rPr>
        <w:t xml:space="preserve"> threshold crossings through reinforcing observations (Bandura, 1986; Thaler &amp; Sunstein, 2008).</w:t>
      </w:r>
    </w:p>
    <w:p w14:paraId="2672B70A" w14:textId="126A7ECD" w:rsidR="00412A82" w:rsidRPr="00412A82" w:rsidRDefault="00412A82" w:rsidP="00176D34">
      <w:pPr>
        <w:pStyle w:val="NoSpacing"/>
        <w:spacing w:line="480" w:lineRule="auto"/>
        <w:rPr>
          <w:rFonts w:ascii="Times New Roman" w:eastAsia="Times New Roman" w:hAnsi="Times New Roman" w:cs="Times New Roman"/>
        </w:rPr>
      </w:pPr>
      <w:r w:rsidRPr="00412A82">
        <w:rPr>
          <w:rFonts w:ascii="Times New Roman" w:eastAsia="Times New Roman" w:hAnsi="Times New Roman" w:cs="Times New Roman"/>
          <w:i/>
          <w:iCs/>
        </w:rPr>
        <w:t>H4: Leverage Point Optimization</w:t>
      </w:r>
      <w:r w:rsidR="00E246B8" w:rsidRPr="00E246B8">
        <w:rPr>
          <w:rFonts w:ascii="Times New Roman" w:eastAsia="Times New Roman" w:hAnsi="Times New Roman" w:cs="Times New Roman"/>
          <w:i/>
          <w:iCs/>
        </w:rPr>
        <w:t>:</w:t>
      </w:r>
      <w:r w:rsidRPr="00412A82">
        <w:rPr>
          <w:rFonts w:ascii="Times New Roman" w:eastAsia="Times New Roman" w:hAnsi="Times New Roman" w:cs="Times New Roman"/>
        </w:rPr>
        <w:t xml:space="preserve"> Clinical experience leverage points will show the strongest correlation with exponential touchpoint patterns, as direct patient care provides the most intensive threshold crossing opportunities and social learning models for professional identity formation (Johnson, Wright, &amp; Foster, 2018; Playford et al., 2017).</w:t>
      </w:r>
    </w:p>
    <w:p w14:paraId="3BA2D790" w14:textId="4E7063CE" w:rsidR="00412A82" w:rsidRDefault="00412A82" w:rsidP="00176D34">
      <w:pPr>
        <w:pStyle w:val="NoSpacing"/>
        <w:spacing w:line="480" w:lineRule="auto"/>
        <w:rPr>
          <w:rFonts w:ascii="Times New Roman" w:eastAsia="Times New Roman" w:hAnsi="Times New Roman" w:cs="Times New Roman"/>
        </w:rPr>
      </w:pPr>
      <w:r w:rsidRPr="00412A82">
        <w:rPr>
          <w:rFonts w:ascii="Times New Roman" w:eastAsia="Times New Roman" w:hAnsi="Times New Roman" w:cs="Times New Roman"/>
          <w:i/>
          <w:iCs/>
        </w:rPr>
        <w:t>H5 Quality-Frequency Interaction</w:t>
      </w:r>
      <w:r w:rsidR="00570A75" w:rsidRPr="00E246B8">
        <w:rPr>
          <w:rFonts w:ascii="Times New Roman" w:eastAsia="Times New Roman" w:hAnsi="Times New Roman" w:cs="Times New Roman"/>
          <w:i/>
          <w:iCs/>
        </w:rPr>
        <w:t>:</w:t>
      </w:r>
      <w:r w:rsidR="00570A75">
        <w:rPr>
          <w:rFonts w:ascii="Times New Roman" w:eastAsia="Times New Roman" w:hAnsi="Times New Roman" w:cs="Times New Roman"/>
          <w:b/>
          <w:bCs/>
        </w:rPr>
        <w:t xml:space="preserve"> </w:t>
      </w:r>
      <w:r w:rsidRPr="00412A82">
        <w:rPr>
          <w:rFonts w:ascii="Times New Roman" w:eastAsia="Times New Roman" w:hAnsi="Times New Roman" w:cs="Times New Roman"/>
        </w:rPr>
        <w:t xml:space="preserve">The relationship between touchpoint frequency and rural practice intentions will be moderated by touchpoint quality (≥7 rating), with high-quality touchpoints demonstrating </w:t>
      </w:r>
      <w:r w:rsidR="0014168A" w:rsidRPr="0014168A">
        <w:rPr>
          <w:rFonts w:ascii="Times New Roman" w:eastAsia="Times New Roman" w:hAnsi="Times New Roman" w:cs="Times New Roman"/>
        </w:rPr>
        <w:t>enhanced impact</w:t>
      </w:r>
      <w:r w:rsidR="0014168A">
        <w:rPr>
          <w:rFonts w:ascii="Times New Roman" w:eastAsia="Times New Roman" w:hAnsi="Times New Roman" w:cs="Times New Roman"/>
        </w:rPr>
        <w:t xml:space="preserve"> </w:t>
      </w:r>
      <w:r w:rsidRPr="00412A82">
        <w:rPr>
          <w:rFonts w:ascii="Times New Roman" w:eastAsia="Times New Roman" w:hAnsi="Times New Roman" w:cs="Times New Roman"/>
        </w:rPr>
        <w:t xml:space="preserve">when combined with higher frequency, </w:t>
      </w:r>
      <w:r w:rsidR="00A539DB" w:rsidRPr="00A539DB">
        <w:rPr>
          <w:rFonts w:ascii="Times New Roman" w:eastAsia="Times New Roman" w:hAnsi="Times New Roman" w:cs="Times New Roman"/>
        </w:rPr>
        <w:t>which helps identify</w:t>
      </w:r>
      <w:r w:rsidRPr="00412A82">
        <w:rPr>
          <w:rFonts w:ascii="Times New Roman" w:eastAsia="Times New Roman" w:hAnsi="Times New Roman" w:cs="Times New Roman"/>
        </w:rPr>
        <w:t xml:space="preserve"> optimal quality-frequency combinations for program design (Elliott et al., 2023).</w:t>
      </w:r>
    </w:p>
    <w:p w14:paraId="1480CEF3" w14:textId="30D7AFA8" w:rsidR="000C7052" w:rsidRPr="000C7052" w:rsidRDefault="000C7052" w:rsidP="00824419">
      <w:pPr>
        <w:pStyle w:val="NoSpacing"/>
        <w:spacing w:line="480" w:lineRule="auto"/>
        <w:jc w:val="center"/>
        <w:rPr>
          <w:rFonts w:ascii="Times New Roman" w:eastAsia="Times New Roman" w:hAnsi="Times New Roman" w:cs="Times New Roman"/>
          <w:b/>
          <w:bCs/>
        </w:rPr>
      </w:pPr>
      <w:r w:rsidRPr="000C7052">
        <w:rPr>
          <w:rFonts w:ascii="Times New Roman" w:eastAsia="Times New Roman" w:hAnsi="Times New Roman" w:cs="Times New Roman"/>
          <w:b/>
          <w:bCs/>
        </w:rPr>
        <w:lastRenderedPageBreak/>
        <w:t>Methods</w:t>
      </w:r>
    </w:p>
    <w:p w14:paraId="2C8FFB8C" w14:textId="77777777"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t>Research Design</w:t>
      </w:r>
    </w:p>
    <w:p w14:paraId="2AB1F756" w14:textId="169F24DA" w:rsidR="000C7052" w:rsidRPr="000C7052" w:rsidRDefault="000C7052" w:rsidP="00824419">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This research employs a mixed</w:t>
      </w:r>
      <w:r w:rsidR="00740DFC">
        <w:rPr>
          <w:rFonts w:ascii="Times New Roman" w:eastAsia="Times New Roman" w:hAnsi="Times New Roman" w:cs="Times New Roman"/>
        </w:rPr>
        <w:t>-</w:t>
      </w:r>
      <w:r w:rsidRPr="000C7052">
        <w:rPr>
          <w:rFonts w:ascii="Times New Roman" w:eastAsia="Times New Roman" w:hAnsi="Times New Roman" w:cs="Times New Roman"/>
        </w:rPr>
        <w:t>methods analytical approach</w:t>
      </w:r>
      <w:r w:rsidR="00740DFC">
        <w:rPr>
          <w:rFonts w:ascii="Times New Roman" w:eastAsia="Times New Roman" w:hAnsi="Times New Roman" w:cs="Times New Roman"/>
        </w:rPr>
        <w:t>,</w:t>
      </w:r>
      <w:r w:rsidRPr="000C7052">
        <w:rPr>
          <w:rFonts w:ascii="Times New Roman" w:eastAsia="Times New Roman" w:hAnsi="Times New Roman" w:cs="Times New Roman"/>
        </w:rPr>
        <w:t xml:space="preserve"> examining existing data to investigate exponential versus linear effects of touchpoint mechanisms on rural practice commitment. The study analyzes survey data and program documentation from the ReConnect Gap Year Fellowship, which operates through the Area Health Education Center of Southwest Oregon in partnership with Aviva Health, a Federally Qualified Health Center. The fellowship provides gap-year opportunities for pre-health students to work as medical scribes or </w:t>
      </w:r>
      <w:r w:rsidR="00923557">
        <w:rPr>
          <w:rFonts w:ascii="Times New Roman" w:eastAsia="Times New Roman" w:hAnsi="Times New Roman" w:cs="Times New Roman"/>
        </w:rPr>
        <w:t>M</w:t>
      </w:r>
      <w:r w:rsidRPr="000C7052">
        <w:rPr>
          <w:rFonts w:ascii="Times New Roman" w:eastAsia="Times New Roman" w:hAnsi="Times New Roman" w:cs="Times New Roman"/>
        </w:rPr>
        <w:t xml:space="preserve">edical </w:t>
      </w:r>
      <w:r w:rsidR="00923557">
        <w:rPr>
          <w:rFonts w:ascii="Times New Roman" w:eastAsia="Times New Roman" w:hAnsi="Times New Roman" w:cs="Times New Roman"/>
        </w:rPr>
        <w:t>A</w:t>
      </w:r>
      <w:r w:rsidRPr="000C7052">
        <w:rPr>
          <w:rFonts w:ascii="Times New Roman" w:eastAsia="Times New Roman" w:hAnsi="Times New Roman" w:cs="Times New Roman"/>
        </w:rPr>
        <w:t xml:space="preserve">ssistants while engaging in structured mentorship and community integration activities in rural southwest Oregon. </w:t>
      </w:r>
      <w:r w:rsidR="00E61BCD" w:rsidRPr="00E61BCD">
        <w:rPr>
          <w:rFonts w:ascii="Times New Roman" w:eastAsia="Times New Roman" w:hAnsi="Times New Roman" w:cs="Times New Roman"/>
        </w:rPr>
        <w:t>This approach enables testing of exponential impact patterns using survey data collected from program participants while ensuring practical applicability to real-world program optimization.</w:t>
      </w:r>
      <w:r w:rsidR="00E61BCD">
        <w:rPr>
          <w:rFonts w:ascii="Times New Roman" w:eastAsia="Times New Roman" w:hAnsi="Times New Roman" w:cs="Times New Roman"/>
        </w:rPr>
        <w:t xml:space="preserve"> </w:t>
      </w:r>
      <w:r w:rsidRPr="000C7052">
        <w:rPr>
          <w:rFonts w:ascii="Times New Roman" w:eastAsia="Times New Roman" w:hAnsi="Times New Roman" w:cs="Times New Roman"/>
        </w:rPr>
        <w:t xml:space="preserve">The study received Institutional Review Board approval from Hawai'i Pacific University (Protocol #5604202536, approved June 20, 2025) as an expedited review for </w:t>
      </w:r>
      <w:r w:rsidR="00DF28CE">
        <w:rPr>
          <w:rFonts w:ascii="Times New Roman" w:eastAsia="Times New Roman" w:hAnsi="Times New Roman" w:cs="Times New Roman"/>
        </w:rPr>
        <w:t xml:space="preserve">survey </w:t>
      </w:r>
      <w:r w:rsidR="00DF28CE" w:rsidRPr="00DF28CE">
        <w:rPr>
          <w:rFonts w:ascii="Times New Roman" w:eastAsia="Times New Roman" w:hAnsi="Times New Roman" w:cs="Times New Roman"/>
        </w:rPr>
        <w:t>data collection and analysis with procedures ensuring participant confidentiality.</w:t>
      </w:r>
    </w:p>
    <w:p w14:paraId="086A710B" w14:textId="77777777"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t>Setting and Context</w:t>
      </w:r>
    </w:p>
    <w:p w14:paraId="767F5B74" w14:textId="1E57E3C9" w:rsidR="000C7052" w:rsidRPr="000C7052" w:rsidRDefault="000C7052" w:rsidP="00824419">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The study setting encompasses Roseburg, Oregon</w:t>
      </w:r>
      <w:r w:rsidR="00E9574E">
        <w:rPr>
          <w:rFonts w:ascii="Times New Roman" w:eastAsia="Times New Roman" w:hAnsi="Times New Roman" w:cs="Times New Roman"/>
        </w:rPr>
        <w:t>,</w:t>
      </w:r>
      <w:r w:rsidRPr="000C7052">
        <w:rPr>
          <w:rFonts w:ascii="Times New Roman" w:eastAsia="Times New Roman" w:hAnsi="Times New Roman" w:cs="Times New Roman"/>
        </w:rPr>
        <w:t xml:space="preserve"> and surrounding communities, classified as rural using Rural-Urban Commuting Area (RUCA) codes 4-10, indicating populations under 50,000 with limited metropolitan access. This authentic rural context provides critical validity for examining workforce development mechanisms, as participants experience the actual challenges and rewards of rural healthcare delivery rather than simulated or short-term exposures. The geographic isolation, resource constraints, and tight-knit community characteristics typical of RUCA 4-10 areas create the environmental conditions necessary for investigating how touchpoints influence career intentions.</w:t>
      </w:r>
    </w:p>
    <w:p w14:paraId="0EE474A5" w14:textId="77777777"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lastRenderedPageBreak/>
        <w:t>Participants and Data Sources</w:t>
      </w:r>
    </w:p>
    <w:p w14:paraId="6D5B8906" w14:textId="283251BE" w:rsidR="000C7052" w:rsidRPr="000C7052" w:rsidRDefault="000C7052" w:rsidP="00824419">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Analysis included survey responses from 20 ReConnect Fellowship participants representing program cohorts from 2017</w:t>
      </w:r>
      <w:r w:rsidR="00325AE6">
        <w:rPr>
          <w:rFonts w:ascii="Times New Roman" w:eastAsia="Times New Roman" w:hAnsi="Times New Roman" w:cs="Times New Roman"/>
        </w:rPr>
        <w:t xml:space="preserve"> to </w:t>
      </w:r>
      <w:r w:rsidRPr="000C7052">
        <w:rPr>
          <w:rFonts w:ascii="Times New Roman" w:eastAsia="Times New Roman" w:hAnsi="Times New Roman" w:cs="Times New Roman"/>
        </w:rPr>
        <w:t>2024. Participants averaged 54.0% lifetime rural residence, providing a mix of rural-origin and urban-origin perspectives. The sample included individuals at various career stages: current fellows, medical school students, residents, and practicing physicians, enabling examination of both immediate and sustained program effects. Survey</w:t>
      </w:r>
      <w:r w:rsidR="002B2723">
        <w:rPr>
          <w:rFonts w:ascii="Times New Roman" w:eastAsia="Times New Roman" w:hAnsi="Times New Roman" w:cs="Times New Roman"/>
        </w:rPr>
        <w:t>s</w:t>
      </w:r>
      <w:r w:rsidRPr="000C7052">
        <w:rPr>
          <w:rFonts w:ascii="Times New Roman" w:eastAsia="Times New Roman" w:hAnsi="Times New Roman" w:cs="Times New Roman"/>
        </w:rPr>
        <w:t xml:space="preserve"> included Likert-scale responses measuring rural practice commitment (1-10 scale), touchpoint frequency counts, quality ratings, and transformative experience indicators. Program documentation provided contextual data about fellowship structure, participant demographics, and activity participation patterns.</w:t>
      </w:r>
    </w:p>
    <w:p w14:paraId="6BA49606" w14:textId="77777777"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t>Measures and Variables</w:t>
      </w:r>
    </w:p>
    <w:p w14:paraId="241C6548" w14:textId="1BBDD337" w:rsidR="000C7052" w:rsidRPr="000C7052" w:rsidRDefault="000C7052" w:rsidP="00176D34">
      <w:pPr>
        <w:pStyle w:val="NoSpacing"/>
        <w:spacing w:line="480" w:lineRule="auto"/>
        <w:rPr>
          <w:rFonts w:ascii="Times New Roman" w:eastAsia="Times New Roman" w:hAnsi="Times New Roman" w:cs="Times New Roman"/>
        </w:rPr>
      </w:pPr>
      <w:r w:rsidRPr="000C7052">
        <w:rPr>
          <w:rFonts w:ascii="Times New Roman" w:eastAsia="Times New Roman" w:hAnsi="Times New Roman" w:cs="Times New Roman"/>
          <w:i/>
          <w:iCs/>
        </w:rPr>
        <w:t>Dependent Variable:</w:t>
      </w:r>
      <w:r w:rsidRPr="000C7052">
        <w:rPr>
          <w:rFonts w:ascii="Times New Roman" w:eastAsia="Times New Roman" w:hAnsi="Times New Roman" w:cs="Times New Roman"/>
        </w:rPr>
        <w:t xml:space="preserve"> Rural practice commitment measured through a composite score combining likelihood of rural practice (1-10), confidence in rural career success (1-10), and ability to envision rural practice (1-10), creating a 3-30 scale with </w:t>
      </w:r>
      <w:r w:rsidR="006744A4" w:rsidRPr="006744A4">
        <w:rPr>
          <w:rFonts w:ascii="Times New Roman" w:eastAsia="Times New Roman" w:hAnsi="Times New Roman" w:cs="Times New Roman"/>
        </w:rPr>
        <w:t>proven</w:t>
      </w:r>
      <w:r w:rsidRPr="000C7052">
        <w:rPr>
          <w:rFonts w:ascii="Times New Roman" w:eastAsia="Times New Roman" w:hAnsi="Times New Roman" w:cs="Times New Roman"/>
        </w:rPr>
        <w:t xml:space="preserve"> internal consistency (α = 0.87).</w:t>
      </w:r>
    </w:p>
    <w:p w14:paraId="706653CB" w14:textId="77777777" w:rsidR="000C7052" w:rsidRPr="000C7052" w:rsidRDefault="000C7052" w:rsidP="00176D34">
      <w:pPr>
        <w:pStyle w:val="NoSpacing"/>
        <w:spacing w:line="480" w:lineRule="auto"/>
        <w:rPr>
          <w:rFonts w:ascii="Times New Roman" w:eastAsia="Times New Roman" w:hAnsi="Times New Roman" w:cs="Times New Roman"/>
        </w:rPr>
      </w:pPr>
      <w:r w:rsidRPr="000C7052">
        <w:rPr>
          <w:rFonts w:ascii="Times New Roman" w:eastAsia="Times New Roman" w:hAnsi="Times New Roman" w:cs="Times New Roman"/>
          <w:i/>
          <w:iCs/>
        </w:rPr>
        <w:t>Independent Variables:</w:t>
      </w:r>
      <w:r w:rsidRPr="000C7052">
        <w:rPr>
          <w:rFonts w:ascii="Times New Roman" w:eastAsia="Times New Roman" w:hAnsi="Times New Roman" w:cs="Times New Roman"/>
        </w:rPr>
        <w:t xml:space="preserve"> Touchpoint frequency measured total meaningful interactions within each leverage point (clinical experiences, mentorship relationships, community integration). Touchpoint quality assessed using participant ratings (1-10 scale) of impact and memorability. Transformative indicators included aha moments (binary), pattern recognition experiences (frequency), and lasting change perceptions (1-10 scale).</w:t>
      </w:r>
    </w:p>
    <w:p w14:paraId="20A98E61" w14:textId="7A0E58FB" w:rsidR="000C7052" w:rsidRPr="000C7052" w:rsidRDefault="000C7052" w:rsidP="00176D34">
      <w:pPr>
        <w:pStyle w:val="NoSpacing"/>
        <w:spacing w:line="480" w:lineRule="auto"/>
        <w:rPr>
          <w:rFonts w:ascii="Times New Roman" w:eastAsia="Times New Roman" w:hAnsi="Times New Roman" w:cs="Times New Roman"/>
        </w:rPr>
      </w:pPr>
      <w:r w:rsidRPr="000C7052">
        <w:rPr>
          <w:rFonts w:ascii="Times New Roman" w:eastAsia="Times New Roman" w:hAnsi="Times New Roman" w:cs="Times New Roman"/>
          <w:i/>
          <w:iCs/>
        </w:rPr>
        <w:t>Moderating Variables:</w:t>
      </w:r>
      <w:r w:rsidRPr="000C7052">
        <w:rPr>
          <w:rFonts w:ascii="Times New Roman" w:eastAsia="Times New Roman" w:hAnsi="Times New Roman" w:cs="Times New Roman"/>
        </w:rPr>
        <w:t xml:space="preserve"> Participant characteristics</w:t>
      </w:r>
      <w:r w:rsidR="0091240B">
        <w:rPr>
          <w:rFonts w:ascii="Times New Roman" w:eastAsia="Times New Roman" w:hAnsi="Times New Roman" w:cs="Times New Roman"/>
        </w:rPr>
        <w:t>,</w:t>
      </w:r>
      <w:r w:rsidRPr="000C7052">
        <w:rPr>
          <w:rFonts w:ascii="Times New Roman" w:eastAsia="Times New Roman" w:hAnsi="Times New Roman" w:cs="Times New Roman"/>
        </w:rPr>
        <w:t xml:space="preserve"> including percentage of life in rural areas, career stage, and baseline rural practice intentions</w:t>
      </w:r>
      <w:r w:rsidR="0091240B">
        <w:rPr>
          <w:rFonts w:ascii="Times New Roman" w:eastAsia="Times New Roman" w:hAnsi="Times New Roman" w:cs="Times New Roman"/>
        </w:rPr>
        <w:t>,</w:t>
      </w:r>
      <w:r w:rsidRPr="000C7052">
        <w:rPr>
          <w:rFonts w:ascii="Times New Roman" w:eastAsia="Times New Roman" w:hAnsi="Times New Roman" w:cs="Times New Roman"/>
        </w:rPr>
        <w:t xml:space="preserve"> enabled stratified analysis and control for selection effects.</w:t>
      </w:r>
    </w:p>
    <w:p w14:paraId="75C195A6" w14:textId="77777777" w:rsidR="00C36635" w:rsidRDefault="00C36635" w:rsidP="000C7052">
      <w:pPr>
        <w:pStyle w:val="NoSpacing"/>
        <w:spacing w:line="480" w:lineRule="auto"/>
        <w:rPr>
          <w:rFonts w:ascii="Times New Roman" w:eastAsia="Times New Roman" w:hAnsi="Times New Roman" w:cs="Times New Roman"/>
          <w:b/>
          <w:bCs/>
        </w:rPr>
      </w:pPr>
    </w:p>
    <w:p w14:paraId="23C7EDFD" w14:textId="33A90214"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lastRenderedPageBreak/>
        <w:t>Statistical Analysis Plan</w:t>
      </w:r>
    </w:p>
    <w:p w14:paraId="0C76D85A" w14:textId="6319BA24" w:rsidR="003A5839" w:rsidRDefault="000C7052" w:rsidP="003A5839">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 xml:space="preserve">Analysis followed a systematic approach comparing linear and polynomial regression models to detect exponential patterns. </w:t>
      </w:r>
      <w:r w:rsidR="00C02B2E" w:rsidRPr="00C02B2E">
        <w:rPr>
          <w:rFonts w:ascii="Times New Roman" w:eastAsia="Times New Roman" w:hAnsi="Times New Roman" w:cs="Times New Roman"/>
        </w:rPr>
        <w:t>Power analysis with n=20 indicated limited statistical power, with adequate power (&gt;0.80) only for detecting very large effects (f² &gt; 0.35), constraining our ability to detect subtle patterns or medium-sized effects</w:t>
      </w:r>
      <w:r w:rsidRPr="000C7052">
        <w:rPr>
          <w:rFonts w:ascii="Times New Roman" w:eastAsia="Times New Roman" w:hAnsi="Times New Roman" w:cs="Times New Roman"/>
        </w:rPr>
        <w:t xml:space="preserve">. Linear regression established baseline relationships between touchpoint frequency and rural commitment. Polynomial regression (second and third-degree) tested for non-linear patterns, with model comparison using R² change and F-tests for significance. Threshold analysis employed changepoint detection algorithms to identify critical inflection points where effects transitioned from linear to exponential. Effect sizes were calculated using Cohen's f² with established interpretations (small = 0.02, medium = 0.15, large = 0.35). Interaction analysis examined quality-frequency relationships through moderated regression. Synergy effects were assessed by comparing combined touchpoint models against additive predictions. </w:t>
      </w:r>
      <w:r w:rsidR="00DA4B14" w:rsidRPr="00DA4B14">
        <w:rPr>
          <w:rFonts w:ascii="Times New Roman" w:eastAsia="Times New Roman" w:hAnsi="Times New Roman" w:cs="Times New Roman"/>
        </w:rPr>
        <w:t xml:space="preserve">Bootstrap validation procedures employed resampling with replacement across 1,000 iterations to evaluate the stability of key findings given the small sample size (n=20). For each bootstrap sample, polynomial and linear models were compared, threshold detection algorithms were applied, and effect sizes were calculated. Bootstrap confidence intervals were constructed using the bias-corrected and accelerated (BCa) method to account for potential bias and skewness in the sampling distribution, following Efron and Tibshirani's (1986, 1993) recommendations. </w:t>
      </w:r>
      <w:r w:rsidR="003432AF" w:rsidRPr="003432AF">
        <w:rPr>
          <w:rFonts w:ascii="Times New Roman" w:eastAsia="Times New Roman" w:hAnsi="Times New Roman" w:cs="Times New Roman"/>
        </w:rPr>
        <w:t>This approach aimed to assess pattern stability within the constraints of our limited sample size</w:t>
      </w:r>
      <w:r w:rsidR="00DA4B14" w:rsidRPr="00DA4B14">
        <w:rPr>
          <w:rFonts w:ascii="Times New Roman" w:eastAsia="Times New Roman" w:hAnsi="Times New Roman" w:cs="Times New Roman"/>
        </w:rPr>
        <w:t>.</w:t>
      </w:r>
    </w:p>
    <w:p w14:paraId="55A8FA8B" w14:textId="3AA0C44E" w:rsidR="00CA3F89" w:rsidRDefault="00CA3F89" w:rsidP="00AF0395">
      <w:pPr>
        <w:pStyle w:val="NoSpacing"/>
        <w:spacing w:line="480" w:lineRule="auto"/>
        <w:ind w:firstLine="720"/>
        <w:rPr>
          <w:rFonts w:ascii="Times New Roman" w:eastAsia="Times New Roman" w:hAnsi="Times New Roman" w:cs="Times New Roman"/>
        </w:rPr>
      </w:pPr>
      <w:r w:rsidRPr="00CA3F89">
        <w:rPr>
          <w:rFonts w:ascii="Times New Roman" w:eastAsia="Times New Roman" w:hAnsi="Times New Roman" w:cs="Times New Roman"/>
        </w:rPr>
        <w:t xml:space="preserve">Statistical analyses employed R statistical software (version 4.3.2) with the following packages: base R for regression analyses, changepoint for threshold detection, and boot for bootstrap validation. Initial exploratory pattern identification utilized Manus AI (Manus team, </w:t>
      </w:r>
      <w:r w:rsidRPr="00CA3F89">
        <w:rPr>
          <w:rFonts w:ascii="Times New Roman" w:eastAsia="Times New Roman" w:hAnsi="Times New Roman" w:cs="Times New Roman"/>
        </w:rPr>
        <w:lastRenderedPageBreak/>
        <w:t xml:space="preserve">2025) to generate hypotheses about potential non-linear relationships. All AI-generated insights were </w:t>
      </w:r>
      <w:r w:rsidR="006F691D">
        <w:rPr>
          <w:rFonts w:ascii="Times New Roman" w:eastAsia="Times New Roman" w:hAnsi="Times New Roman" w:cs="Times New Roman"/>
        </w:rPr>
        <w:t>then</w:t>
      </w:r>
      <w:r w:rsidRPr="00CA3F89">
        <w:rPr>
          <w:rFonts w:ascii="Times New Roman" w:eastAsia="Times New Roman" w:hAnsi="Times New Roman" w:cs="Times New Roman"/>
        </w:rPr>
        <w:t xml:space="preserve"> verified through independent statistical analysis in R. The complete R code reproducing all reported statistics, including model comparisons (R² values), effect sizes (Cohen's d and f²), and bootstrap confidence intervals, is provided in </w:t>
      </w:r>
      <w:r w:rsidR="00F34194">
        <w:rPr>
          <w:rFonts w:ascii="Times New Roman" w:eastAsia="Times New Roman" w:hAnsi="Times New Roman" w:cs="Times New Roman"/>
        </w:rPr>
        <w:t xml:space="preserve">the </w:t>
      </w:r>
      <w:r w:rsidRPr="00CA3F89">
        <w:rPr>
          <w:rFonts w:ascii="Times New Roman" w:eastAsia="Times New Roman" w:hAnsi="Times New Roman" w:cs="Times New Roman"/>
        </w:rPr>
        <w:t>Supplementary Materials to ensure reproducibility. No findings generated by AI were included without statistical verification.</w:t>
      </w:r>
    </w:p>
    <w:p w14:paraId="09F1A9C3" w14:textId="065E8FE5" w:rsidR="000C7052" w:rsidRPr="000C7052" w:rsidRDefault="000C7052" w:rsidP="007272C5">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t>Qualitative Analysis</w:t>
      </w:r>
    </w:p>
    <w:p w14:paraId="170A5AFC" w14:textId="77777777" w:rsidR="000C7052" w:rsidRPr="000C7052" w:rsidRDefault="000C7052" w:rsidP="00051121">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Thematic analysis of open-ended survey responses provided context for quantitative findings. Responses were coded for touchpoint descriptions, transformation narratives, and mechanism explanations. This qualitative data triangulated statistical patterns and illustrated the lived experience of exponential transformation.</w:t>
      </w:r>
    </w:p>
    <w:p w14:paraId="0351316B" w14:textId="77777777" w:rsidR="000C7052" w:rsidRPr="000C7052" w:rsidRDefault="000C7052" w:rsidP="000C7052">
      <w:pPr>
        <w:pStyle w:val="NoSpacing"/>
        <w:spacing w:line="480" w:lineRule="auto"/>
        <w:rPr>
          <w:rFonts w:ascii="Times New Roman" w:eastAsia="Times New Roman" w:hAnsi="Times New Roman" w:cs="Times New Roman"/>
          <w:b/>
          <w:bCs/>
        </w:rPr>
      </w:pPr>
      <w:r w:rsidRPr="000C7052">
        <w:rPr>
          <w:rFonts w:ascii="Times New Roman" w:eastAsia="Times New Roman" w:hAnsi="Times New Roman" w:cs="Times New Roman"/>
          <w:b/>
          <w:bCs/>
        </w:rPr>
        <w:t>Limitations and Validity Considerations</w:t>
      </w:r>
    </w:p>
    <w:p w14:paraId="767322BC" w14:textId="0EBE3CE9" w:rsidR="00637893" w:rsidRPr="00C47DDB" w:rsidRDefault="000C7052" w:rsidP="00E03EB1">
      <w:pPr>
        <w:pStyle w:val="NoSpacing"/>
        <w:spacing w:line="480" w:lineRule="auto"/>
        <w:ind w:firstLine="720"/>
        <w:rPr>
          <w:rFonts w:ascii="Times New Roman" w:eastAsia="Times New Roman" w:hAnsi="Times New Roman" w:cs="Times New Roman"/>
        </w:rPr>
      </w:pPr>
      <w:r w:rsidRPr="000C7052">
        <w:rPr>
          <w:rFonts w:ascii="Times New Roman" w:eastAsia="Times New Roman" w:hAnsi="Times New Roman" w:cs="Times New Roman"/>
        </w:rPr>
        <w:t xml:space="preserve">Several limitations warrant acknowledgment. </w:t>
      </w:r>
      <w:r w:rsidR="004D3CF1" w:rsidRPr="003A02E5">
        <w:rPr>
          <w:rFonts w:ascii="Times New Roman" w:eastAsia="Times New Roman" w:hAnsi="Times New Roman" w:cs="Times New Roman"/>
        </w:rPr>
        <w:t>The sample size of 20 participants, while adequate for detecting large effects (power &gt; 0.80 for f² &gt; 0.35), limits statistical power for identifying medium or small effects</w:t>
      </w:r>
      <w:r w:rsidR="004D3CF1">
        <w:rPr>
          <w:rFonts w:ascii="Times New Roman" w:eastAsia="Times New Roman" w:hAnsi="Times New Roman" w:cs="Times New Roman"/>
        </w:rPr>
        <w:t xml:space="preserve"> and </w:t>
      </w:r>
      <w:r w:rsidR="00615ABC" w:rsidRPr="00615ABC">
        <w:rPr>
          <w:rFonts w:ascii="Times New Roman" w:eastAsia="Times New Roman" w:hAnsi="Times New Roman" w:cs="Times New Roman"/>
        </w:rPr>
        <w:t>constrains detection of subtle patterns</w:t>
      </w:r>
      <w:r w:rsidR="004D3CF1" w:rsidRPr="003A02E5">
        <w:rPr>
          <w:rFonts w:ascii="Times New Roman" w:eastAsia="Times New Roman" w:hAnsi="Times New Roman" w:cs="Times New Roman"/>
        </w:rPr>
        <w:t xml:space="preserve">. </w:t>
      </w:r>
      <w:r w:rsidR="009F6A48" w:rsidRPr="009F6A48">
        <w:rPr>
          <w:rFonts w:ascii="Times New Roman" w:eastAsia="Times New Roman" w:hAnsi="Times New Roman" w:cs="Times New Roman"/>
        </w:rPr>
        <w:t xml:space="preserve">Bootstrap validation procedures helped assess pattern stability, though they cannot overcome the </w:t>
      </w:r>
      <w:r w:rsidR="0022071C" w:rsidRPr="0022071C">
        <w:rPr>
          <w:rFonts w:ascii="Times New Roman" w:eastAsia="Times New Roman" w:hAnsi="Times New Roman" w:cs="Times New Roman"/>
        </w:rPr>
        <w:t>basic</w:t>
      </w:r>
      <w:r w:rsidR="009F6A48" w:rsidRPr="009F6A48">
        <w:rPr>
          <w:rFonts w:ascii="Times New Roman" w:eastAsia="Times New Roman" w:hAnsi="Times New Roman" w:cs="Times New Roman"/>
        </w:rPr>
        <w:t xml:space="preserve"> limitations of a small sample size. The large effect sizes observed may partly reflect sampling variability rather than true population effects.</w:t>
      </w:r>
      <w:r w:rsidR="00E03EB1">
        <w:rPr>
          <w:rFonts w:ascii="Times New Roman" w:eastAsia="Times New Roman" w:hAnsi="Times New Roman" w:cs="Times New Roman"/>
        </w:rPr>
        <w:t xml:space="preserve"> Additionally, s</w:t>
      </w:r>
      <w:r w:rsidRPr="000C7052">
        <w:rPr>
          <w:rFonts w:ascii="Times New Roman" w:eastAsia="Times New Roman" w:hAnsi="Times New Roman" w:cs="Times New Roman"/>
        </w:rPr>
        <w:t xml:space="preserve">elf-selection into the fellowship may create baseline differences from general pre-health populations. Retrospective assessment of experiences introduces potential recall bias. The specific rural Oregon context requires careful consideration when generalizing to other settings. Despite limitations, the mixed methods approach, theoretical grounding, and systematic analysis provide </w:t>
      </w:r>
      <w:r w:rsidR="00706554" w:rsidRPr="00706554">
        <w:rPr>
          <w:rFonts w:ascii="Times New Roman" w:eastAsia="Times New Roman" w:hAnsi="Times New Roman" w:cs="Times New Roman"/>
        </w:rPr>
        <w:t>preliminary insights</w:t>
      </w:r>
      <w:r w:rsidR="00706554">
        <w:rPr>
          <w:rFonts w:ascii="Times New Roman" w:eastAsia="Times New Roman" w:hAnsi="Times New Roman" w:cs="Times New Roman"/>
        </w:rPr>
        <w:t xml:space="preserve"> </w:t>
      </w:r>
      <w:r w:rsidRPr="000C7052">
        <w:rPr>
          <w:rFonts w:ascii="Times New Roman" w:eastAsia="Times New Roman" w:hAnsi="Times New Roman" w:cs="Times New Roman"/>
        </w:rPr>
        <w:t xml:space="preserve">into exponential touchpoint mechanisms. </w:t>
      </w:r>
    </w:p>
    <w:p w14:paraId="372E9AB8" w14:textId="77777777" w:rsidR="00740C9A" w:rsidRPr="007E0A56" w:rsidRDefault="00740C9A" w:rsidP="007E0A56">
      <w:pPr>
        <w:pStyle w:val="NoSpacing"/>
        <w:spacing w:line="480" w:lineRule="auto"/>
        <w:jc w:val="center"/>
        <w:rPr>
          <w:rFonts w:ascii="Times New Roman" w:eastAsia="Times New Roman" w:hAnsi="Times New Roman" w:cs="Times New Roman"/>
          <w:b/>
          <w:bCs/>
        </w:rPr>
      </w:pPr>
      <w:r w:rsidRPr="007E0A56">
        <w:rPr>
          <w:rFonts w:ascii="Times New Roman" w:eastAsia="Times New Roman" w:hAnsi="Times New Roman" w:cs="Times New Roman"/>
          <w:b/>
          <w:bCs/>
        </w:rPr>
        <w:lastRenderedPageBreak/>
        <w:t>Results</w:t>
      </w:r>
    </w:p>
    <w:p w14:paraId="11F247FC" w14:textId="77777777" w:rsidR="00740C9A" w:rsidRPr="007E0A56" w:rsidRDefault="00740C9A" w:rsidP="00394FA8">
      <w:pPr>
        <w:pStyle w:val="NoSpacing"/>
        <w:spacing w:line="480" w:lineRule="auto"/>
        <w:rPr>
          <w:rFonts w:ascii="Times New Roman" w:eastAsia="Times New Roman" w:hAnsi="Times New Roman" w:cs="Times New Roman"/>
          <w:b/>
          <w:bCs/>
        </w:rPr>
      </w:pPr>
      <w:r w:rsidRPr="007E0A56">
        <w:rPr>
          <w:rFonts w:ascii="Times New Roman" w:eastAsia="Times New Roman" w:hAnsi="Times New Roman" w:cs="Times New Roman"/>
          <w:b/>
          <w:bCs/>
        </w:rPr>
        <w:t>Sample Characteristics</w:t>
      </w:r>
    </w:p>
    <w:p w14:paraId="15B0FA25" w14:textId="6A46F403" w:rsidR="00E9495D" w:rsidRDefault="009D1089" w:rsidP="00E9495D">
      <w:pPr>
        <w:pStyle w:val="NoSpacing"/>
        <w:spacing w:line="480" w:lineRule="auto"/>
        <w:ind w:firstLine="720"/>
        <w:rPr>
          <w:rFonts w:ascii="Times New Roman" w:eastAsia="Times New Roman" w:hAnsi="Times New Roman" w:cs="Times New Roman"/>
          <w:kern w:val="0"/>
          <w14:ligatures w14:val="none"/>
        </w:rPr>
      </w:pPr>
      <w:r w:rsidRPr="009D1089">
        <w:rPr>
          <w:rFonts w:ascii="Times New Roman" w:eastAsia="Times New Roman" w:hAnsi="Times New Roman" w:cs="Times New Roman"/>
          <w:kern w:val="0"/>
          <w14:ligatures w14:val="none"/>
        </w:rPr>
        <w:t xml:space="preserve">The analyzed sample (n=20) </w:t>
      </w:r>
      <w:r w:rsidR="006A789B">
        <w:rPr>
          <w:rFonts w:ascii="Times New Roman" w:eastAsia="Times New Roman" w:hAnsi="Times New Roman" w:cs="Times New Roman"/>
          <w:kern w:val="0"/>
          <w14:ligatures w14:val="none"/>
        </w:rPr>
        <w:t>showed</w:t>
      </w:r>
      <w:r w:rsidRPr="009D1089">
        <w:rPr>
          <w:rFonts w:ascii="Times New Roman" w:eastAsia="Times New Roman" w:hAnsi="Times New Roman" w:cs="Times New Roman"/>
          <w:kern w:val="0"/>
          <w14:ligatures w14:val="none"/>
        </w:rPr>
        <w:t xml:space="preserve"> diverse backgrounds with </w:t>
      </w:r>
      <w:r w:rsidR="006A789B">
        <w:rPr>
          <w:rFonts w:ascii="Times New Roman" w:eastAsia="Times New Roman" w:hAnsi="Times New Roman" w:cs="Times New Roman"/>
          <w:kern w:val="0"/>
          <w14:ligatures w14:val="none"/>
        </w:rPr>
        <w:t>considerable</w:t>
      </w:r>
      <w:r w:rsidRPr="009D1089">
        <w:rPr>
          <w:rFonts w:ascii="Times New Roman" w:eastAsia="Times New Roman" w:hAnsi="Times New Roman" w:cs="Times New Roman"/>
          <w:kern w:val="0"/>
          <w14:ligatures w14:val="none"/>
        </w:rPr>
        <w:t xml:space="preserve"> rural experience</w:t>
      </w:r>
      <w:r w:rsidR="00E9495D" w:rsidRPr="00E9495D">
        <w:rPr>
          <w:rFonts w:ascii="Times New Roman" w:eastAsia="Times New Roman" w:hAnsi="Times New Roman" w:cs="Times New Roman"/>
          <w:kern w:val="0"/>
          <w14:ligatures w14:val="none"/>
        </w:rPr>
        <w:t>. Participants represented various career stages: current fellows (30%), medical students (25%), residents (20%), and practicing physicians (25%). Initial rural practice intentions varied widely (M = 5.8, SD = 2.3, range 2-10), providing sufficient variance for examining transformation patterns</w:t>
      </w:r>
      <w:r w:rsidR="007661D0">
        <w:rPr>
          <w:rFonts w:ascii="Times New Roman" w:eastAsia="Times New Roman" w:hAnsi="Times New Roman" w:cs="Times New Roman"/>
          <w:kern w:val="0"/>
          <w14:ligatures w14:val="none"/>
        </w:rPr>
        <w:t xml:space="preserve"> </w:t>
      </w:r>
      <w:r w:rsidR="007661D0">
        <w:rPr>
          <w:rFonts w:ascii="Times New Roman" w:eastAsia="Times New Roman" w:hAnsi="Times New Roman" w:cs="Times New Roman"/>
          <w:kern w:val="0"/>
          <w14:ligatures w14:val="none"/>
        </w:rPr>
        <w:t>(Table 1)</w:t>
      </w:r>
      <w:r w:rsidR="007661D0" w:rsidRPr="00E9495D">
        <w:rPr>
          <w:rFonts w:ascii="Times New Roman" w:eastAsia="Times New Roman" w:hAnsi="Times New Roman" w:cs="Times New Roman"/>
          <w:kern w:val="0"/>
          <w14:ligatures w14:val="none"/>
        </w:rPr>
        <w:t>.</w:t>
      </w:r>
    </w:p>
    <w:p w14:paraId="0C90D67C" w14:textId="6BFAF5B4" w:rsidR="00E95487" w:rsidRPr="00656607" w:rsidRDefault="00DD0D08" w:rsidP="00E95487">
      <w:pPr>
        <w:pStyle w:val="NoSpacing"/>
        <w:spacing w:line="480" w:lineRule="auto"/>
        <w:rPr>
          <w:rFonts w:ascii="Times New Roman" w:eastAsia="Times New Roman" w:hAnsi="Times New Roman" w:cs="Times New Roman"/>
          <w:b/>
          <w:bCs/>
          <w:kern w:val="0"/>
          <w14:ligatures w14:val="none"/>
        </w:rPr>
      </w:pPr>
      <w:r w:rsidRPr="00656607">
        <w:rPr>
          <w:rFonts w:ascii="Times New Roman" w:eastAsia="Times New Roman" w:hAnsi="Times New Roman" w:cs="Times New Roman"/>
          <w:b/>
          <w:bCs/>
          <w:kern w:val="0"/>
          <w14:ligatures w14:val="none"/>
        </w:rPr>
        <w:t>Table 1</w:t>
      </w:r>
    </w:p>
    <w:p w14:paraId="3A816945" w14:textId="4A1D1162" w:rsidR="00453C86" w:rsidRPr="00C230E5" w:rsidRDefault="00C230E5" w:rsidP="00E95487">
      <w:pPr>
        <w:pStyle w:val="NoSpacing"/>
        <w:spacing w:line="480" w:lineRule="auto"/>
        <w:rPr>
          <w:rFonts w:ascii="Times New Roman" w:eastAsia="Times New Roman" w:hAnsi="Times New Roman" w:cs="Times New Roman"/>
          <w:i/>
          <w:iCs/>
          <w:kern w:val="0"/>
          <w14:ligatures w14:val="none"/>
        </w:rPr>
      </w:pPr>
      <w:r w:rsidRPr="00C230E5">
        <w:rPr>
          <w:rFonts w:ascii="Times New Roman" w:eastAsia="Times New Roman" w:hAnsi="Times New Roman" w:cs="Times New Roman"/>
          <w:i/>
          <w:iCs/>
          <w:kern w:val="0"/>
          <w14:ligatures w14:val="none"/>
        </w:rPr>
        <w:t>Exponential Effect Parameters and Resource Allocation Recommendations</w:t>
      </w:r>
    </w:p>
    <w:p w14:paraId="41DAFE96" w14:textId="157AA72E" w:rsidR="00DD0D08" w:rsidRDefault="00284879" w:rsidP="00B5201A">
      <w:pPr>
        <w:pStyle w:val="NoSpacing"/>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D6C4211" wp14:editId="37CCF28C">
            <wp:extent cx="5995917" cy="4899448"/>
            <wp:effectExtent l="0" t="0" r="0" b="3175"/>
            <wp:docPr id="2113254982" name="Picture 2"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54982" name="Picture 2" descr="A black and white table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1770" cy="4953259"/>
                    </a:xfrm>
                    <a:prstGeom prst="rect">
                      <a:avLst/>
                    </a:prstGeom>
                  </pic:spPr>
                </pic:pic>
              </a:graphicData>
            </a:graphic>
          </wp:inline>
        </w:drawing>
      </w:r>
    </w:p>
    <w:p w14:paraId="26184F69" w14:textId="1B6E53D6" w:rsidR="00E02DAA" w:rsidRPr="00394FA8" w:rsidRDefault="00E02DAA" w:rsidP="00B5201A">
      <w:pPr>
        <w:pStyle w:val="NoSpacing"/>
        <w:spacing w:line="480" w:lineRule="auto"/>
        <w:rPr>
          <w:rFonts w:ascii="Times New Roman" w:eastAsia="Times New Roman" w:hAnsi="Times New Roman" w:cs="Times New Roman"/>
          <w:kern w:val="0"/>
          <w14:ligatures w14:val="none"/>
        </w:rPr>
      </w:pPr>
      <w:r w:rsidRPr="00E02DAA">
        <w:rPr>
          <w:rFonts w:ascii="Times New Roman" w:eastAsia="Times New Roman" w:hAnsi="Times New Roman" w:cs="Times New Roman"/>
          <w:i/>
          <w:iCs/>
          <w:kern w:val="0"/>
          <w14:ligatures w14:val="none"/>
        </w:rPr>
        <w:lastRenderedPageBreak/>
        <w:t>Note:</w:t>
      </w:r>
      <w:r>
        <w:rPr>
          <w:rFonts w:ascii="Times New Roman" w:eastAsia="Times New Roman" w:hAnsi="Times New Roman" w:cs="Times New Roman"/>
          <w:kern w:val="0"/>
          <w14:ligatures w14:val="none"/>
        </w:rPr>
        <w:t xml:space="preserve"> </w:t>
      </w:r>
      <w:r w:rsidRPr="00E02DAA">
        <w:rPr>
          <w:rFonts w:ascii="Times New Roman" w:eastAsia="Times New Roman" w:hAnsi="Times New Roman" w:cs="Times New Roman"/>
          <w:kern w:val="0"/>
          <w14:ligatures w14:val="none"/>
        </w:rPr>
        <w:t>Effect size interpretations: f² &gt; 0.35 = large, 0.15-0.35 = medium, 0.02-0.15 = small (Cohen, 1988).</w:t>
      </w:r>
      <w:r w:rsidR="00B5201A">
        <w:rPr>
          <w:rFonts w:ascii="Times New Roman" w:eastAsia="Times New Roman" w:hAnsi="Times New Roman" w:cs="Times New Roman"/>
          <w:kern w:val="0"/>
          <w14:ligatures w14:val="none"/>
        </w:rPr>
        <w:t xml:space="preserve"> ***</w:t>
      </w:r>
      <w:r w:rsidR="00B5201A" w:rsidRPr="00E02DAA">
        <w:rPr>
          <w:rFonts w:ascii="Times New Roman" w:eastAsia="Times New Roman" w:hAnsi="Times New Roman" w:cs="Times New Roman"/>
          <w:kern w:val="0"/>
          <w14:ligatures w14:val="none"/>
        </w:rPr>
        <w:t>p &lt; 0.001.</w:t>
      </w:r>
    </w:p>
    <w:p w14:paraId="6741C267" w14:textId="77777777" w:rsidR="00740C9A" w:rsidRPr="007E0A56" w:rsidRDefault="00740C9A" w:rsidP="00394FA8">
      <w:pPr>
        <w:pStyle w:val="NoSpacing"/>
        <w:spacing w:line="480" w:lineRule="auto"/>
        <w:rPr>
          <w:rFonts w:ascii="Times New Roman" w:eastAsia="Times New Roman" w:hAnsi="Times New Roman" w:cs="Times New Roman"/>
          <w:b/>
          <w:bCs/>
        </w:rPr>
      </w:pPr>
      <w:r w:rsidRPr="007E0A56">
        <w:rPr>
          <w:rFonts w:ascii="Times New Roman" w:eastAsia="Times New Roman" w:hAnsi="Times New Roman" w:cs="Times New Roman"/>
          <w:b/>
          <w:bCs/>
        </w:rPr>
        <w:t>Exponential Effects Analysis</w:t>
      </w:r>
    </w:p>
    <w:p w14:paraId="60CBDF94" w14:textId="29FB3E6C" w:rsidR="00740C9A" w:rsidRPr="00261CC2" w:rsidRDefault="00740C9A" w:rsidP="00394FA8">
      <w:pPr>
        <w:pStyle w:val="NoSpacing"/>
        <w:spacing w:line="480" w:lineRule="auto"/>
        <w:rPr>
          <w:rFonts w:ascii="Times New Roman" w:eastAsia="Times New Roman" w:hAnsi="Times New Roman" w:cs="Times New Roman"/>
          <w:b/>
          <w:bCs/>
          <w:i/>
          <w:iCs/>
        </w:rPr>
      </w:pPr>
      <w:r w:rsidRPr="00261CC2">
        <w:rPr>
          <w:rFonts w:ascii="Times New Roman" w:eastAsia="Times New Roman" w:hAnsi="Times New Roman" w:cs="Times New Roman"/>
          <w:b/>
          <w:bCs/>
          <w:i/>
          <w:iCs/>
        </w:rPr>
        <w:t xml:space="preserve">Exponential </w:t>
      </w:r>
      <w:r w:rsidR="00C20437">
        <w:rPr>
          <w:rFonts w:ascii="Times New Roman" w:eastAsia="Times New Roman" w:hAnsi="Times New Roman" w:cs="Times New Roman"/>
          <w:b/>
          <w:bCs/>
          <w:i/>
          <w:iCs/>
        </w:rPr>
        <w:t xml:space="preserve">Versus </w:t>
      </w:r>
      <w:r w:rsidR="004C70EC">
        <w:rPr>
          <w:rFonts w:ascii="Times New Roman" w:eastAsia="Times New Roman" w:hAnsi="Times New Roman" w:cs="Times New Roman"/>
          <w:b/>
          <w:bCs/>
          <w:i/>
          <w:iCs/>
        </w:rPr>
        <w:t>Linear Effects</w:t>
      </w:r>
    </w:p>
    <w:p w14:paraId="7364B4B2" w14:textId="34555308" w:rsidR="003116D2" w:rsidRDefault="003116D2" w:rsidP="00151716">
      <w:pPr>
        <w:pStyle w:val="NoSpacing"/>
        <w:spacing w:line="480" w:lineRule="auto"/>
        <w:rPr>
          <w:rFonts w:ascii="Times New Roman" w:eastAsia="Times New Roman" w:hAnsi="Times New Roman" w:cs="Times New Roman"/>
          <w:kern w:val="0"/>
          <w14:ligatures w14:val="none"/>
        </w:rPr>
      </w:pPr>
      <w:r w:rsidRPr="003116D2">
        <w:rPr>
          <w:rFonts w:ascii="Times New Roman" w:eastAsia="Times New Roman" w:hAnsi="Times New Roman" w:cs="Times New Roman"/>
          <w:kern w:val="0"/>
          <w14:ligatures w14:val="none"/>
        </w:rPr>
        <w:t xml:space="preserve">Polynomial regression </w:t>
      </w:r>
      <w:r w:rsidR="00B00084" w:rsidRPr="00B00084">
        <w:rPr>
          <w:rFonts w:ascii="Times New Roman" w:eastAsia="Times New Roman" w:hAnsi="Times New Roman" w:cs="Times New Roman"/>
          <w:kern w:val="0"/>
          <w14:ligatures w14:val="none"/>
        </w:rPr>
        <w:t>showed modest improvement over</w:t>
      </w:r>
      <w:r w:rsidR="00B00084">
        <w:rPr>
          <w:rFonts w:ascii="Times New Roman" w:eastAsia="Times New Roman" w:hAnsi="Times New Roman" w:cs="Times New Roman"/>
          <w:kern w:val="0"/>
          <w14:ligatures w14:val="none"/>
        </w:rPr>
        <w:t xml:space="preserve"> </w:t>
      </w:r>
      <w:r w:rsidRPr="003116D2">
        <w:rPr>
          <w:rFonts w:ascii="Times New Roman" w:eastAsia="Times New Roman" w:hAnsi="Times New Roman" w:cs="Times New Roman"/>
          <w:kern w:val="0"/>
          <w14:ligatures w14:val="none"/>
        </w:rPr>
        <w:t xml:space="preserve">linear models in explaining rural practice commitment variance. Linear regression explained 24.5% of variance (R² = 0.245, F(1,18) = 5.84, p = 0.026), while second-degree polynomial regression explained 31.8% (R² = 0.318, F(2,17) = 3.97, p = 0.039), representing a </w:t>
      </w:r>
      <w:r w:rsidR="008B1A94" w:rsidRPr="008B1A94">
        <w:rPr>
          <w:rFonts w:ascii="Times New Roman" w:eastAsia="Times New Roman" w:hAnsi="Times New Roman" w:cs="Times New Roman"/>
          <w:kern w:val="0"/>
          <w14:ligatures w14:val="none"/>
        </w:rPr>
        <w:t>modest improvement</w:t>
      </w:r>
      <w:r w:rsidRPr="003116D2">
        <w:rPr>
          <w:rFonts w:ascii="Times New Roman" w:eastAsia="Times New Roman" w:hAnsi="Times New Roman" w:cs="Times New Roman"/>
          <w:kern w:val="0"/>
          <w14:ligatures w14:val="none"/>
        </w:rPr>
        <w:t xml:space="preserve"> (ΔR² = 0.073, F = 3.85, p = 0.028). Third-degree polynomial showed marginal additional improvement (R² = 0.329), </w:t>
      </w:r>
      <w:r w:rsidR="004117FD" w:rsidRPr="004117FD">
        <w:rPr>
          <w:rFonts w:ascii="Times New Roman" w:eastAsia="Times New Roman" w:hAnsi="Times New Roman" w:cs="Times New Roman"/>
          <w:kern w:val="0"/>
          <w14:ligatures w14:val="none"/>
        </w:rPr>
        <w:t>which</w:t>
      </w:r>
      <w:r w:rsidR="004117FD">
        <w:rPr>
          <w:rFonts w:ascii="Times New Roman" w:eastAsia="Times New Roman" w:hAnsi="Times New Roman" w:cs="Times New Roman"/>
          <w:kern w:val="0"/>
          <w14:ligatures w14:val="none"/>
        </w:rPr>
        <w:t xml:space="preserve"> may</w:t>
      </w:r>
      <w:r w:rsidR="004117FD" w:rsidRPr="004117FD">
        <w:rPr>
          <w:rFonts w:ascii="Times New Roman" w:eastAsia="Times New Roman" w:hAnsi="Times New Roman" w:cs="Times New Roman"/>
          <w:kern w:val="0"/>
          <w14:ligatures w14:val="none"/>
        </w:rPr>
        <w:t xml:space="preserve"> indicate</w:t>
      </w:r>
      <w:r w:rsidR="004117FD">
        <w:rPr>
          <w:rFonts w:ascii="Times New Roman" w:eastAsia="Times New Roman" w:hAnsi="Times New Roman" w:cs="Times New Roman"/>
          <w:kern w:val="0"/>
          <w14:ligatures w14:val="none"/>
        </w:rPr>
        <w:t xml:space="preserve"> that</w:t>
      </w:r>
      <w:r w:rsidRPr="003116D2">
        <w:rPr>
          <w:rFonts w:ascii="Times New Roman" w:eastAsia="Times New Roman" w:hAnsi="Times New Roman" w:cs="Times New Roman"/>
          <w:kern w:val="0"/>
          <w14:ligatures w14:val="none"/>
        </w:rPr>
        <w:t xml:space="preserve"> quadratic relationships best capture the </w:t>
      </w:r>
      <w:r w:rsidR="0082041A" w:rsidRPr="0082041A">
        <w:rPr>
          <w:rFonts w:ascii="Times New Roman" w:eastAsia="Times New Roman" w:hAnsi="Times New Roman" w:cs="Times New Roman"/>
          <w:kern w:val="0"/>
          <w14:ligatures w14:val="none"/>
        </w:rPr>
        <w:t>multiplying</w:t>
      </w:r>
      <w:r w:rsidRPr="003116D2">
        <w:rPr>
          <w:rFonts w:ascii="Times New Roman" w:eastAsia="Times New Roman" w:hAnsi="Times New Roman" w:cs="Times New Roman"/>
          <w:kern w:val="0"/>
          <w14:ligatures w14:val="none"/>
        </w:rPr>
        <w:t xml:space="preserve"> pattern</w:t>
      </w:r>
      <w:r w:rsidR="00144B7D">
        <w:rPr>
          <w:rFonts w:ascii="Times New Roman" w:eastAsia="Times New Roman" w:hAnsi="Times New Roman" w:cs="Times New Roman"/>
          <w:kern w:val="0"/>
          <w14:ligatures w14:val="none"/>
        </w:rPr>
        <w:t xml:space="preserve"> </w:t>
      </w:r>
      <w:r w:rsidR="00144B7D">
        <w:rPr>
          <w:rFonts w:ascii="Times New Roman" w:eastAsia="Times New Roman" w:hAnsi="Times New Roman" w:cs="Times New Roman"/>
          <w:kern w:val="0"/>
          <w14:ligatures w14:val="none"/>
        </w:rPr>
        <w:t>(Figure 1)</w:t>
      </w:r>
      <w:r w:rsidRPr="003116D2">
        <w:rPr>
          <w:rFonts w:ascii="Times New Roman" w:eastAsia="Times New Roman" w:hAnsi="Times New Roman" w:cs="Times New Roman"/>
          <w:kern w:val="0"/>
          <w14:ligatures w14:val="none"/>
        </w:rPr>
        <w:t>.</w:t>
      </w:r>
      <w:r w:rsidR="00144B7D">
        <w:rPr>
          <w:rFonts w:ascii="Times New Roman" w:eastAsia="Times New Roman" w:hAnsi="Times New Roman" w:cs="Times New Roman"/>
          <w:kern w:val="0"/>
          <w14:ligatures w14:val="none"/>
        </w:rPr>
        <w:t xml:space="preserve"> </w:t>
      </w:r>
      <w:r w:rsidRPr="003116D2">
        <w:rPr>
          <w:rFonts w:ascii="Times New Roman" w:eastAsia="Times New Roman" w:hAnsi="Times New Roman" w:cs="Times New Roman"/>
          <w:kern w:val="0"/>
          <w14:ligatures w14:val="none"/>
        </w:rPr>
        <w:t xml:space="preserve">The polynomial coefficient (β = 0.42, p = 0.028) confirms positive acceleration, where each additional touchpoint contributes increasingly to commitment rather than maintaining constant impact. </w:t>
      </w:r>
      <w:r w:rsidR="00350E97" w:rsidRPr="003A02E5">
        <w:rPr>
          <w:rFonts w:ascii="Times New Roman" w:eastAsia="Times New Roman" w:hAnsi="Times New Roman" w:cs="Times New Roman"/>
          <w:kern w:val="0"/>
          <w14:ligatures w14:val="none"/>
        </w:rPr>
        <w:t xml:space="preserve">This exponential pattern held across all three leverage points, though magnitude varied </w:t>
      </w:r>
      <w:r w:rsidR="00E71119" w:rsidRPr="00E71119">
        <w:rPr>
          <w:rFonts w:ascii="Times New Roman" w:eastAsia="Times New Roman" w:hAnsi="Times New Roman" w:cs="Times New Roman"/>
          <w:kern w:val="0"/>
          <w14:ligatures w14:val="none"/>
        </w:rPr>
        <w:t>greatly</w:t>
      </w:r>
      <w:r w:rsidR="00350E97" w:rsidRPr="003A02E5">
        <w:rPr>
          <w:rFonts w:ascii="Times New Roman" w:eastAsia="Times New Roman" w:hAnsi="Times New Roman" w:cs="Times New Roman"/>
          <w:kern w:val="0"/>
          <w14:ligatures w14:val="none"/>
        </w:rPr>
        <w:t xml:space="preserve">. </w:t>
      </w:r>
      <w:r w:rsidR="001F52E8" w:rsidRPr="001F52E8">
        <w:rPr>
          <w:rFonts w:ascii="Times New Roman" w:eastAsia="Times New Roman" w:hAnsi="Times New Roman" w:cs="Times New Roman"/>
          <w:kern w:val="0"/>
          <w14:ligatures w14:val="none"/>
        </w:rPr>
        <w:t>Bootstrap validation suggested the polynomial pattern was relatively stable, though confidence intervals were wide given the small sample size.</w:t>
      </w:r>
    </w:p>
    <w:p w14:paraId="2D9FED73" w14:textId="1E970016" w:rsidR="00151716" w:rsidRPr="0008086C" w:rsidRDefault="00151716" w:rsidP="00151716">
      <w:pPr>
        <w:pStyle w:val="NoSpacing"/>
        <w:spacing w:line="480" w:lineRule="auto"/>
        <w:rPr>
          <w:rFonts w:ascii="Times New Roman" w:eastAsia="Times New Roman" w:hAnsi="Times New Roman" w:cs="Times New Roman"/>
          <w:b/>
          <w:bCs/>
          <w:kern w:val="0"/>
          <w14:ligatures w14:val="none"/>
        </w:rPr>
      </w:pPr>
      <w:r w:rsidRPr="0008086C">
        <w:rPr>
          <w:rFonts w:ascii="Times New Roman" w:eastAsia="Times New Roman" w:hAnsi="Times New Roman" w:cs="Times New Roman"/>
          <w:b/>
          <w:bCs/>
          <w:kern w:val="0"/>
          <w14:ligatures w14:val="none"/>
        </w:rPr>
        <w:t>Figure 1</w:t>
      </w:r>
    </w:p>
    <w:p w14:paraId="2025002F" w14:textId="09C4BD95" w:rsidR="008A5C3C" w:rsidRDefault="003D338B" w:rsidP="008A5C3C">
      <w:pPr>
        <w:pStyle w:val="NoSpacing"/>
        <w:spacing w:line="480" w:lineRule="auto"/>
        <w:rPr>
          <w:rFonts w:ascii="Times New Roman" w:eastAsia="Times New Roman" w:hAnsi="Times New Roman" w:cs="Times New Roman"/>
          <w:i/>
          <w:iCs/>
        </w:rPr>
      </w:pPr>
      <w:r w:rsidRPr="003D338B">
        <w:rPr>
          <w:rFonts w:ascii="Times New Roman" w:eastAsia="Times New Roman" w:hAnsi="Times New Roman" w:cs="Times New Roman"/>
          <w:i/>
          <w:iCs/>
        </w:rPr>
        <w:lastRenderedPageBreak/>
        <w:t>Exponential Touchpoint Pattern Analysis</w:t>
      </w:r>
      <w:r w:rsidR="00300992" w:rsidRPr="00300992">
        <w:rPr>
          <w:rFonts w:ascii="Times New Roman" w:eastAsia="Times New Roman" w:hAnsi="Times New Roman" w:cs="Times New Roman"/>
          <w:i/>
          <w:iCs/>
        </w:rPr>
        <w:t xml:space="preserve"> </w:t>
      </w:r>
      <w:r w:rsidR="00474B36">
        <w:rPr>
          <w:rFonts w:ascii="Times New Roman" w:eastAsia="Times New Roman" w:hAnsi="Times New Roman" w:cs="Times New Roman"/>
          <w:noProof/>
          <w:kern w:val="0"/>
        </w:rPr>
        <w:drawing>
          <wp:inline distT="0" distB="0" distL="0" distR="0" wp14:anchorId="09B9B2A0" wp14:editId="0CA95C3A">
            <wp:extent cx="5930900" cy="2502535"/>
            <wp:effectExtent l="0" t="0" r="0" b="0"/>
            <wp:docPr id="345504119" name="Picture 11" descr="A graph with a red line and a red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04119" name="Picture 11" descr="A graph with a red line and a red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0900" cy="2502535"/>
                    </a:xfrm>
                    <a:prstGeom prst="rect">
                      <a:avLst/>
                    </a:prstGeom>
                  </pic:spPr>
                </pic:pic>
              </a:graphicData>
            </a:graphic>
          </wp:inline>
        </w:drawing>
      </w:r>
    </w:p>
    <w:p w14:paraId="432E15B8" w14:textId="0B4E8018" w:rsidR="006A100C" w:rsidRDefault="002D484B" w:rsidP="00394FA8">
      <w:pPr>
        <w:pStyle w:val="NoSpacing"/>
        <w:spacing w:line="480" w:lineRule="auto"/>
        <w:rPr>
          <w:rFonts w:ascii="Times New Roman" w:eastAsia="Times New Roman" w:hAnsi="Times New Roman" w:cs="Times New Roman"/>
          <w:kern w:val="0"/>
          <w14:ligatures w14:val="none"/>
        </w:rPr>
      </w:pPr>
      <w:r w:rsidRPr="00316071">
        <w:rPr>
          <w:rFonts w:ascii="Times New Roman" w:eastAsia="Times New Roman" w:hAnsi="Times New Roman" w:cs="Times New Roman"/>
          <w:i/>
          <w:iCs/>
          <w:kern w:val="0"/>
          <w14:ligatures w14:val="none"/>
        </w:rPr>
        <w:t>Note</w:t>
      </w:r>
      <w:r w:rsidR="00636A31">
        <w:rPr>
          <w:rFonts w:ascii="Times New Roman" w:eastAsia="Times New Roman" w:hAnsi="Times New Roman" w:cs="Times New Roman"/>
          <w:i/>
          <w:iCs/>
          <w:kern w:val="0"/>
          <w14:ligatures w14:val="none"/>
        </w:rPr>
        <w:t>:</w:t>
      </w:r>
      <w:r w:rsidRPr="00316071">
        <w:rPr>
          <w:rFonts w:ascii="Times New Roman" w:eastAsia="Times New Roman" w:hAnsi="Times New Roman" w:cs="Times New Roman"/>
          <w:kern w:val="0"/>
          <w14:ligatures w14:val="none"/>
        </w:rPr>
        <w:t xml:space="preserve"> </w:t>
      </w:r>
      <w:r w:rsidR="006A100C" w:rsidRPr="006A100C">
        <w:rPr>
          <w:rFonts w:ascii="Times New Roman" w:eastAsia="Times New Roman" w:hAnsi="Times New Roman" w:cs="Times New Roman"/>
          <w:kern w:val="0"/>
          <w14:ligatures w14:val="none"/>
        </w:rPr>
        <w:t>Comparison of linear (R² = 0.245) and polynomial (R² = 0.318) regression models. Vertical line indicates 6-touchpoint threshold. F = 3.85, p = 0.028.</w:t>
      </w:r>
    </w:p>
    <w:p w14:paraId="340DE4D4" w14:textId="100C4E8C" w:rsidR="00740C9A" w:rsidRPr="00261CC2" w:rsidRDefault="00740C9A" w:rsidP="00394FA8">
      <w:pPr>
        <w:pStyle w:val="NoSpacing"/>
        <w:spacing w:line="480" w:lineRule="auto"/>
        <w:rPr>
          <w:rFonts w:ascii="Times New Roman" w:eastAsia="Times New Roman" w:hAnsi="Times New Roman" w:cs="Times New Roman"/>
          <w:b/>
          <w:bCs/>
          <w:i/>
          <w:iCs/>
        </w:rPr>
      </w:pPr>
      <w:r w:rsidRPr="00261CC2">
        <w:rPr>
          <w:rFonts w:ascii="Times New Roman" w:eastAsia="Times New Roman" w:hAnsi="Times New Roman" w:cs="Times New Roman"/>
          <w:b/>
          <w:bCs/>
          <w:i/>
          <w:iCs/>
        </w:rPr>
        <w:t>Threshold Effects</w:t>
      </w:r>
    </w:p>
    <w:p w14:paraId="333C60D2" w14:textId="5225FD01" w:rsidR="006A0E47" w:rsidRDefault="006A0E47" w:rsidP="00797970">
      <w:pPr>
        <w:pStyle w:val="NoSpacing"/>
        <w:spacing w:line="480" w:lineRule="auto"/>
        <w:ind w:firstLine="720"/>
        <w:rPr>
          <w:rFonts w:ascii="Times New Roman" w:eastAsia="Times New Roman" w:hAnsi="Times New Roman" w:cs="Times New Roman"/>
          <w:kern w:val="0"/>
          <w14:ligatures w14:val="none"/>
        </w:rPr>
      </w:pPr>
      <w:r w:rsidRPr="006A0E47">
        <w:rPr>
          <w:rFonts w:ascii="Times New Roman" w:eastAsia="Times New Roman" w:hAnsi="Times New Roman" w:cs="Times New Roman"/>
          <w:kern w:val="0"/>
          <w14:ligatures w14:val="none"/>
        </w:rPr>
        <w:t xml:space="preserve">Changepoint analysis identified a critical threshold at 6.2 touchpoints (95% CI: 5.8-6.6) where rural practice commitment increased </w:t>
      </w:r>
      <w:r w:rsidR="001F52E8" w:rsidRPr="001F52E8">
        <w:rPr>
          <w:rFonts w:ascii="Times New Roman" w:eastAsia="Times New Roman" w:hAnsi="Times New Roman" w:cs="Times New Roman"/>
          <w:kern w:val="0"/>
          <w14:ligatures w14:val="none"/>
        </w:rPr>
        <w:t>substantially</w:t>
      </w:r>
      <w:r w:rsidRPr="006A0E47">
        <w:rPr>
          <w:rFonts w:ascii="Times New Roman" w:eastAsia="Times New Roman" w:hAnsi="Times New Roman" w:cs="Times New Roman"/>
          <w:kern w:val="0"/>
          <w14:ligatures w14:val="none"/>
        </w:rPr>
        <w:t xml:space="preserve">. Participants above this threshold demonstrated higher commitment (M = 8.7, SD = 0.9) compared to those below (M = 5.3, SD = 1.8), yielding a large effect size (d = 2.15, p &lt; 0.001). Secondary thresholds emerged for transformative experiences: aha moments ≥7 (d = 1.73), pattern recognition ≥8 (d = 1.91), and lasting change ≥8 (d = 2.03). </w:t>
      </w:r>
      <w:r w:rsidR="001702B6">
        <w:rPr>
          <w:rFonts w:ascii="Times New Roman" w:eastAsia="Times New Roman" w:hAnsi="Times New Roman" w:cs="Times New Roman"/>
          <w:kern w:val="0"/>
          <w14:ligatures w14:val="none"/>
        </w:rPr>
        <w:t>T</w:t>
      </w:r>
      <w:r w:rsidRPr="006A0E47">
        <w:rPr>
          <w:rFonts w:ascii="Times New Roman" w:eastAsia="Times New Roman" w:hAnsi="Times New Roman" w:cs="Times New Roman"/>
          <w:kern w:val="0"/>
          <w14:ligatures w14:val="none"/>
        </w:rPr>
        <w:t xml:space="preserve">hese thresholds operated </w:t>
      </w:r>
      <w:r w:rsidR="005F32B9" w:rsidRPr="005F32B9">
        <w:rPr>
          <w:rFonts w:ascii="Times New Roman" w:eastAsia="Times New Roman" w:hAnsi="Times New Roman" w:cs="Times New Roman"/>
          <w:kern w:val="0"/>
          <w14:ligatures w14:val="none"/>
        </w:rPr>
        <w:t>together</w:t>
      </w:r>
      <w:r w:rsidRPr="006A0E47">
        <w:rPr>
          <w:rFonts w:ascii="Times New Roman" w:eastAsia="Times New Roman" w:hAnsi="Times New Roman" w:cs="Times New Roman"/>
          <w:kern w:val="0"/>
          <w14:ligatures w14:val="none"/>
        </w:rPr>
        <w:t xml:space="preserve">; participants crossing multiple thresholds showed commitment scores averaging 9.2/10, while those below all thresholds averaged 4.8/10. The threshold effect was most pronounced for community integration touchpoints, where crossing from 5 to 7 exposures increased commitment by 3.4 points compared to 1.2 points for the same increase in clinical </w:t>
      </w:r>
      <w:r>
        <w:rPr>
          <w:rFonts w:ascii="Times New Roman" w:eastAsia="Times New Roman" w:hAnsi="Times New Roman" w:cs="Times New Roman"/>
          <w:kern w:val="0"/>
          <w14:ligatures w14:val="none"/>
        </w:rPr>
        <w:t>touchpoin</w:t>
      </w:r>
      <w:r w:rsidRPr="006A0E47">
        <w:rPr>
          <w:rFonts w:ascii="Times New Roman" w:eastAsia="Times New Roman" w:hAnsi="Times New Roman" w:cs="Times New Roman"/>
          <w:kern w:val="0"/>
          <w14:ligatures w14:val="none"/>
        </w:rPr>
        <w:t>ts.</w:t>
      </w:r>
      <w:r w:rsidR="006756A7">
        <w:rPr>
          <w:rFonts w:ascii="Times New Roman" w:eastAsia="Times New Roman" w:hAnsi="Times New Roman" w:cs="Times New Roman"/>
          <w:kern w:val="0"/>
          <w14:ligatures w14:val="none"/>
        </w:rPr>
        <w:t xml:space="preserve"> </w:t>
      </w:r>
      <w:r w:rsidR="00633C00" w:rsidRPr="00633C00">
        <w:rPr>
          <w:rFonts w:ascii="Times New Roman" w:eastAsia="Times New Roman" w:hAnsi="Times New Roman" w:cs="Times New Roman"/>
          <w:kern w:val="0"/>
          <w14:ligatures w14:val="none"/>
        </w:rPr>
        <w:t>Bootstrap analysis showed high variability in effect size estimates (95% CI for d: 0.89-3.41), suggesting caution in interpretation.</w:t>
      </w:r>
      <w:r w:rsidR="00C57280" w:rsidRPr="003A02E5">
        <w:rPr>
          <w:rFonts w:ascii="Times New Roman" w:eastAsia="Times New Roman" w:hAnsi="Times New Roman" w:cs="Times New Roman"/>
          <w:kern w:val="0"/>
          <w14:ligatures w14:val="none"/>
        </w:rPr>
        <w:t xml:space="preserve"> The threshold location remained stable across bootstrap samples, with 95% of </w:t>
      </w:r>
      <w:r w:rsidR="00C57280" w:rsidRPr="003A02E5">
        <w:rPr>
          <w:rFonts w:ascii="Times New Roman" w:eastAsia="Times New Roman" w:hAnsi="Times New Roman" w:cs="Times New Roman"/>
          <w:kern w:val="0"/>
          <w14:ligatures w14:val="none"/>
        </w:rPr>
        <w:lastRenderedPageBreak/>
        <w:t>iterations identifying thresholds between 5.8 and 6.6 touchpoints</w:t>
      </w:r>
      <w:r w:rsidR="00C57280">
        <w:rPr>
          <w:rFonts w:ascii="Times New Roman" w:eastAsia="Times New Roman" w:hAnsi="Times New Roman" w:cs="Times New Roman"/>
          <w:kern w:val="0"/>
          <w14:ligatures w14:val="none"/>
        </w:rPr>
        <w:t xml:space="preserve">. </w:t>
      </w:r>
      <w:r w:rsidR="0059293E" w:rsidRPr="0059293E">
        <w:rPr>
          <w:rFonts w:ascii="Times New Roman" w:eastAsia="Times New Roman" w:hAnsi="Times New Roman" w:cs="Times New Roman"/>
          <w:kern w:val="0"/>
          <w14:ligatures w14:val="none"/>
        </w:rPr>
        <w:t xml:space="preserve">Qualitative analysis </w:t>
      </w:r>
      <w:r w:rsidR="00AA7842">
        <w:rPr>
          <w:rFonts w:ascii="Times New Roman" w:eastAsia="Times New Roman" w:hAnsi="Times New Roman" w:cs="Times New Roman"/>
          <w:kern w:val="0"/>
          <w14:ligatures w14:val="none"/>
        </w:rPr>
        <w:t>showed</w:t>
      </w:r>
      <w:r w:rsidR="0059293E" w:rsidRPr="0059293E">
        <w:rPr>
          <w:rFonts w:ascii="Times New Roman" w:eastAsia="Times New Roman" w:hAnsi="Times New Roman" w:cs="Times New Roman"/>
          <w:kern w:val="0"/>
          <w14:ligatures w14:val="none"/>
        </w:rPr>
        <w:t xml:space="preserve"> </w:t>
      </w:r>
      <w:r w:rsidR="0059293E">
        <w:rPr>
          <w:rFonts w:ascii="Times New Roman" w:eastAsia="Times New Roman" w:hAnsi="Times New Roman" w:cs="Times New Roman"/>
          <w:kern w:val="0"/>
          <w14:ligatures w14:val="none"/>
        </w:rPr>
        <w:t>concrete threshold events</w:t>
      </w:r>
      <w:r w:rsidR="0059293E" w:rsidRPr="0059293E">
        <w:rPr>
          <w:rFonts w:ascii="Times New Roman" w:eastAsia="Times New Roman" w:hAnsi="Times New Roman" w:cs="Times New Roman"/>
          <w:kern w:val="0"/>
          <w14:ligatures w14:val="none"/>
        </w:rPr>
        <w:t xml:space="preserve"> created deeper identity shifts</w:t>
      </w:r>
      <w:r w:rsidR="00D43DEE">
        <w:rPr>
          <w:rFonts w:ascii="Times New Roman" w:eastAsia="Times New Roman" w:hAnsi="Times New Roman" w:cs="Times New Roman"/>
          <w:kern w:val="0"/>
          <w14:ligatures w14:val="none"/>
        </w:rPr>
        <w:t xml:space="preserve"> with one ReConnect Fellow stating</w:t>
      </w:r>
      <w:r w:rsidR="0059293E" w:rsidRPr="0059293E">
        <w:rPr>
          <w:rFonts w:ascii="Times New Roman" w:eastAsia="Times New Roman" w:hAnsi="Times New Roman" w:cs="Times New Roman"/>
          <w:kern w:val="0"/>
          <w14:ligatures w14:val="none"/>
        </w:rPr>
        <w:t>:</w:t>
      </w:r>
      <w:r w:rsidR="0059293E">
        <w:rPr>
          <w:rFonts w:ascii="Times New Roman" w:eastAsia="Times New Roman" w:hAnsi="Times New Roman" w:cs="Times New Roman"/>
          <w:kern w:val="0"/>
          <w14:ligatures w14:val="none"/>
        </w:rPr>
        <w:t xml:space="preserve"> </w:t>
      </w:r>
      <w:r w:rsidR="00FD4FC9" w:rsidRPr="00FD4FC9">
        <w:rPr>
          <w:rFonts w:ascii="Times New Roman" w:eastAsia="Times New Roman" w:hAnsi="Times New Roman" w:cs="Times New Roman"/>
          <w:kern w:val="0"/>
          <w14:ligatures w14:val="none"/>
        </w:rPr>
        <w:t>"During my time at ReConnect, my most meaningful experience was gaining the trust and love of a patient for whom we could not do any more for</w:t>
      </w:r>
      <w:r w:rsidR="00FD4FC9">
        <w:rPr>
          <w:rFonts w:ascii="Times New Roman" w:eastAsia="Times New Roman" w:hAnsi="Times New Roman" w:cs="Times New Roman"/>
          <w:kern w:val="0"/>
          <w14:ligatures w14:val="none"/>
        </w:rPr>
        <w:t>…”</w:t>
      </w:r>
    </w:p>
    <w:p w14:paraId="4BEF2AB0" w14:textId="40A07D2B" w:rsidR="00740C9A" w:rsidRPr="00261CC2" w:rsidRDefault="00740C9A" w:rsidP="00A232F1">
      <w:pPr>
        <w:pStyle w:val="NoSpacing"/>
        <w:spacing w:line="480" w:lineRule="auto"/>
        <w:rPr>
          <w:rFonts w:ascii="Times New Roman" w:eastAsia="Times New Roman" w:hAnsi="Times New Roman" w:cs="Times New Roman"/>
          <w:b/>
          <w:bCs/>
          <w:i/>
          <w:iCs/>
        </w:rPr>
      </w:pPr>
      <w:r w:rsidRPr="00261CC2">
        <w:rPr>
          <w:rFonts w:ascii="Times New Roman" w:eastAsia="Times New Roman" w:hAnsi="Times New Roman" w:cs="Times New Roman"/>
          <w:b/>
          <w:bCs/>
          <w:i/>
          <w:iCs/>
        </w:rPr>
        <w:t>Compound Touchpoint Synergy</w:t>
      </w:r>
    </w:p>
    <w:p w14:paraId="4CB02768" w14:textId="5F9E6456" w:rsidR="003F7D00" w:rsidRDefault="003F7D00" w:rsidP="00797970">
      <w:pPr>
        <w:pStyle w:val="NoSpacing"/>
        <w:spacing w:line="480" w:lineRule="auto"/>
        <w:ind w:firstLine="720"/>
        <w:rPr>
          <w:rFonts w:ascii="Times New Roman" w:eastAsia="Times New Roman" w:hAnsi="Times New Roman" w:cs="Times New Roman"/>
        </w:rPr>
      </w:pPr>
      <w:r w:rsidRPr="003F7D00">
        <w:rPr>
          <w:rFonts w:ascii="Times New Roman" w:eastAsia="Times New Roman" w:hAnsi="Times New Roman" w:cs="Times New Roman"/>
        </w:rPr>
        <w:t xml:space="preserve">Interaction analysis </w:t>
      </w:r>
      <w:r w:rsidR="006B6333" w:rsidRPr="006B6333">
        <w:rPr>
          <w:rFonts w:ascii="Times New Roman" w:eastAsia="Times New Roman" w:hAnsi="Times New Roman" w:cs="Times New Roman"/>
        </w:rPr>
        <w:t>found possible combined</w:t>
      </w:r>
      <w:r w:rsidR="006B6333">
        <w:rPr>
          <w:rFonts w:ascii="Times New Roman" w:eastAsia="Times New Roman" w:hAnsi="Times New Roman" w:cs="Times New Roman"/>
        </w:rPr>
        <w:t xml:space="preserve"> </w:t>
      </w:r>
      <w:r w:rsidR="00CF04DA" w:rsidRPr="00CF04DA">
        <w:rPr>
          <w:rFonts w:ascii="Times New Roman" w:eastAsia="Times New Roman" w:hAnsi="Times New Roman" w:cs="Times New Roman"/>
        </w:rPr>
        <w:t>effects</w:t>
      </w:r>
      <w:r w:rsidR="00CF04DA">
        <w:rPr>
          <w:rFonts w:ascii="Times New Roman" w:eastAsia="Times New Roman" w:hAnsi="Times New Roman" w:cs="Times New Roman"/>
        </w:rPr>
        <w:t xml:space="preserve"> </w:t>
      </w:r>
      <w:r w:rsidRPr="003F7D00">
        <w:rPr>
          <w:rFonts w:ascii="Times New Roman" w:eastAsia="Times New Roman" w:hAnsi="Times New Roman" w:cs="Times New Roman"/>
        </w:rPr>
        <w:t>when participants experienced high-quality touchpoints across multiple categories. The combined model</w:t>
      </w:r>
      <w:r w:rsidR="002F7A6D">
        <w:rPr>
          <w:rFonts w:ascii="Times New Roman" w:eastAsia="Times New Roman" w:hAnsi="Times New Roman" w:cs="Times New Roman"/>
        </w:rPr>
        <w:t>,</w:t>
      </w:r>
      <w:r w:rsidRPr="003F7D00">
        <w:rPr>
          <w:rFonts w:ascii="Times New Roman" w:eastAsia="Times New Roman" w:hAnsi="Times New Roman" w:cs="Times New Roman"/>
        </w:rPr>
        <w:t xml:space="preserve"> including all three leverage points and their interactions</w:t>
      </w:r>
      <w:r w:rsidR="00AF1DBC">
        <w:rPr>
          <w:rFonts w:ascii="Times New Roman" w:eastAsia="Times New Roman" w:hAnsi="Times New Roman" w:cs="Times New Roman"/>
        </w:rPr>
        <w:t>,</w:t>
      </w:r>
      <w:r w:rsidRPr="003F7D00">
        <w:rPr>
          <w:rFonts w:ascii="Times New Roman" w:eastAsia="Times New Roman" w:hAnsi="Times New Roman" w:cs="Times New Roman"/>
        </w:rPr>
        <w:t xml:space="preserve"> explained 47.3% of variance, exceeding additive predictions (29.8%) by 59% (p = 0.012). Participants with high touchpoints (≥7) across all three categories showed commitment scores 85% higher than predicted by individual effects alone. Synergy was strongest between community integration and mentorship (interaction β = 0.38, p = 0.019), suggesting these leverage points </w:t>
      </w:r>
      <w:r w:rsidR="00054A87" w:rsidRPr="00054A87">
        <w:rPr>
          <w:rFonts w:ascii="Times New Roman" w:eastAsia="Times New Roman" w:hAnsi="Times New Roman" w:cs="Times New Roman"/>
        </w:rPr>
        <w:t>may work together to influence commitment.</w:t>
      </w:r>
      <w:r w:rsidR="00054A87">
        <w:rPr>
          <w:rFonts w:ascii="Times New Roman" w:eastAsia="Times New Roman" w:hAnsi="Times New Roman" w:cs="Times New Roman"/>
        </w:rPr>
        <w:t xml:space="preserve"> </w:t>
      </w:r>
      <w:r w:rsidRPr="003F7D00">
        <w:rPr>
          <w:rFonts w:ascii="Times New Roman" w:eastAsia="Times New Roman" w:hAnsi="Times New Roman" w:cs="Times New Roman"/>
        </w:rPr>
        <w:t>One participant captured this compounding effect: "</w:t>
      </w:r>
      <w:r w:rsidR="00B40E4E" w:rsidRPr="00B40E4E">
        <w:rPr>
          <w:rFonts w:ascii="Times New Roman" w:hAnsi="Times New Roman" w:cs="Times New Roman"/>
        </w:rPr>
        <w:t xml:space="preserve"> </w:t>
      </w:r>
      <w:r w:rsidR="00B40E4E" w:rsidRPr="00B40E4E">
        <w:rPr>
          <w:rFonts w:ascii="Times New Roman" w:eastAsia="Times New Roman" w:hAnsi="Times New Roman" w:cs="Times New Roman"/>
        </w:rPr>
        <w:t>I would say it had a high impact. Working in a rural area had crossed my mind, but after the experience</w:t>
      </w:r>
      <w:r w:rsidR="00AF1DBC">
        <w:rPr>
          <w:rFonts w:ascii="Times New Roman" w:eastAsia="Times New Roman" w:hAnsi="Times New Roman" w:cs="Times New Roman"/>
        </w:rPr>
        <w:t>,</w:t>
      </w:r>
      <w:r w:rsidR="00B40E4E" w:rsidRPr="00B40E4E">
        <w:rPr>
          <w:rFonts w:ascii="Times New Roman" w:eastAsia="Times New Roman" w:hAnsi="Times New Roman" w:cs="Times New Roman"/>
        </w:rPr>
        <w:t xml:space="preserve"> I feel confident I would like to practice in a rural area or serving underserved populations.</w:t>
      </w:r>
      <w:r w:rsidR="00B40E4E">
        <w:rPr>
          <w:rFonts w:ascii="Times New Roman" w:eastAsia="Times New Roman" w:hAnsi="Times New Roman" w:cs="Times New Roman"/>
        </w:rPr>
        <w:t>.</w:t>
      </w:r>
      <w:r w:rsidRPr="003F7D00">
        <w:rPr>
          <w:rFonts w:ascii="Times New Roman" w:eastAsia="Times New Roman" w:hAnsi="Times New Roman" w:cs="Times New Roman"/>
        </w:rPr>
        <w:t>."</w:t>
      </w:r>
      <w:r w:rsidR="00412D4C">
        <w:rPr>
          <w:rFonts w:ascii="Times New Roman" w:eastAsia="Times New Roman" w:hAnsi="Times New Roman" w:cs="Times New Roman"/>
        </w:rPr>
        <w:t>, while another said</w:t>
      </w:r>
      <w:r w:rsidR="00E82EC2">
        <w:rPr>
          <w:rFonts w:ascii="Times New Roman" w:eastAsia="Times New Roman" w:hAnsi="Times New Roman" w:cs="Times New Roman"/>
        </w:rPr>
        <w:t xml:space="preserve">, </w:t>
      </w:r>
      <w:r w:rsidR="00B057DB" w:rsidRPr="00B057DB">
        <w:rPr>
          <w:rFonts w:ascii="Times New Roman" w:eastAsia="Times New Roman" w:hAnsi="Times New Roman" w:cs="Times New Roman"/>
        </w:rPr>
        <w:t>"Participating in the ReConnect Fellowship solidified my decision to pursue a career in the health professions rather than deterring me from it</w:t>
      </w:r>
      <w:r w:rsidR="00B057DB">
        <w:rPr>
          <w:rFonts w:ascii="Times New Roman" w:eastAsia="Times New Roman" w:hAnsi="Times New Roman" w:cs="Times New Roman"/>
        </w:rPr>
        <w:t>…”</w:t>
      </w:r>
    </w:p>
    <w:p w14:paraId="221720F2" w14:textId="7F450889" w:rsidR="00740C9A" w:rsidRPr="00261CC2" w:rsidRDefault="00740C9A" w:rsidP="00A232F1">
      <w:pPr>
        <w:pStyle w:val="NoSpacing"/>
        <w:spacing w:line="480" w:lineRule="auto"/>
        <w:rPr>
          <w:rFonts w:ascii="Times New Roman" w:eastAsia="Times New Roman" w:hAnsi="Times New Roman" w:cs="Times New Roman"/>
          <w:b/>
          <w:bCs/>
          <w:i/>
          <w:iCs/>
        </w:rPr>
      </w:pPr>
      <w:r w:rsidRPr="00261CC2">
        <w:rPr>
          <w:rFonts w:ascii="Times New Roman" w:eastAsia="Times New Roman" w:hAnsi="Times New Roman" w:cs="Times New Roman"/>
          <w:b/>
          <w:bCs/>
          <w:i/>
          <w:iCs/>
        </w:rPr>
        <w:t xml:space="preserve">Leverage Point </w:t>
      </w:r>
      <w:r w:rsidR="00565A34">
        <w:rPr>
          <w:rFonts w:ascii="Times New Roman" w:eastAsia="Times New Roman" w:hAnsi="Times New Roman" w:cs="Times New Roman"/>
          <w:b/>
          <w:bCs/>
          <w:i/>
          <w:iCs/>
        </w:rPr>
        <w:t>Hierarchy</w:t>
      </w:r>
    </w:p>
    <w:p w14:paraId="19440CE4" w14:textId="77777777" w:rsidR="001F2108" w:rsidRDefault="009A67D5" w:rsidP="001F2108">
      <w:pPr>
        <w:pStyle w:val="NoSpacing"/>
        <w:spacing w:line="480" w:lineRule="auto"/>
        <w:ind w:firstLine="720"/>
        <w:rPr>
          <w:rFonts w:ascii="Times New Roman" w:eastAsia="Times New Roman" w:hAnsi="Times New Roman" w:cs="Times New Roman"/>
        </w:rPr>
      </w:pPr>
      <w:r w:rsidRPr="009A67D5">
        <w:rPr>
          <w:rFonts w:ascii="Times New Roman" w:eastAsia="Times New Roman" w:hAnsi="Times New Roman" w:cs="Times New Roman"/>
        </w:rPr>
        <w:t>Contrary to hypothesis, community integration emerged as the strongest predictor of exponential effects (f² = 0.216, large effect), followed by mentorship relationships (f² = 0.128, medium effect), with clinical experience showing the smallest effect (f² = 0.079, small effect)</w:t>
      </w:r>
      <w:r w:rsidR="00856CDD">
        <w:rPr>
          <w:rFonts w:ascii="Times New Roman" w:eastAsia="Times New Roman" w:hAnsi="Times New Roman" w:cs="Times New Roman"/>
        </w:rPr>
        <w:t>.</w:t>
      </w:r>
      <w:r w:rsidRPr="009A67D5">
        <w:rPr>
          <w:rFonts w:ascii="Times New Roman" w:eastAsia="Times New Roman" w:hAnsi="Times New Roman" w:cs="Times New Roman"/>
        </w:rPr>
        <w:t xml:space="preserve"> Community integration alone explained 17.8% of unique variance in the full model, while clinical experience explained only 7.3%. This hierarchy persisted across participant subgroups </w:t>
      </w:r>
      <w:r w:rsidRPr="009A67D5">
        <w:rPr>
          <w:rFonts w:ascii="Times New Roman" w:eastAsia="Times New Roman" w:hAnsi="Times New Roman" w:cs="Times New Roman"/>
        </w:rPr>
        <w:lastRenderedPageBreak/>
        <w:t xml:space="preserve">regardless of rural background or career stage. </w:t>
      </w:r>
      <w:r w:rsidR="001F2108" w:rsidRPr="001F2108">
        <w:rPr>
          <w:rFonts w:ascii="Times New Roman" w:eastAsia="Times New Roman" w:hAnsi="Times New Roman" w:cs="Times New Roman"/>
        </w:rPr>
        <w:t>The unexpected primacy of community integration in our sample suggests that belonging and social integration may play a larger role than previously recognized, complementing technical skill development.</w:t>
      </w:r>
    </w:p>
    <w:p w14:paraId="55827AC6" w14:textId="7DED723A" w:rsidR="00740C9A" w:rsidRPr="00261CC2" w:rsidRDefault="00740C9A" w:rsidP="001F2108">
      <w:pPr>
        <w:pStyle w:val="NoSpacing"/>
        <w:spacing w:line="480" w:lineRule="auto"/>
        <w:rPr>
          <w:rFonts w:ascii="Times New Roman" w:eastAsia="Times New Roman" w:hAnsi="Times New Roman" w:cs="Times New Roman"/>
          <w:b/>
          <w:bCs/>
          <w:i/>
          <w:iCs/>
        </w:rPr>
      </w:pPr>
      <w:r w:rsidRPr="00261CC2">
        <w:rPr>
          <w:rFonts w:ascii="Times New Roman" w:eastAsia="Times New Roman" w:hAnsi="Times New Roman" w:cs="Times New Roman"/>
          <w:b/>
          <w:bCs/>
          <w:i/>
          <w:iCs/>
        </w:rPr>
        <w:t>Quality</w:t>
      </w:r>
      <w:r w:rsidR="00565A34">
        <w:rPr>
          <w:rFonts w:ascii="Times New Roman" w:eastAsia="Times New Roman" w:hAnsi="Times New Roman" w:cs="Times New Roman"/>
          <w:b/>
          <w:bCs/>
          <w:i/>
          <w:iCs/>
        </w:rPr>
        <w:t xml:space="preserve"> as a Multiplier</w:t>
      </w:r>
    </w:p>
    <w:p w14:paraId="4EDC3CEB" w14:textId="6A6429EB" w:rsidR="00797970" w:rsidRDefault="00797970" w:rsidP="00797970">
      <w:pPr>
        <w:pStyle w:val="NoSpacing"/>
        <w:spacing w:line="480" w:lineRule="auto"/>
        <w:ind w:firstLine="720"/>
        <w:rPr>
          <w:rFonts w:ascii="Times New Roman" w:eastAsia="Times New Roman" w:hAnsi="Times New Roman" w:cs="Times New Roman"/>
        </w:rPr>
      </w:pPr>
      <w:r w:rsidRPr="00797970">
        <w:rPr>
          <w:rFonts w:ascii="Times New Roman" w:eastAsia="Times New Roman" w:hAnsi="Times New Roman" w:cs="Times New Roman"/>
        </w:rPr>
        <w:t xml:space="preserve">Touchpoint quality dramatically moderated the frequency-commitment relationship. High-quality touchpoints (≥7 rating) </w:t>
      </w:r>
      <w:r w:rsidR="000F4531" w:rsidRPr="000F4531">
        <w:rPr>
          <w:rFonts w:ascii="Times New Roman" w:eastAsia="Times New Roman" w:hAnsi="Times New Roman" w:cs="Times New Roman"/>
        </w:rPr>
        <w:t>had</w:t>
      </w:r>
      <w:r w:rsidRPr="00797970">
        <w:rPr>
          <w:rFonts w:ascii="Times New Roman" w:eastAsia="Times New Roman" w:hAnsi="Times New Roman" w:cs="Times New Roman"/>
        </w:rPr>
        <w:t xml:space="preserve"> 2.67 times stronger impact than lower-quality exposures (interaction β = 0.51, p = 0.008</w:t>
      </w:r>
      <w:r w:rsidR="004B32CD">
        <w:rPr>
          <w:rFonts w:ascii="Times New Roman" w:eastAsia="Times New Roman" w:hAnsi="Times New Roman" w:cs="Times New Roman"/>
        </w:rPr>
        <w:t xml:space="preserve">; </w:t>
      </w:r>
      <w:r w:rsidR="004B32CD">
        <w:rPr>
          <w:rFonts w:ascii="Times New Roman" w:eastAsia="Times New Roman" w:hAnsi="Times New Roman" w:cs="Times New Roman"/>
        </w:rPr>
        <w:t>Figure 2</w:t>
      </w:r>
      <w:r w:rsidRPr="00797970">
        <w:rPr>
          <w:rFonts w:ascii="Times New Roman" w:eastAsia="Times New Roman" w:hAnsi="Times New Roman" w:cs="Times New Roman"/>
        </w:rPr>
        <w:t>). The quality-frequency interaction was particularly pronounced at higher frequencies; ten high-quality touchpoints produced commitment scores averaging 9.1, while ten moderate-quality touchpoints averaged 6.8. Quality amplification was strongest for mentorship touchpoints (3.1x multiplier) compared to clinical (2.3x) or community (2.4x) touchpoints. Regression analysis confirmed</w:t>
      </w:r>
      <w:r w:rsidR="00AC51E0">
        <w:rPr>
          <w:rFonts w:ascii="Times New Roman" w:eastAsia="Times New Roman" w:hAnsi="Times New Roman" w:cs="Times New Roman"/>
        </w:rPr>
        <w:t xml:space="preserve"> that the</w:t>
      </w:r>
      <w:r w:rsidRPr="00797970">
        <w:rPr>
          <w:rFonts w:ascii="Times New Roman" w:eastAsia="Times New Roman" w:hAnsi="Times New Roman" w:cs="Times New Roman"/>
        </w:rPr>
        <w:t xml:space="preserve"> quality </w:t>
      </w:r>
      <w:r w:rsidR="00AC51E0">
        <w:rPr>
          <w:rFonts w:ascii="Times New Roman" w:eastAsia="Times New Roman" w:hAnsi="Times New Roman" w:cs="Times New Roman"/>
        </w:rPr>
        <w:t xml:space="preserve">of touchpoints </w:t>
      </w:r>
      <w:r w:rsidRPr="00797970">
        <w:rPr>
          <w:rFonts w:ascii="Times New Roman" w:eastAsia="Times New Roman" w:hAnsi="Times New Roman" w:cs="Times New Roman"/>
        </w:rPr>
        <w:t xml:space="preserve">serves as an effect multiplier rather than </w:t>
      </w:r>
      <w:r w:rsidR="00C2018C">
        <w:rPr>
          <w:rFonts w:ascii="Times New Roman" w:eastAsia="Times New Roman" w:hAnsi="Times New Roman" w:cs="Times New Roman"/>
        </w:rPr>
        <w:t xml:space="preserve">an </w:t>
      </w:r>
      <w:r w:rsidRPr="00797970">
        <w:rPr>
          <w:rFonts w:ascii="Times New Roman" w:eastAsia="Times New Roman" w:hAnsi="Times New Roman" w:cs="Times New Roman"/>
        </w:rPr>
        <w:t xml:space="preserve">independent predictor: quality alone explained 11% of variance, but the quality-frequency interaction explained an additional 19%. </w:t>
      </w:r>
      <w:r w:rsidR="006E0829">
        <w:rPr>
          <w:rFonts w:ascii="Times New Roman" w:eastAsia="Times New Roman" w:hAnsi="Times New Roman" w:cs="Times New Roman"/>
        </w:rPr>
        <w:t>One student expressed a</w:t>
      </w:r>
      <w:r w:rsidR="007F053E">
        <w:rPr>
          <w:rFonts w:ascii="Times New Roman" w:eastAsia="Times New Roman" w:hAnsi="Times New Roman" w:cs="Times New Roman"/>
        </w:rPr>
        <w:t>n impactful</w:t>
      </w:r>
      <w:r w:rsidR="006E0829">
        <w:rPr>
          <w:rFonts w:ascii="Times New Roman" w:eastAsia="Times New Roman" w:hAnsi="Times New Roman" w:cs="Times New Roman"/>
        </w:rPr>
        <w:t xml:space="preserve"> quality touchpoint</w:t>
      </w:r>
      <w:r w:rsidR="00F9038E">
        <w:rPr>
          <w:rFonts w:ascii="Times New Roman" w:eastAsia="Times New Roman" w:hAnsi="Times New Roman" w:cs="Times New Roman"/>
        </w:rPr>
        <w:t>, “</w:t>
      </w:r>
      <w:r w:rsidR="005C7BEE" w:rsidRPr="005C7BEE">
        <w:rPr>
          <w:rFonts w:ascii="Times New Roman" w:eastAsia="Times New Roman" w:hAnsi="Times New Roman" w:cs="Times New Roman"/>
        </w:rPr>
        <w:t>It is one thing to have read about or heard about the challenges of rural healthcare and another to see and experience rural health care every day for an extended period of time</w:t>
      </w:r>
      <w:r w:rsidR="005C7BEE">
        <w:rPr>
          <w:rFonts w:ascii="Times New Roman" w:eastAsia="Times New Roman" w:hAnsi="Times New Roman" w:cs="Times New Roman"/>
        </w:rPr>
        <w:t xml:space="preserve">…” </w:t>
      </w:r>
    </w:p>
    <w:p w14:paraId="36A8543E" w14:textId="05F87772" w:rsidR="00111201" w:rsidRPr="00FE4D52" w:rsidRDefault="00111201" w:rsidP="00111201">
      <w:pPr>
        <w:pStyle w:val="NoSpacing"/>
        <w:spacing w:line="480" w:lineRule="auto"/>
        <w:rPr>
          <w:rFonts w:ascii="Times New Roman" w:eastAsia="Times New Roman" w:hAnsi="Times New Roman" w:cs="Times New Roman"/>
          <w:b/>
          <w:bCs/>
        </w:rPr>
      </w:pPr>
      <w:r w:rsidRPr="00FE4D52">
        <w:rPr>
          <w:rFonts w:ascii="Times New Roman" w:eastAsia="Times New Roman" w:hAnsi="Times New Roman" w:cs="Times New Roman"/>
          <w:b/>
          <w:bCs/>
        </w:rPr>
        <w:t xml:space="preserve">Figure </w:t>
      </w:r>
      <w:r w:rsidR="00565A34">
        <w:rPr>
          <w:rFonts w:ascii="Times New Roman" w:eastAsia="Times New Roman" w:hAnsi="Times New Roman" w:cs="Times New Roman"/>
          <w:b/>
          <w:bCs/>
        </w:rPr>
        <w:t>2</w:t>
      </w:r>
    </w:p>
    <w:p w14:paraId="783035CF" w14:textId="15F2E9D6" w:rsidR="001650D1" w:rsidRDefault="00110F35" w:rsidP="001650D1">
      <w:pPr>
        <w:pStyle w:val="NoSpacing"/>
        <w:spacing w:line="480" w:lineRule="auto"/>
        <w:rPr>
          <w:rFonts w:ascii="Times New Roman" w:eastAsia="Times New Roman" w:hAnsi="Times New Roman" w:cs="Times New Roman"/>
          <w:i/>
          <w:iCs/>
        </w:rPr>
      </w:pPr>
      <w:r w:rsidRPr="00110F35">
        <w:rPr>
          <w:rFonts w:ascii="Times New Roman" w:eastAsia="Times New Roman" w:hAnsi="Times New Roman" w:cs="Times New Roman"/>
          <w:i/>
          <w:iCs/>
        </w:rPr>
        <w:lastRenderedPageBreak/>
        <w:t xml:space="preserve">Quality-Frequency Interaction Effects in Touchpoint Impact </w:t>
      </w:r>
      <w:r w:rsidR="000378D3">
        <w:rPr>
          <w:rFonts w:ascii="Times New Roman" w:eastAsia="Times New Roman" w:hAnsi="Times New Roman" w:cs="Times New Roman"/>
          <w:noProof/>
        </w:rPr>
        <w:drawing>
          <wp:inline distT="0" distB="0" distL="0" distR="0" wp14:anchorId="07F4FAC9" wp14:editId="160DA74B">
            <wp:extent cx="5930900" cy="2496820"/>
            <wp:effectExtent l="0" t="0" r="0" b="5080"/>
            <wp:docPr id="336912979" name="Picture 7" descr="A graph of a line and a red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12979" name="Picture 7" descr="A graph of a line and a red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0900" cy="2496820"/>
                    </a:xfrm>
                    <a:prstGeom prst="rect">
                      <a:avLst/>
                    </a:prstGeom>
                  </pic:spPr>
                </pic:pic>
              </a:graphicData>
            </a:graphic>
          </wp:inline>
        </w:drawing>
      </w:r>
    </w:p>
    <w:p w14:paraId="3BD0B9CE" w14:textId="78D4A979" w:rsidR="00C1299E" w:rsidRDefault="00DA28A9" w:rsidP="0097113E">
      <w:pPr>
        <w:pStyle w:val="NoSpacing"/>
        <w:spacing w:line="480" w:lineRule="auto"/>
        <w:rPr>
          <w:rFonts w:ascii="Times New Roman" w:eastAsia="Times New Roman" w:hAnsi="Times New Roman" w:cs="Times New Roman"/>
        </w:rPr>
      </w:pPr>
      <w:r w:rsidRPr="006A100C">
        <w:rPr>
          <w:rFonts w:ascii="Times New Roman" w:eastAsia="Times New Roman" w:hAnsi="Times New Roman" w:cs="Times New Roman"/>
          <w:i/>
          <w:iCs/>
        </w:rPr>
        <w:t>Note</w:t>
      </w:r>
      <w:r w:rsidR="00636A31">
        <w:rPr>
          <w:rFonts w:ascii="Times New Roman" w:eastAsia="Times New Roman" w:hAnsi="Times New Roman" w:cs="Times New Roman"/>
          <w:i/>
          <w:iCs/>
        </w:rPr>
        <w:t>:</w:t>
      </w:r>
      <w:r w:rsidRPr="006A100C">
        <w:rPr>
          <w:rFonts w:ascii="Times New Roman" w:eastAsia="Times New Roman" w:hAnsi="Times New Roman" w:cs="Times New Roman"/>
        </w:rPr>
        <w:t xml:space="preserve"> </w:t>
      </w:r>
      <w:r w:rsidR="00C1299E" w:rsidRPr="00C1299E">
        <w:rPr>
          <w:rFonts w:ascii="Times New Roman" w:eastAsia="Times New Roman" w:hAnsi="Times New Roman" w:cs="Times New Roman"/>
        </w:rPr>
        <w:t xml:space="preserve">Quality moderation of touchpoint frequency effects. </w:t>
      </w:r>
      <w:r w:rsidR="0050007A" w:rsidRPr="0050007A">
        <w:rPr>
          <w:rFonts w:ascii="Times New Roman" w:eastAsia="Times New Roman" w:hAnsi="Times New Roman" w:cs="Times New Roman"/>
        </w:rPr>
        <w:t>High-quality touchpoints (≥7) show exponential pattern with multiplicative impact</w:t>
      </w:r>
      <w:r w:rsidR="0050007A">
        <w:rPr>
          <w:rFonts w:ascii="Times New Roman" w:eastAsia="Times New Roman" w:hAnsi="Times New Roman" w:cs="Times New Roman"/>
        </w:rPr>
        <w:t xml:space="preserve"> </w:t>
      </w:r>
      <w:r w:rsidR="00C1299E" w:rsidRPr="00C1299E">
        <w:rPr>
          <w:rFonts w:ascii="Times New Roman" w:eastAsia="Times New Roman" w:hAnsi="Times New Roman" w:cs="Times New Roman"/>
        </w:rPr>
        <w:t>than low-quality touchpoints.</w:t>
      </w:r>
    </w:p>
    <w:p w14:paraId="48A67467" w14:textId="7E73CEC8" w:rsidR="00740C9A" w:rsidRPr="00C41496" w:rsidRDefault="00740C9A" w:rsidP="0097113E">
      <w:pPr>
        <w:pStyle w:val="NoSpacing"/>
        <w:spacing w:line="480" w:lineRule="auto"/>
        <w:rPr>
          <w:rFonts w:ascii="Times New Roman" w:eastAsia="Times New Roman" w:hAnsi="Times New Roman" w:cs="Times New Roman"/>
          <w:b/>
          <w:bCs/>
        </w:rPr>
      </w:pPr>
      <w:r w:rsidRPr="00244D2C">
        <w:rPr>
          <w:rFonts w:ascii="Times New Roman" w:eastAsia="Times New Roman" w:hAnsi="Times New Roman" w:cs="Times New Roman"/>
          <w:b/>
          <w:bCs/>
        </w:rPr>
        <w:t>Touchpoint Taxonomy Framework</w:t>
      </w:r>
    </w:p>
    <w:p w14:paraId="4AD0E539" w14:textId="711FDD0C" w:rsidR="00244D2C" w:rsidRDefault="00A45F71" w:rsidP="00244D2C">
      <w:pPr>
        <w:pStyle w:val="NoSpacing"/>
        <w:spacing w:line="480" w:lineRule="auto"/>
        <w:ind w:firstLine="720"/>
        <w:rPr>
          <w:rFonts w:ascii="Times New Roman" w:eastAsia="Times New Roman" w:hAnsi="Times New Roman" w:cs="Times New Roman"/>
        </w:rPr>
      </w:pPr>
      <w:r w:rsidRPr="00A45F71">
        <w:rPr>
          <w:rFonts w:ascii="Times New Roman" w:eastAsia="Times New Roman" w:hAnsi="Times New Roman" w:cs="Times New Roman"/>
        </w:rPr>
        <w:t>The observed patterns in our data suggest a potential three-level framework for understanding touchpoint structures</w:t>
      </w:r>
      <w:r w:rsidR="001A794E">
        <w:rPr>
          <w:rFonts w:ascii="Times New Roman" w:eastAsia="Times New Roman" w:hAnsi="Times New Roman" w:cs="Times New Roman"/>
        </w:rPr>
        <w:t xml:space="preserve"> </w:t>
      </w:r>
      <w:r w:rsidR="001A794E">
        <w:rPr>
          <w:rFonts w:ascii="Times New Roman" w:eastAsia="Times New Roman" w:hAnsi="Times New Roman" w:cs="Times New Roman"/>
        </w:rPr>
        <w:t>(Figure 3)</w:t>
      </w:r>
      <w:r w:rsidRPr="00A45F71">
        <w:rPr>
          <w:rFonts w:ascii="Times New Roman" w:eastAsia="Times New Roman" w:hAnsi="Times New Roman" w:cs="Times New Roman"/>
        </w:rPr>
        <w:t>.</w:t>
      </w:r>
      <w:r>
        <w:rPr>
          <w:rFonts w:ascii="Times New Roman" w:eastAsia="Times New Roman" w:hAnsi="Times New Roman" w:cs="Times New Roman"/>
        </w:rPr>
        <w:t xml:space="preserve"> </w:t>
      </w:r>
      <w:r w:rsidR="000640ED" w:rsidRPr="000640ED">
        <w:rPr>
          <w:rFonts w:ascii="Times New Roman" w:eastAsia="Times New Roman" w:hAnsi="Times New Roman" w:cs="Times New Roman"/>
        </w:rPr>
        <w:t>Level 1 establishes leverage point categories with suggested resource allocations based on our initial findings</w:t>
      </w:r>
      <w:r w:rsidR="00244D2C" w:rsidRPr="00244D2C">
        <w:rPr>
          <w:rFonts w:ascii="Times New Roman" w:eastAsia="Times New Roman" w:hAnsi="Times New Roman" w:cs="Times New Roman"/>
        </w:rPr>
        <w:t xml:space="preserve">. Level 2 identifies specific touchpoint subcategories within each leverage point, including structured events versus informal interactions within community integration, formal guidance versus observational learning within mentorship, and direct patient care versus procedural learning within clinical experience. Level 3 defines five quality dimensions: intentionality (designed versus spontaneous), depth (threshold ≥7/10), authenticity (genuine versus performative), personalization (generic versus individually meaningful), and frequency (optimal 6-8 per category). Analysis </w:t>
      </w:r>
      <w:r w:rsidR="00F57F92" w:rsidRPr="00F57F92">
        <w:rPr>
          <w:rFonts w:ascii="Times New Roman" w:eastAsia="Times New Roman" w:hAnsi="Times New Roman" w:cs="Times New Roman"/>
        </w:rPr>
        <w:t>found</w:t>
      </w:r>
      <w:r w:rsidR="00244D2C" w:rsidRPr="00244D2C">
        <w:rPr>
          <w:rFonts w:ascii="Times New Roman" w:eastAsia="Times New Roman" w:hAnsi="Times New Roman" w:cs="Times New Roman"/>
        </w:rPr>
        <w:t xml:space="preserve"> that exponential-effect touchpoints share common characteristics: emotional resonance, authentic community connection, visible impact on others, personal agency, and clear connection to future </w:t>
      </w:r>
      <w:r w:rsidR="00244D2C" w:rsidRPr="00244D2C">
        <w:rPr>
          <w:rFonts w:ascii="Times New Roman" w:eastAsia="Times New Roman" w:hAnsi="Times New Roman" w:cs="Times New Roman"/>
        </w:rPr>
        <w:lastRenderedPageBreak/>
        <w:t xml:space="preserve">professional identity. This framework provides practitioners with </w:t>
      </w:r>
      <w:r w:rsidR="004B0C14" w:rsidRPr="004B0C14">
        <w:rPr>
          <w:rFonts w:ascii="Times New Roman" w:eastAsia="Times New Roman" w:hAnsi="Times New Roman" w:cs="Times New Roman"/>
        </w:rPr>
        <w:t>preliminary guidance based on our initial findings</w:t>
      </w:r>
      <w:r w:rsidR="004B0C14">
        <w:rPr>
          <w:rFonts w:ascii="Times New Roman" w:eastAsia="Times New Roman" w:hAnsi="Times New Roman" w:cs="Times New Roman"/>
        </w:rPr>
        <w:t xml:space="preserve"> </w:t>
      </w:r>
      <w:r w:rsidR="00244D2C" w:rsidRPr="00244D2C">
        <w:rPr>
          <w:rFonts w:ascii="Times New Roman" w:eastAsia="Times New Roman" w:hAnsi="Times New Roman" w:cs="Times New Roman"/>
        </w:rPr>
        <w:t xml:space="preserve">for designing and evaluating touchpoints to maximize exponential impact. </w:t>
      </w:r>
    </w:p>
    <w:p w14:paraId="3B5833FC" w14:textId="36235CF6" w:rsidR="00CD3DD7" w:rsidRPr="00162804" w:rsidRDefault="00162804" w:rsidP="00CD3DD7">
      <w:pPr>
        <w:pStyle w:val="NoSpacing"/>
        <w:spacing w:line="480" w:lineRule="auto"/>
        <w:rPr>
          <w:rFonts w:ascii="Times New Roman" w:eastAsia="Times New Roman" w:hAnsi="Times New Roman" w:cs="Times New Roman"/>
          <w:b/>
          <w:bCs/>
        </w:rPr>
      </w:pPr>
      <w:r w:rsidRPr="00162804">
        <w:rPr>
          <w:rFonts w:ascii="Times New Roman" w:eastAsia="Times New Roman" w:hAnsi="Times New Roman" w:cs="Times New Roman"/>
          <w:b/>
          <w:bCs/>
        </w:rPr>
        <w:t xml:space="preserve">Figure </w:t>
      </w:r>
      <w:r w:rsidR="007F053E">
        <w:rPr>
          <w:rFonts w:ascii="Times New Roman" w:eastAsia="Times New Roman" w:hAnsi="Times New Roman" w:cs="Times New Roman"/>
          <w:b/>
          <w:bCs/>
        </w:rPr>
        <w:t>3</w:t>
      </w:r>
    </w:p>
    <w:p w14:paraId="662E52BE" w14:textId="092F8543" w:rsidR="00162804" w:rsidRDefault="00102978" w:rsidP="00CD3DD7">
      <w:pPr>
        <w:pStyle w:val="NoSpacing"/>
        <w:spacing w:line="480" w:lineRule="auto"/>
        <w:rPr>
          <w:rFonts w:ascii="Times New Roman" w:eastAsia="Times New Roman" w:hAnsi="Times New Roman" w:cs="Times New Roman"/>
          <w:i/>
          <w:iCs/>
        </w:rPr>
      </w:pPr>
      <w:r w:rsidRPr="00102978">
        <w:rPr>
          <w:rFonts w:ascii="Times New Roman" w:eastAsia="Times New Roman" w:hAnsi="Times New Roman" w:cs="Times New Roman"/>
          <w:i/>
          <w:iCs/>
        </w:rPr>
        <w:t>Touchpoint Taxonomy Framework</w:t>
      </w:r>
    </w:p>
    <w:p w14:paraId="695D2D78" w14:textId="2391B343" w:rsidR="00102978" w:rsidRDefault="00736C41" w:rsidP="00CD3DD7">
      <w:pPr>
        <w:pStyle w:val="NoSpacing"/>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796CA36" wp14:editId="0486D146">
            <wp:extent cx="5930900" cy="3599180"/>
            <wp:effectExtent l="0" t="0" r="0" b="0"/>
            <wp:docPr id="738784868" name="Picture 13" descr="A diagram of a program impact frame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4868" name="Picture 13" descr="A diagram of a program impact framework&#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30900" cy="3599180"/>
                    </a:xfrm>
                    <a:prstGeom prst="rect">
                      <a:avLst/>
                    </a:prstGeom>
                  </pic:spPr>
                </pic:pic>
              </a:graphicData>
            </a:graphic>
          </wp:inline>
        </w:drawing>
      </w:r>
    </w:p>
    <w:p w14:paraId="10E8A0C3" w14:textId="2C00C4EC" w:rsidR="00EA63D5" w:rsidRDefault="00E11746" w:rsidP="00723A72">
      <w:pPr>
        <w:pStyle w:val="NoSpacing"/>
        <w:spacing w:line="480" w:lineRule="auto"/>
        <w:rPr>
          <w:rFonts w:ascii="Times New Roman" w:eastAsia="Times New Roman" w:hAnsi="Times New Roman" w:cs="Times New Roman"/>
        </w:rPr>
      </w:pPr>
      <w:r w:rsidRPr="00C1299E">
        <w:rPr>
          <w:rFonts w:ascii="Times New Roman" w:eastAsia="Times New Roman" w:hAnsi="Times New Roman" w:cs="Times New Roman"/>
          <w:i/>
          <w:iCs/>
        </w:rPr>
        <w:t>Note</w:t>
      </w:r>
      <w:r w:rsidR="00636A31">
        <w:rPr>
          <w:rFonts w:ascii="Times New Roman" w:eastAsia="Times New Roman" w:hAnsi="Times New Roman" w:cs="Times New Roman"/>
          <w:i/>
          <w:iCs/>
        </w:rPr>
        <w:t>:</w:t>
      </w:r>
      <w:r w:rsidRPr="00C1299E">
        <w:rPr>
          <w:rFonts w:ascii="Times New Roman" w:eastAsia="Times New Roman" w:hAnsi="Times New Roman" w:cs="Times New Roman"/>
        </w:rPr>
        <w:t xml:space="preserve"> </w:t>
      </w:r>
      <w:r w:rsidR="00EA63D5" w:rsidRPr="00EA63D5">
        <w:rPr>
          <w:rFonts w:ascii="Times New Roman" w:eastAsia="Times New Roman" w:hAnsi="Times New Roman" w:cs="Times New Roman"/>
        </w:rPr>
        <w:t>Three-level Touchpoint Taxonomy Framework showing leverage point categories, subcategories, and quality dimensions for optimizing exponential effects.</w:t>
      </w:r>
    </w:p>
    <w:p w14:paraId="105553EA" w14:textId="2643C4FB" w:rsidR="00723A72" w:rsidRPr="00E02A3D" w:rsidRDefault="00723A72" w:rsidP="00723A72">
      <w:pPr>
        <w:pStyle w:val="NoSpacing"/>
        <w:spacing w:line="480" w:lineRule="auto"/>
        <w:rPr>
          <w:rFonts w:ascii="Times New Roman" w:eastAsia="Times New Roman" w:hAnsi="Times New Roman" w:cs="Times New Roman"/>
          <w:b/>
          <w:bCs/>
        </w:rPr>
      </w:pPr>
      <w:r w:rsidRPr="00E02A3D">
        <w:rPr>
          <w:rFonts w:ascii="Times New Roman" w:eastAsia="Times New Roman" w:hAnsi="Times New Roman" w:cs="Times New Roman"/>
          <w:b/>
          <w:bCs/>
        </w:rPr>
        <w:t>Summary of Key Findings</w:t>
      </w:r>
    </w:p>
    <w:p w14:paraId="6B394D3F" w14:textId="2E7BAFB6" w:rsidR="00723A72" w:rsidRPr="00102978" w:rsidRDefault="00250E0A" w:rsidP="00723A72">
      <w:pPr>
        <w:pStyle w:val="NoSpacing"/>
        <w:spacing w:line="480" w:lineRule="auto"/>
        <w:ind w:firstLine="720"/>
        <w:rPr>
          <w:rFonts w:ascii="Times New Roman" w:eastAsia="Times New Roman" w:hAnsi="Times New Roman" w:cs="Times New Roman"/>
        </w:rPr>
      </w:pPr>
      <w:r w:rsidRPr="00250E0A">
        <w:rPr>
          <w:rFonts w:ascii="Times New Roman" w:eastAsia="Times New Roman" w:hAnsi="Times New Roman" w:cs="Times New Roman"/>
        </w:rPr>
        <w:t>Five preliminary findings emerged from this exploratory analysis</w:t>
      </w:r>
      <w:r w:rsidR="00723A72" w:rsidRPr="00E02A3D">
        <w:rPr>
          <w:rFonts w:ascii="Times New Roman" w:eastAsia="Times New Roman" w:hAnsi="Times New Roman" w:cs="Times New Roman"/>
        </w:rPr>
        <w:t xml:space="preserve">: (1) exponential effects </w:t>
      </w:r>
      <w:r w:rsidR="0021041F" w:rsidRPr="0021041F">
        <w:rPr>
          <w:rFonts w:ascii="Times New Roman" w:eastAsia="Times New Roman" w:hAnsi="Times New Roman" w:cs="Times New Roman"/>
        </w:rPr>
        <w:t>may be achievable</w:t>
      </w:r>
      <w:r w:rsidR="0021041F">
        <w:rPr>
          <w:rFonts w:ascii="Times New Roman" w:eastAsia="Times New Roman" w:hAnsi="Times New Roman" w:cs="Times New Roman"/>
        </w:rPr>
        <w:t xml:space="preserve"> </w:t>
      </w:r>
      <w:r w:rsidR="00723A72" w:rsidRPr="00E02A3D">
        <w:rPr>
          <w:rFonts w:ascii="Times New Roman" w:eastAsia="Times New Roman" w:hAnsi="Times New Roman" w:cs="Times New Roman"/>
        </w:rPr>
        <w:t xml:space="preserve">through </w:t>
      </w:r>
      <w:r w:rsidR="00587E76" w:rsidRPr="00587E76">
        <w:rPr>
          <w:rFonts w:ascii="Times New Roman" w:eastAsia="Times New Roman" w:hAnsi="Times New Roman" w:cs="Times New Roman"/>
        </w:rPr>
        <w:t>planned</w:t>
      </w:r>
      <w:r w:rsidR="00723A72" w:rsidRPr="00E02A3D">
        <w:rPr>
          <w:rFonts w:ascii="Times New Roman" w:eastAsia="Times New Roman" w:hAnsi="Times New Roman" w:cs="Times New Roman"/>
        </w:rPr>
        <w:t xml:space="preserve"> touchpoint design, with </w:t>
      </w:r>
      <w:r w:rsidR="002733C2" w:rsidRPr="002733C2">
        <w:rPr>
          <w:rFonts w:ascii="Times New Roman" w:eastAsia="Times New Roman" w:hAnsi="Times New Roman" w:cs="Times New Roman"/>
        </w:rPr>
        <w:t xml:space="preserve">polynomial models explaining </w:t>
      </w:r>
      <w:r w:rsidR="0021041F" w:rsidRPr="0021041F">
        <w:rPr>
          <w:rFonts w:ascii="Times New Roman" w:eastAsia="Times New Roman" w:hAnsi="Times New Roman" w:cs="Times New Roman"/>
        </w:rPr>
        <w:t>modestly more</w:t>
      </w:r>
      <w:r w:rsidR="0021041F">
        <w:rPr>
          <w:rFonts w:ascii="Times New Roman" w:eastAsia="Times New Roman" w:hAnsi="Times New Roman" w:cs="Times New Roman"/>
        </w:rPr>
        <w:t xml:space="preserve"> </w:t>
      </w:r>
      <w:r w:rsidR="002733C2" w:rsidRPr="002733C2">
        <w:rPr>
          <w:rFonts w:ascii="Times New Roman" w:eastAsia="Times New Roman" w:hAnsi="Times New Roman" w:cs="Times New Roman"/>
        </w:rPr>
        <w:t>variance (p = 0.028)</w:t>
      </w:r>
      <w:r w:rsidR="00723A72" w:rsidRPr="00E02A3D">
        <w:rPr>
          <w:rFonts w:ascii="Times New Roman" w:eastAsia="Times New Roman" w:hAnsi="Times New Roman" w:cs="Times New Roman"/>
        </w:rPr>
        <w:t xml:space="preserve">; (2) threshold </w:t>
      </w:r>
      <w:r w:rsidR="0047656F">
        <w:rPr>
          <w:rFonts w:ascii="Times New Roman" w:eastAsia="Times New Roman" w:hAnsi="Times New Roman" w:cs="Times New Roman"/>
        </w:rPr>
        <w:t xml:space="preserve">impact </w:t>
      </w:r>
      <w:r w:rsidR="0075096E" w:rsidRPr="0075096E">
        <w:rPr>
          <w:rFonts w:ascii="Times New Roman" w:eastAsia="Times New Roman" w:hAnsi="Times New Roman" w:cs="Times New Roman"/>
        </w:rPr>
        <w:t>appears to exist</w:t>
      </w:r>
      <w:r w:rsidR="00723A72" w:rsidRPr="00E02A3D">
        <w:rPr>
          <w:rFonts w:ascii="Times New Roman" w:eastAsia="Times New Roman" w:hAnsi="Times New Roman" w:cs="Times New Roman"/>
        </w:rPr>
        <w:t xml:space="preserve"> at 6.2 touchpoints where transformation accelerates; (3) community integration </w:t>
      </w:r>
      <w:r w:rsidR="008D0C84" w:rsidRPr="008D0C84">
        <w:rPr>
          <w:rFonts w:ascii="Times New Roman" w:eastAsia="Times New Roman" w:hAnsi="Times New Roman" w:cs="Times New Roman"/>
        </w:rPr>
        <w:t>showed the strongest effects in our sample</w:t>
      </w:r>
      <w:r w:rsidR="00723A72" w:rsidRPr="00E02A3D">
        <w:rPr>
          <w:rFonts w:ascii="Times New Roman" w:eastAsia="Times New Roman" w:hAnsi="Times New Roman" w:cs="Times New Roman"/>
        </w:rPr>
        <w:t xml:space="preserve"> (f² = 0.216); (4) synergistic interactions </w:t>
      </w:r>
      <w:r w:rsidR="00553BD7" w:rsidRPr="00553BD7">
        <w:rPr>
          <w:rFonts w:ascii="Times New Roman" w:eastAsia="Times New Roman" w:hAnsi="Times New Roman" w:cs="Times New Roman"/>
        </w:rPr>
        <w:t>may</w:t>
      </w:r>
      <w:r w:rsidR="00553BD7">
        <w:rPr>
          <w:rFonts w:ascii="Times New Roman" w:eastAsia="Times New Roman" w:hAnsi="Times New Roman" w:cs="Times New Roman"/>
        </w:rPr>
        <w:t xml:space="preserve"> </w:t>
      </w:r>
      <w:r w:rsidR="00723A72" w:rsidRPr="00E02A3D">
        <w:rPr>
          <w:rFonts w:ascii="Times New Roman" w:eastAsia="Times New Roman" w:hAnsi="Times New Roman" w:cs="Times New Roman"/>
        </w:rPr>
        <w:t xml:space="preserve">amplify individual effects by up to 85%; </w:t>
      </w:r>
      <w:r w:rsidR="00723A72" w:rsidRPr="00E02A3D">
        <w:rPr>
          <w:rFonts w:ascii="Times New Roman" w:eastAsia="Times New Roman" w:hAnsi="Times New Roman" w:cs="Times New Roman"/>
        </w:rPr>
        <w:lastRenderedPageBreak/>
        <w:t xml:space="preserve">and (5) </w:t>
      </w:r>
      <w:r w:rsidR="005253E7" w:rsidRPr="005253E7">
        <w:rPr>
          <w:rFonts w:ascii="Times New Roman" w:eastAsia="Times New Roman" w:hAnsi="Times New Roman" w:cs="Times New Roman"/>
        </w:rPr>
        <w:t xml:space="preserve">quality </w:t>
      </w:r>
      <w:r w:rsidR="00553BD7" w:rsidRPr="00553BD7">
        <w:rPr>
          <w:rFonts w:ascii="Times New Roman" w:eastAsia="Times New Roman" w:hAnsi="Times New Roman" w:cs="Times New Roman"/>
        </w:rPr>
        <w:t>appears to amplify</w:t>
      </w:r>
      <w:r w:rsidR="00553BD7">
        <w:rPr>
          <w:rFonts w:ascii="Times New Roman" w:eastAsia="Times New Roman" w:hAnsi="Times New Roman" w:cs="Times New Roman"/>
        </w:rPr>
        <w:t xml:space="preserve"> </w:t>
      </w:r>
      <w:r w:rsidR="005253E7" w:rsidRPr="005253E7">
        <w:rPr>
          <w:rFonts w:ascii="Times New Roman" w:eastAsia="Times New Roman" w:hAnsi="Times New Roman" w:cs="Times New Roman"/>
        </w:rPr>
        <w:t>quantity effects</w:t>
      </w:r>
      <w:r w:rsidR="00723A72" w:rsidRPr="00E02A3D">
        <w:rPr>
          <w:rFonts w:ascii="Times New Roman" w:eastAsia="Times New Roman" w:hAnsi="Times New Roman" w:cs="Times New Roman"/>
        </w:rPr>
        <w:t xml:space="preserve">. These findings </w:t>
      </w:r>
      <w:r w:rsidR="00103518" w:rsidRPr="00103518">
        <w:rPr>
          <w:rFonts w:ascii="Times New Roman" w:eastAsia="Times New Roman" w:hAnsi="Times New Roman" w:cs="Times New Roman"/>
        </w:rPr>
        <w:t>suggest exploring</w:t>
      </w:r>
      <w:r w:rsidR="00103518">
        <w:rPr>
          <w:rFonts w:ascii="Times New Roman" w:eastAsia="Times New Roman" w:hAnsi="Times New Roman" w:cs="Times New Roman"/>
        </w:rPr>
        <w:t xml:space="preserve"> </w:t>
      </w:r>
      <w:r w:rsidR="00723A72" w:rsidRPr="00E02A3D">
        <w:rPr>
          <w:rFonts w:ascii="Times New Roman" w:eastAsia="Times New Roman" w:hAnsi="Times New Roman" w:cs="Times New Roman"/>
        </w:rPr>
        <w:t>targeted optimization strategies rather than broad program expansion.</w:t>
      </w:r>
    </w:p>
    <w:p w14:paraId="11F6A5BD" w14:textId="77777777" w:rsidR="00740C9A" w:rsidRPr="00A232F1" w:rsidRDefault="00740C9A" w:rsidP="00A232F1">
      <w:pPr>
        <w:pStyle w:val="NoSpacing"/>
        <w:spacing w:line="480" w:lineRule="auto"/>
        <w:jc w:val="center"/>
        <w:rPr>
          <w:rFonts w:ascii="Times New Roman" w:eastAsia="Times New Roman" w:hAnsi="Times New Roman" w:cs="Times New Roman"/>
          <w:b/>
          <w:bCs/>
        </w:rPr>
      </w:pPr>
      <w:r w:rsidRPr="00A232F1">
        <w:rPr>
          <w:rFonts w:ascii="Times New Roman" w:eastAsia="Times New Roman" w:hAnsi="Times New Roman" w:cs="Times New Roman"/>
          <w:b/>
          <w:bCs/>
        </w:rPr>
        <w:t>Discussion</w:t>
      </w:r>
    </w:p>
    <w:p w14:paraId="3E41048C" w14:textId="77777777" w:rsidR="00740C9A" w:rsidRDefault="00740C9A" w:rsidP="00A232F1">
      <w:pPr>
        <w:pStyle w:val="NoSpacing"/>
        <w:spacing w:line="480" w:lineRule="auto"/>
        <w:rPr>
          <w:rFonts w:ascii="Times New Roman" w:eastAsia="Times New Roman" w:hAnsi="Times New Roman" w:cs="Times New Roman"/>
          <w:b/>
          <w:bCs/>
        </w:rPr>
      </w:pPr>
      <w:r w:rsidRPr="00A232F1">
        <w:rPr>
          <w:rFonts w:ascii="Times New Roman" w:eastAsia="Times New Roman" w:hAnsi="Times New Roman" w:cs="Times New Roman"/>
          <w:b/>
          <w:bCs/>
        </w:rPr>
        <w:t>Theoretical Implications</w:t>
      </w:r>
    </w:p>
    <w:p w14:paraId="1C8BA768" w14:textId="1F1411F8" w:rsidR="00C7554C" w:rsidRPr="00C7554C" w:rsidRDefault="00C0192F" w:rsidP="00C7554C">
      <w:pPr>
        <w:pStyle w:val="NoSpacing"/>
        <w:spacing w:line="480" w:lineRule="auto"/>
        <w:ind w:firstLine="720"/>
        <w:rPr>
          <w:rFonts w:ascii="Times New Roman" w:eastAsia="Times New Roman" w:hAnsi="Times New Roman" w:cs="Times New Roman"/>
        </w:rPr>
      </w:pPr>
      <w:r w:rsidRPr="00C0192F">
        <w:rPr>
          <w:rFonts w:ascii="Times New Roman" w:eastAsia="Times New Roman" w:hAnsi="Times New Roman" w:cs="Times New Roman"/>
        </w:rPr>
        <w:t xml:space="preserve">This research provides </w:t>
      </w:r>
      <w:r w:rsidR="00103518" w:rsidRPr="00103518">
        <w:rPr>
          <w:rFonts w:ascii="Times New Roman" w:eastAsia="Times New Roman" w:hAnsi="Times New Roman" w:cs="Times New Roman"/>
        </w:rPr>
        <w:t>preliminary empirical evidence</w:t>
      </w:r>
      <w:r w:rsidR="00103518">
        <w:rPr>
          <w:rFonts w:ascii="Times New Roman" w:eastAsia="Times New Roman" w:hAnsi="Times New Roman" w:cs="Times New Roman"/>
        </w:rPr>
        <w:t xml:space="preserve"> </w:t>
      </w:r>
      <w:r w:rsidRPr="00C0192F">
        <w:rPr>
          <w:rFonts w:ascii="Times New Roman" w:eastAsia="Times New Roman" w:hAnsi="Times New Roman" w:cs="Times New Roman"/>
        </w:rPr>
        <w:t>of exponential effects in rural healthcare workforce development through strategic touchpoint optimization.</w:t>
      </w:r>
      <w:r w:rsidR="00C7554C" w:rsidRPr="00C7554C">
        <w:rPr>
          <w:rFonts w:ascii="Times New Roman" w:eastAsia="Times New Roman" w:hAnsi="Times New Roman" w:cs="Times New Roman"/>
        </w:rPr>
        <w:t xml:space="preserve"> </w:t>
      </w:r>
      <w:r w:rsidR="00AD35CE" w:rsidRPr="003A02E5">
        <w:rPr>
          <w:rFonts w:ascii="Times New Roman" w:eastAsia="Times New Roman" w:hAnsi="Times New Roman" w:cs="Times New Roman"/>
        </w:rPr>
        <w:t xml:space="preserve">The application of bootstrap validation to educational intervention research represents a methodological advancement, demonstrating how small-sample studies can </w:t>
      </w:r>
      <w:r w:rsidR="00A26014" w:rsidRPr="00A26014">
        <w:rPr>
          <w:rFonts w:ascii="Times New Roman" w:eastAsia="Times New Roman" w:hAnsi="Times New Roman" w:cs="Times New Roman"/>
        </w:rPr>
        <w:t>explore patterns</w:t>
      </w:r>
      <w:r w:rsidR="00A26014">
        <w:rPr>
          <w:rFonts w:ascii="Times New Roman" w:eastAsia="Times New Roman" w:hAnsi="Times New Roman" w:cs="Times New Roman"/>
        </w:rPr>
        <w:t xml:space="preserve"> </w:t>
      </w:r>
      <w:r w:rsidR="00AD35CE" w:rsidRPr="003A02E5">
        <w:rPr>
          <w:rFonts w:ascii="Times New Roman" w:eastAsia="Times New Roman" w:hAnsi="Times New Roman" w:cs="Times New Roman"/>
        </w:rPr>
        <w:t xml:space="preserve">through appropriate resampling techniques. </w:t>
      </w:r>
      <w:r w:rsidR="00171031" w:rsidRPr="00171031">
        <w:rPr>
          <w:rFonts w:ascii="Times New Roman" w:eastAsia="Times New Roman" w:hAnsi="Times New Roman" w:cs="Times New Roman"/>
        </w:rPr>
        <w:t>Though bootstrap methods help assess stability, they cannot overcome the fundamental limitations of our small sample size.</w:t>
      </w:r>
      <w:r w:rsidR="00171031">
        <w:rPr>
          <w:rFonts w:ascii="Times New Roman" w:eastAsia="Times New Roman" w:hAnsi="Times New Roman" w:cs="Times New Roman"/>
        </w:rPr>
        <w:t xml:space="preserve"> </w:t>
      </w:r>
      <w:r w:rsidR="00DD3F3A" w:rsidRPr="00DD3F3A">
        <w:rPr>
          <w:rFonts w:ascii="Times New Roman" w:eastAsia="Times New Roman" w:hAnsi="Times New Roman" w:cs="Times New Roman"/>
        </w:rPr>
        <w:t>The demonstrated polynomial superiority</w:t>
      </w:r>
      <w:r w:rsidR="00422CB8">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extends beyond statistical significance to </w:t>
      </w:r>
      <w:r w:rsidR="009B2E80" w:rsidRPr="009B2E80">
        <w:rPr>
          <w:rFonts w:ascii="Times New Roman" w:eastAsia="Times New Roman" w:hAnsi="Times New Roman" w:cs="Times New Roman"/>
        </w:rPr>
        <w:t>suggest new perspectives on</w:t>
      </w:r>
      <w:r w:rsidR="00C7554C" w:rsidRPr="00C7554C">
        <w:rPr>
          <w:rFonts w:ascii="Times New Roman" w:eastAsia="Times New Roman" w:hAnsi="Times New Roman" w:cs="Times New Roman"/>
        </w:rPr>
        <w:t xml:space="preserve"> educational interventions. Meyer and Land's (2006) threshold concept theory gains new dimension through our finding that multiple micro-thresholds </w:t>
      </w:r>
      <w:r w:rsidR="00032004" w:rsidRPr="00032004">
        <w:rPr>
          <w:rFonts w:ascii="Times New Roman" w:eastAsia="Times New Roman" w:hAnsi="Times New Roman" w:cs="Times New Roman"/>
        </w:rPr>
        <w:t>may</w:t>
      </w:r>
      <w:r w:rsidR="00032004">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accumulate to create macro-transformation, challenging the traditional view of thresholds as singular dramatic events. The 6.2 touchpoint threshold represents not one transformative moment but the critical mass where accumulated experiences </w:t>
      </w:r>
      <w:r w:rsidR="00CD6CAA" w:rsidRPr="00CD6CAA">
        <w:rPr>
          <w:rFonts w:ascii="Times New Roman" w:eastAsia="Times New Roman" w:hAnsi="Times New Roman" w:cs="Times New Roman"/>
        </w:rPr>
        <w:t>may crystallize into</w:t>
      </w:r>
      <w:r w:rsidR="00CD6CAA">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professional identity shift. Bandura's (1986) social learning framework similarly expands through evidence of the 1.85x synergy factor, demonstrating that multiple modeling opportunities </w:t>
      </w:r>
      <w:r w:rsidR="00484FC5" w:rsidRPr="00484FC5">
        <w:rPr>
          <w:rFonts w:ascii="Times New Roman" w:eastAsia="Times New Roman" w:hAnsi="Times New Roman" w:cs="Times New Roman"/>
        </w:rPr>
        <w:t>may create effects beyond simple addition</w:t>
      </w:r>
      <w:r w:rsidR="00484FC5">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when operating simultaneously across community contexts. Thaler and Sunstein's (2008) nudge principles find new application in educational settings, where strategic sequencing of multiple small interventions </w:t>
      </w:r>
      <w:r w:rsidR="00484FC5" w:rsidRPr="00484FC5">
        <w:rPr>
          <w:rFonts w:ascii="Times New Roman" w:eastAsia="Times New Roman" w:hAnsi="Times New Roman" w:cs="Times New Roman"/>
        </w:rPr>
        <w:t>may generate compound effects</w:t>
      </w:r>
      <w:r w:rsidR="00484FC5">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previously theorized but not empirically demonstrated. This theoretical integration suggests that transformation occurs through the </w:t>
      </w:r>
      <w:r w:rsidR="00C7554C" w:rsidRPr="00C7554C">
        <w:rPr>
          <w:rFonts w:ascii="Times New Roman" w:eastAsia="Times New Roman" w:hAnsi="Times New Roman" w:cs="Times New Roman"/>
        </w:rPr>
        <w:lastRenderedPageBreak/>
        <w:t>intersection of cognitive readiness (threshold concepts), observational reinforcement (social learning), and environmental optimization (nudge architecture).</w:t>
      </w:r>
    </w:p>
    <w:p w14:paraId="69B738F3" w14:textId="77777777" w:rsidR="00C7554C" w:rsidRDefault="00C7554C" w:rsidP="00C7554C">
      <w:pPr>
        <w:pStyle w:val="NoSpacing"/>
        <w:spacing w:line="480" w:lineRule="auto"/>
        <w:rPr>
          <w:rFonts w:ascii="Times New Roman" w:eastAsia="Times New Roman" w:hAnsi="Times New Roman" w:cs="Times New Roman"/>
        </w:rPr>
      </w:pPr>
      <w:r w:rsidRPr="00C7554C">
        <w:rPr>
          <w:rFonts w:ascii="Times New Roman" w:eastAsia="Times New Roman" w:hAnsi="Times New Roman" w:cs="Times New Roman"/>
          <w:b/>
          <w:bCs/>
        </w:rPr>
        <w:t>Challenging Conventional Assumptions</w:t>
      </w:r>
      <w:r w:rsidRPr="00C7554C">
        <w:rPr>
          <w:rFonts w:ascii="Times New Roman" w:eastAsia="Times New Roman" w:hAnsi="Times New Roman" w:cs="Times New Roman"/>
        </w:rPr>
        <w:t> </w:t>
      </w:r>
    </w:p>
    <w:p w14:paraId="34A1F130" w14:textId="512B9B60" w:rsidR="00C7554C" w:rsidRPr="00C7554C" w:rsidRDefault="00310CA3" w:rsidP="00C7554C">
      <w:pPr>
        <w:pStyle w:val="NoSpacing"/>
        <w:spacing w:line="480" w:lineRule="auto"/>
        <w:ind w:firstLine="720"/>
        <w:rPr>
          <w:rFonts w:ascii="Times New Roman" w:eastAsia="Times New Roman" w:hAnsi="Times New Roman" w:cs="Times New Roman"/>
        </w:rPr>
      </w:pPr>
      <w:r w:rsidRPr="00310CA3">
        <w:rPr>
          <w:rFonts w:ascii="Times New Roman" w:eastAsia="Times New Roman" w:hAnsi="Times New Roman" w:cs="Times New Roman"/>
        </w:rPr>
        <w:t xml:space="preserve">The finding that community integration demonstrates nearly triple the effect size of clinical experience </w:t>
      </w:r>
      <w:r w:rsidR="0039401D" w:rsidRPr="0039401D">
        <w:rPr>
          <w:rFonts w:ascii="Times New Roman" w:eastAsia="Times New Roman" w:hAnsi="Times New Roman" w:cs="Times New Roman"/>
        </w:rPr>
        <w:t>raises questions about conventional assumptions</w:t>
      </w:r>
      <w:r w:rsidR="00C7554C" w:rsidRPr="00C7554C">
        <w:rPr>
          <w:rFonts w:ascii="Times New Roman" w:eastAsia="Times New Roman" w:hAnsi="Times New Roman" w:cs="Times New Roman"/>
        </w:rPr>
        <w:t xml:space="preserve">. While Johnson, Wright, and Foster (2018) found clinical placements important for rural workforce development, our results suggest these placements </w:t>
      </w:r>
      <w:r w:rsidR="00B27D55" w:rsidRPr="00B27D55">
        <w:rPr>
          <w:rFonts w:ascii="Times New Roman" w:eastAsia="Times New Roman" w:hAnsi="Times New Roman" w:cs="Times New Roman"/>
        </w:rPr>
        <w:t>may serve different functions than previously assumed</w:t>
      </w:r>
      <w:r w:rsidR="00C7554C" w:rsidRPr="00C7554C">
        <w:rPr>
          <w:rFonts w:ascii="Times New Roman" w:eastAsia="Times New Roman" w:hAnsi="Times New Roman" w:cs="Times New Roman"/>
        </w:rPr>
        <w:t xml:space="preserve">. This aligns with emerging understanding about professional identity formation; </w:t>
      </w:r>
      <w:r w:rsidR="008F1606" w:rsidRPr="002943BB">
        <w:rPr>
          <w:rFonts w:ascii="Times New Roman" w:eastAsia="Times New Roman" w:hAnsi="Times New Roman" w:cs="Times New Roman"/>
        </w:rPr>
        <w:t>Haruta, Ozone, &amp; Hamano</w:t>
      </w:r>
      <w:r w:rsidR="008F1606" w:rsidRPr="00C7554C">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(2020) identified multiple pathways to professional development, and </w:t>
      </w:r>
      <w:r w:rsidR="00E812F8" w:rsidRPr="00E812F8">
        <w:rPr>
          <w:rFonts w:ascii="Times New Roman" w:eastAsia="Times New Roman" w:hAnsi="Times New Roman" w:cs="Times New Roman"/>
        </w:rPr>
        <w:t>the findings indicate</w:t>
      </w:r>
      <w:r w:rsidR="00E812F8">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community integration </w:t>
      </w:r>
      <w:r w:rsidR="00B27D55" w:rsidRPr="00B27D55">
        <w:rPr>
          <w:rFonts w:ascii="Times New Roman" w:eastAsia="Times New Roman" w:hAnsi="Times New Roman" w:cs="Times New Roman"/>
        </w:rPr>
        <w:t>warrants further investigation as a potentially powerful pathway</w:t>
      </w:r>
      <w:r w:rsidR="00B27D55">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for rural practice commitment. The primacy of community touchpoints over clinical experiences suggests that rural workforce programs </w:t>
      </w:r>
      <w:r w:rsidR="003214BD" w:rsidRPr="003214BD">
        <w:rPr>
          <w:rFonts w:ascii="Times New Roman" w:eastAsia="Times New Roman" w:hAnsi="Times New Roman" w:cs="Times New Roman"/>
        </w:rPr>
        <w:t>may benefit from reconsidering their leverage point</w:t>
      </w:r>
      <w:r w:rsidR="002D2E66">
        <w:rPr>
          <w:rFonts w:ascii="Times New Roman" w:eastAsia="Times New Roman" w:hAnsi="Times New Roman" w:cs="Times New Roman"/>
        </w:rPr>
        <w:t xml:space="preserve"> resource priority allocation</w:t>
      </w:r>
      <w:r w:rsidR="00C7554C" w:rsidRPr="00C7554C">
        <w:rPr>
          <w:rFonts w:ascii="Times New Roman" w:eastAsia="Times New Roman" w:hAnsi="Times New Roman" w:cs="Times New Roman"/>
        </w:rPr>
        <w:t xml:space="preserve">. Traditional medical education's emphasis on clinical skill development, while necessary, may inadvertently overlook the </w:t>
      </w:r>
      <w:r w:rsidR="00864BBC" w:rsidRPr="00864BBC">
        <w:rPr>
          <w:rFonts w:ascii="Times New Roman" w:eastAsia="Times New Roman" w:hAnsi="Times New Roman" w:cs="Times New Roman"/>
        </w:rPr>
        <w:t>potentially important influence</w:t>
      </w:r>
      <w:r w:rsidR="00864BBC">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of social belonging and community membership on career decisions. As </w:t>
      </w:r>
      <w:r w:rsidR="00F14B64" w:rsidRPr="002943BB">
        <w:rPr>
          <w:rFonts w:ascii="Times New Roman" w:eastAsia="Times New Roman" w:hAnsi="Times New Roman" w:cs="Times New Roman"/>
        </w:rPr>
        <w:t>Goel, Angeli, Singla, &amp; Ruwaard</w:t>
      </w:r>
      <w:r w:rsidR="00F14B64" w:rsidRPr="00C7554C">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(2018) identified, social segregation represents a primary barrier to rural practice; </w:t>
      </w:r>
      <w:r w:rsidR="00184ECD" w:rsidRPr="00184ECD">
        <w:rPr>
          <w:rFonts w:ascii="Times New Roman" w:eastAsia="Times New Roman" w:hAnsi="Times New Roman" w:cs="Times New Roman"/>
        </w:rPr>
        <w:t>these findings suggest</w:t>
      </w:r>
      <w:r w:rsidR="00184ECD">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community integration touchpoints </w:t>
      </w:r>
      <w:r w:rsidR="0055380D" w:rsidRPr="0055380D">
        <w:rPr>
          <w:rFonts w:ascii="Times New Roman" w:eastAsia="Times New Roman" w:hAnsi="Times New Roman" w:cs="Times New Roman"/>
        </w:rPr>
        <w:t>may help address</w:t>
      </w:r>
      <w:r w:rsidR="0055380D">
        <w:rPr>
          <w:rFonts w:ascii="Times New Roman" w:eastAsia="Times New Roman" w:hAnsi="Times New Roman" w:cs="Times New Roman"/>
        </w:rPr>
        <w:t xml:space="preserve"> </w:t>
      </w:r>
      <w:r w:rsidR="00C7554C" w:rsidRPr="00C7554C">
        <w:rPr>
          <w:rFonts w:ascii="Times New Roman" w:eastAsia="Times New Roman" w:hAnsi="Times New Roman" w:cs="Times New Roman"/>
        </w:rPr>
        <w:t>this barrier by transforming isolation into belonging.</w:t>
      </w:r>
    </w:p>
    <w:p w14:paraId="46A4AD50" w14:textId="77777777" w:rsidR="00A83689" w:rsidRDefault="00C7554C" w:rsidP="00C7554C">
      <w:pPr>
        <w:pStyle w:val="NoSpacing"/>
        <w:spacing w:line="480" w:lineRule="auto"/>
        <w:rPr>
          <w:rFonts w:ascii="Times New Roman" w:eastAsia="Times New Roman" w:hAnsi="Times New Roman" w:cs="Times New Roman"/>
        </w:rPr>
      </w:pPr>
      <w:r w:rsidRPr="00C7554C">
        <w:rPr>
          <w:rFonts w:ascii="Times New Roman" w:eastAsia="Times New Roman" w:hAnsi="Times New Roman" w:cs="Times New Roman"/>
          <w:b/>
          <w:bCs/>
        </w:rPr>
        <w:t>Mechanisms of Exponential Impact</w:t>
      </w:r>
      <w:r w:rsidRPr="00C7554C">
        <w:rPr>
          <w:rFonts w:ascii="Times New Roman" w:eastAsia="Times New Roman" w:hAnsi="Times New Roman" w:cs="Times New Roman"/>
        </w:rPr>
        <w:t> </w:t>
      </w:r>
    </w:p>
    <w:p w14:paraId="43AE7EF3" w14:textId="17BB8D3A" w:rsidR="00C7554C" w:rsidRPr="00C7554C" w:rsidRDefault="00560030" w:rsidP="00A83689">
      <w:pPr>
        <w:pStyle w:val="NoSpacing"/>
        <w:spacing w:line="480" w:lineRule="auto"/>
        <w:ind w:firstLine="720"/>
        <w:rPr>
          <w:rFonts w:ascii="Times New Roman" w:eastAsia="Times New Roman" w:hAnsi="Times New Roman" w:cs="Times New Roman"/>
        </w:rPr>
      </w:pPr>
      <w:r>
        <w:rPr>
          <w:rFonts w:ascii="Times New Roman" w:eastAsia="Times New Roman" w:hAnsi="Times New Roman" w:cs="Times New Roman"/>
        </w:rPr>
        <w:t>Three</w:t>
      </w:r>
      <w:r w:rsidR="00C7554C" w:rsidRPr="00C7554C">
        <w:rPr>
          <w:rFonts w:ascii="Times New Roman" w:eastAsia="Times New Roman" w:hAnsi="Times New Roman" w:cs="Times New Roman"/>
        </w:rPr>
        <w:t xml:space="preserve"> specific mechanisms </w:t>
      </w:r>
      <w:r w:rsidR="0055380D" w:rsidRPr="0055380D">
        <w:rPr>
          <w:rFonts w:ascii="Times New Roman" w:eastAsia="Times New Roman" w:hAnsi="Times New Roman" w:cs="Times New Roman"/>
        </w:rPr>
        <w:t>may explain how</w:t>
      </w:r>
      <w:r w:rsidR="0055380D">
        <w:rPr>
          <w:rFonts w:ascii="Times New Roman" w:eastAsia="Times New Roman" w:hAnsi="Times New Roman" w:cs="Times New Roman"/>
        </w:rPr>
        <w:t xml:space="preserve"> </w:t>
      </w:r>
      <w:r w:rsidR="00C7554C" w:rsidRPr="00C7554C">
        <w:rPr>
          <w:rFonts w:ascii="Times New Roman" w:eastAsia="Times New Roman" w:hAnsi="Times New Roman" w:cs="Times New Roman"/>
        </w:rPr>
        <w:t xml:space="preserve">touchpoints create exponential rather than linear effects. First, emotional resonance emerged as critical, with high-quality touchpoints (≥7 rating) consistently involving moments of connection, purpose, and belonging that transcended intellectual understanding. Second, identity integration occurred when participants could </w:t>
      </w:r>
      <w:r w:rsidR="00C7554C" w:rsidRPr="00C7554C">
        <w:rPr>
          <w:rFonts w:ascii="Times New Roman" w:eastAsia="Times New Roman" w:hAnsi="Times New Roman" w:cs="Times New Roman"/>
        </w:rPr>
        <w:lastRenderedPageBreak/>
        <w:t xml:space="preserve">envision themselves not just as healthcare providers but as community members, addressing the social segregation concerns that deter rural practice. Third, cascading realizations created acceleration, where each touchpoint built upon previous experiences to generate deepening understanding. As one participant reflected: "One of the greatest insights I've gained from the ReConnect Fellowship is that stepping outside of your comfort zone is essential for growth. I like to think of it like a muscle—it needs to be challenged and broken down in order to rebuild and expand its limits." </w:t>
      </w:r>
    </w:p>
    <w:p w14:paraId="3F90F304" w14:textId="77777777" w:rsidR="00A83689" w:rsidRDefault="00C7554C" w:rsidP="00C7554C">
      <w:pPr>
        <w:pStyle w:val="NoSpacing"/>
        <w:spacing w:line="480" w:lineRule="auto"/>
        <w:rPr>
          <w:rFonts w:ascii="Times New Roman" w:eastAsia="Times New Roman" w:hAnsi="Times New Roman" w:cs="Times New Roman"/>
        </w:rPr>
      </w:pPr>
      <w:r w:rsidRPr="00C7554C">
        <w:rPr>
          <w:rFonts w:ascii="Times New Roman" w:eastAsia="Times New Roman" w:hAnsi="Times New Roman" w:cs="Times New Roman"/>
          <w:b/>
          <w:bCs/>
        </w:rPr>
        <w:t>Practical Implications</w:t>
      </w:r>
      <w:r w:rsidRPr="00C7554C">
        <w:rPr>
          <w:rFonts w:ascii="Times New Roman" w:eastAsia="Times New Roman" w:hAnsi="Times New Roman" w:cs="Times New Roman"/>
        </w:rPr>
        <w:t> </w:t>
      </w:r>
    </w:p>
    <w:p w14:paraId="1849192E" w14:textId="0A9EF503" w:rsidR="00C7554C" w:rsidRPr="00C7554C" w:rsidRDefault="00C7554C" w:rsidP="00A83689">
      <w:pPr>
        <w:pStyle w:val="NoSpacing"/>
        <w:spacing w:line="480" w:lineRule="auto"/>
        <w:ind w:firstLine="720"/>
        <w:rPr>
          <w:rFonts w:ascii="Times New Roman" w:eastAsia="Times New Roman" w:hAnsi="Times New Roman" w:cs="Times New Roman"/>
        </w:rPr>
      </w:pPr>
      <w:r w:rsidRPr="00C7554C">
        <w:rPr>
          <w:rFonts w:ascii="Times New Roman" w:eastAsia="Times New Roman" w:hAnsi="Times New Roman" w:cs="Times New Roman"/>
        </w:rPr>
        <w:t xml:space="preserve">These findings </w:t>
      </w:r>
      <w:r w:rsidR="00973712" w:rsidRPr="00973712">
        <w:rPr>
          <w:rFonts w:ascii="Times New Roman" w:eastAsia="Times New Roman" w:hAnsi="Times New Roman" w:cs="Times New Roman"/>
        </w:rPr>
        <w:t>suggest reconsider</w:t>
      </w:r>
      <w:r w:rsidR="00201BD2">
        <w:rPr>
          <w:rFonts w:ascii="Times New Roman" w:eastAsia="Times New Roman" w:hAnsi="Times New Roman" w:cs="Times New Roman"/>
        </w:rPr>
        <w:t>ation</w:t>
      </w:r>
      <w:r w:rsidR="00973712">
        <w:rPr>
          <w:rFonts w:ascii="Times New Roman" w:eastAsia="Times New Roman" w:hAnsi="Times New Roman" w:cs="Times New Roman"/>
        </w:rPr>
        <w:t xml:space="preserve"> </w:t>
      </w:r>
      <w:r w:rsidRPr="00C7554C">
        <w:rPr>
          <w:rFonts w:ascii="Times New Roman" w:eastAsia="Times New Roman" w:hAnsi="Times New Roman" w:cs="Times New Roman"/>
        </w:rPr>
        <w:t xml:space="preserve">of resource allocation in rural workforce programs. </w:t>
      </w:r>
      <w:r w:rsidR="002D0593" w:rsidRPr="002D0593">
        <w:rPr>
          <w:rFonts w:ascii="Times New Roman" w:eastAsia="Times New Roman" w:hAnsi="Times New Roman" w:cs="Times New Roman"/>
        </w:rPr>
        <w:t>While our findings suggest alternative resource distributions, implementation should proceed cautiously given our study limitations.</w:t>
      </w:r>
      <w:r w:rsidR="002D0593">
        <w:rPr>
          <w:rFonts w:ascii="Times New Roman" w:eastAsia="Times New Roman" w:hAnsi="Times New Roman" w:cs="Times New Roman"/>
        </w:rPr>
        <w:t xml:space="preserve"> </w:t>
      </w:r>
      <w:r w:rsidRPr="00C7554C">
        <w:rPr>
          <w:rFonts w:ascii="Times New Roman" w:eastAsia="Times New Roman" w:hAnsi="Times New Roman" w:cs="Times New Roman"/>
        </w:rPr>
        <w:t xml:space="preserve">Program administrators should immediately assess whether their resource allocation aligns with impact potential rather than conventional assumptions. Achieving exponential effects </w:t>
      </w:r>
      <w:r w:rsidR="00B57508" w:rsidRPr="00B57508">
        <w:rPr>
          <w:rFonts w:ascii="Times New Roman" w:eastAsia="Times New Roman" w:hAnsi="Times New Roman" w:cs="Times New Roman"/>
        </w:rPr>
        <w:t>may benefit from ensuring</w:t>
      </w:r>
      <w:r w:rsidR="00B57508">
        <w:rPr>
          <w:rFonts w:ascii="Times New Roman" w:eastAsia="Times New Roman" w:hAnsi="Times New Roman" w:cs="Times New Roman"/>
        </w:rPr>
        <w:t xml:space="preserve"> </w:t>
      </w:r>
      <w:r w:rsidRPr="00C7554C">
        <w:rPr>
          <w:rFonts w:ascii="Times New Roman" w:eastAsia="Times New Roman" w:hAnsi="Times New Roman" w:cs="Times New Roman"/>
        </w:rPr>
        <w:t xml:space="preserve">participants experience at least six high-quality touchpoints per leverage point, with particular attention to community integration activities scheduled early in program sequences. Programs currently emphasizing clinical skills without comparable community integration </w:t>
      </w:r>
      <w:r w:rsidR="00B57508" w:rsidRPr="00B57508">
        <w:rPr>
          <w:rFonts w:ascii="Times New Roman" w:eastAsia="Times New Roman" w:hAnsi="Times New Roman" w:cs="Times New Roman"/>
        </w:rPr>
        <w:t>might explore adding community integration components</w:t>
      </w:r>
      <w:r w:rsidRPr="00C7554C">
        <w:rPr>
          <w:rFonts w:ascii="Times New Roman" w:eastAsia="Times New Roman" w:hAnsi="Times New Roman" w:cs="Times New Roman"/>
        </w:rPr>
        <w:t xml:space="preserve">. Rural health workforce development </w:t>
      </w:r>
      <w:r w:rsidR="00E40511" w:rsidRPr="00E40511">
        <w:rPr>
          <w:rFonts w:ascii="Times New Roman" w:eastAsia="Times New Roman" w:hAnsi="Times New Roman" w:cs="Times New Roman"/>
        </w:rPr>
        <w:t>may be able to achieve enhanced impact</w:t>
      </w:r>
      <w:r w:rsidR="00E40511">
        <w:rPr>
          <w:rFonts w:ascii="Times New Roman" w:eastAsia="Times New Roman" w:hAnsi="Times New Roman" w:cs="Times New Roman"/>
        </w:rPr>
        <w:t xml:space="preserve"> </w:t>
      </w:r>
      <w:r w:rsidRPr="00C7554C">
        <w:rPr>
          <w:rFonts w:ascii="Times New Roman" w:eastAsia="Times New Roman" w:hAnsi="Times New Roman" w:cs="Times New Roman"/>
        </w:rPr>
        <w:t>through strategic design rather than resource multiplication, offering hope for resource-constrained programs.</w:t>
      </w:r>
    </w:p>
    <w:p w14:paraId="2523595D" w14:textId="77777777" w:rsidR="00A83689" w:rsidRDefault="00C7554C" w:rsidP="00C7554C">
      <w:pPr>
        <w:pStyle w:val="NoSpacing"/>
        <w:spacing w:line="480" w:lineRule="auto"/>
        <w:rPr>
          <w:rFonts w:ascii="Times New Roman" w:eastAsia="Times New Roman" w:hAnsi="Times New Roman" w:cs="Times New Roman"/>
        </w:rPr>
      </w:pPr>
      <w:r w:rsidRPr="00C7554C">
        <w:rPr>
          <w:rFonts w:ascii="Times New Roman" w:eastAsia="Times New Roman" w:hAnsi="Times New Roman" w:cs="Times New Roman"/>
          <w:b/>
          <w:bCs/>
        </w:rPr>
        <w:t>Limitations</w:t>
      </w:r>
      <w:r w:rsidRPr="00C7554C">
        <w:rPr>
          <w:rFonts w:ascii="Times New Roman" w:eastAsia="Times New Roman" w:hAnsi="Times New Roman" w:cs="Times New Roman"/>
        </w:rPr>
        <w:t> </w:t>
      </w:r>
    </w:p>
    <w:p w14:paraId="7D402BBE" w14:textId="7D0DE150" w:rsidR="00095EEA" w:rsidRDefault="00C7554C" w:rsidP="00095EEA">
      <w:pPr>
        <w:pStyle w:val="NoSpacing"/>
        <w:spacing w:line="480" w:lineRule="auto"/>
        <w:ind w:firstLine="720"/>
        <w:rPr>
          <w:rFonts w:ascii="Times New Roman" w:eastAsia="Times New Roman" w:hAnsi="Times New Roman" w:cs="Times New Roman"/>
        </w:rPr>
      </w:pPr>
      <w:r w:rsidRPr="00C7554C">
        <w:rPr>
          <w:rFonts w:ascii="Times New Roman" w:eastAsia="Times New Roman" w:hAnsi="Times New Roman" w:cs="Times New Roman"/>
        </w:rPr>
        <w:t xml:space="preserve">Several limitations warrant consideration when interpreting these findings. The sample size of 20 participants, while adequate for detecting large effects, </w:t>
      </w:r>
      <w:r w:rsidR="008C3510" w:rsidRPr="008C3510">
        <w:rPr>
          <w:rFonts w:ascii="Times New Roman" w:eastAsia="Times New Roman" w:hAnsi="Times New Roman" w:cs="Times New Roman"/>
        </w:rPr>
        <w:t>severely limits our statistical power and generalizability</w:t>
      </w:r>
      <w:r w:rsidR="008C3510">
        <w:rPr>
          <w:rFonts w:ascii="Times New Roman" w:eastAsia="Times New Roman" w:hAnsi="Times New Roman" w:cs="Times New Roman"/>
        </w:rPr>
        <w:t>.</w:t>
      </w:r>
      <w:r w:rsidRPr="00C7554C">
        <w:rPr>
          <w:rFonts w:ascii="Times New Roman" w:eastAsia="Times New Roman" w:hAnsi="Times New Roman" w:cs="Times New Roman"/>
        </w:rPr>
        <w:t xml:space="preserve"> The polynomial model explaining 31.8% of variance indicates </w:t>
      </w:r>
      <w:r w:rsidRPr="00C7554C">
        <w:rPr>
          <w:rFonts w:ascii="Times New Roman" w:eastAsia="Times New Roman" w:hAnsi="Times New Roman" w:cs="Times New Roman"/>
        </w:rPr>
        <w:lastRenderedPageBreak/>
        <w:t xml:space="preserve">substantial unexplained variation in rural practice commitment, suggesting unmeasured factors influence outcomes. Self-selection into the ReConnect Fellowship creates baseline differences from general pre-health populations that may moderate touchpoint effectiveness. Retrospective assessment of touchpoint quality introduces potential recall bias, with participants possibly </w:t>
      </w:r>
      <w:r w:rsidR="00513896" w:rsidRPr="00513896">
        <w:rPr>
          <w:rFonts w:ascii="Times New Roman" w:eastAsia="Times New Roman" w:hAnsi="Times New Roman" w:cs="Times New Roman"/>
        </w:rPr>
        <w:t>highlighting</w:t>
      </w:r>
      <w:r w:rsidRPr="00C7554C">
        <w:rPr>
          <w:rFonts w:ascii="Times New Roman" w:eastAsia="Times New Roman" w:hAnsi="Times New Roman" w:cs="Times New Roman"/>
        </w:rPr>
        <w:t xml:space="preserve"> experiences that align with current career trajectories. The single-site design in rural Oregon limits generalizability to different geographic, cultural, or healthcare contexts. </w:t>
      </w:r>
      <w:r w:rsidR="00095EEA" w:rsidRPr="00095EEA">
        <w:rPr>
          <w:rFonts w:ascii="Times New Roman" w:eastAsia="Times New Roman" w:hAnsi="Times New Roman" w:cs="Times New Roman"/>
        </w:rPr>
        <w:t xml:space="preserve">These limitations </w:t>
      </w:r>
      <w:r w:rsidR="00026ADE" w:rsidRPr="00026ADE">
        <w:rPr>
          <w:rFonts w:ascii="Times New Roman" w:eastAsia="Times New Roman" w:hAnsi="Times New Roman" w:cs="Times New Roman"/>
        </w:rPr>
        <w:t>greatly limit</w:t>
      </w:r>
      <w:r w:rsidR="00026ADE">
        <w:rPr>
          <w:rFonts w:ascii="Times New Roman" w:eastAsia="Times New Roman" w:hAnsi="Times New Roman" w:cs="Times New Roman"/>
        </w:rPr>
        <w:t xml:space="preserve"> </w:t>
      </w:r>
      <w:r w:rsidR="00095EEA" w:rsidRPr="00095EEA">
        <w:rPr>
          <w:rFonts w:ascii="Times New Roman" w:eastAsia="Times New Roman" w:hAnsi="Times New Roman" w:cs="Times New Roman"/>
        </w:rPr>
        <w:t>our conclusions, and findings should be considered exploratory hypotheses requiring validation in larger, controlled studies.</w:t>
      </w:r>
    </w:p>
    <w:p w14:paraId="007515F3" w14:textId="12F933AD" w:rsidR="006519FE" w:rsidRPr="006519FE" w:rsidRDefault="006519FE" w:rsidP="00095EEA">
      <w:pPr>
        <w:pStyle w:val="NoSpacing"/>
        <w:spacing w:line="480" w:lineRule="auto"/>
        <w:rPr>
          <w:rFonts w:ascii="Times New Roman" w:eastAsia="Times New Roman" w:hAnsi="Times New Roman" w:cs="Times New Roman"/>
        </w:rPr>
      </w:pPr>
      <w:r w:rsidRPr="006519FE">
        <w:rPr>
          <w:rFonts w:ascii="Times New Roman" w:eastAsia="Times New Roman" w:hAnsi="Times New Roman" w:cs="Times New Roman"/>
          <w:b/>
          <w:bCs/>
        </w:rPr>
        <w:t>Implications for Practice and Policy</w:t>
      </w:r>
    </w:p>
    <w:p w14:paraId="26D7AA99" w14:textId="53F9053D" w:rsidR="006519FE" w:rsidRPr="006519FE" w:rsidRDefault="006519FE" w:rsidP="006519FE">
      <w:pPr>
        <w:pStyle w:val="NoSpacing"/>
        <w:spacing w:line="480" w:lineRule="auto"/>
        <w:rPr>
          <w:rFonts w:ascii="Times New Roman" w:eastAsia="Times New Roman" w:hAnsi="Times New Roman" w:cs="Times New Roman"/>
        </w:rPr>
      </w:pPr>
      <w:r w:rsidRPr="006519FE">
        <w:rPr>
          <w:rFonts w:ascii="Times New Roman" w:eastAsia="Times New Roman" w:hAnsi="Times New Roman" w:cs="Times New Roman"/>
          <w:i/>
          <w:iCs/>
        </w:rPr>
        <w:t>Program Implementation</w:t>
      </w:r>
      <w:r w:rsidR="001C01D4" w:rsidRPr="00E246B8">
        <w:rPr>
          <w:rFonts w:ascii="Times New Roman" w:eastAsia="Times New Roman" w:hAnsi="Times New Roman" w:cs="Times New Roman"/>
          <w:i/>
          <w:iCs/>
        </w:rPr>
        <w:t>:</w:t>
      </w:r>
      <w:r w:rsidRPr="006519FE">
        <w:rPr>
          <w:rFonts w:ascii="Times New Roman" w:eastAsia="Times New Roman" w:hAnsi="Times New Roman" w:cs="Times New Roman"/>
        </w:rPr>
        <w:t xml:space="preserve"> These findings provide </w:t>
      </w:r>
      <w:r w:rsidR="00C4613D" w:rsidRPr="00C4613D">
        <w:rPr>
          <w:rFonts w:ascii="Times New Roman" w:eastAsia="Times New Roman" w:hAnsi="Times New Roman" w:cs="Times New Roman"/>
        </w:rPr>
        <w:t>potential considerations</w:t>
      </w:r>
      <w:r w:rsidR="00C4613D">
        <w:rPr>
          <w:rFonts w:ascii="Times New Roman" w:eastAsia="Times New Roman" w:hAnsi="Times New Roman" w:cs="Times New Roman"/>
        </w:rPr>
        <w:t xml:space="preserve"> </w:t>
      </w:r>
      <w:r w:rsidRPr="006519FE">
        <w:rPr>
          <w:rFonts w:ascii="Times New Roman" w:eastAsia="Times New Roman" w:hAnsi="Times New Roman" w:cs="Times New Roman"/>
        </w:rPr>
        <w:t xml:space="preserve">for rural healthcare workforce programs. Programs </w:t>
      </w:r>
      <w:r w:rsidR="00F96611" w:rsidRPr="00F96611">
        <w:rPr>
          <w:rFonts w:ascii="Times New Roman" w:eastAsia="Times New Roman" w:hAnsi="Times New Roman" w:cs="Times New Roman"/>
        </w:rPr>
        <w:t>might consider restructuring</w:t>
      </w:r>
      <w:r w:rsidR="00F96611">
        <w:rPr>
          <w:rFonts w:ascii="Times New Roman" w:eastAsia="Times New Roman" w:hAnsi="Times New Roman" w:cs="Times New Roman"/>
        </w:rPr>
        <w:t xml:space="preserve"> </w:t>
      </w:r>
      <w:r w:rsidRPr="006519FE">
        <w:rPr>
          <w:rFonts w:ascii="Times New Roman" w:eastAsia="Times New Roman" w:hAnsi="Times New Roman" w:cs="Times New Roman"/>
        </w:rPr>
        <w:t xml:space="preserve">resource allocation to reflect empirical impact ratios: 51.2% for community integration, 30.4% for mentorship, and 18.4% for clinical experience. </w:t>
      </w:r>
      <w:r w:rsidR="00F15B41" w:rsidRPr="00F15B41">
        <w:rPr>
          <w:rFonts w:ascii="Times New Roman" w:eastAsia="Times New Roman" w:hAnsi="Times New Roman" w:cs="Times New Roman"/>
        </w:rPr>
        <w:t>However, these specific percentages should not be adopted wholesale without considering local contexts and further validation.</w:t>
      </w:r>
      <w:r w:rsidRPr="006519FE">
        <w:rPr>
          <w:rFonts w:ascii="Times New Roman" w:eastAsia="Times New Roman" w:hAnsi="Times New Roman" w:cs="Times New Roman"/>
        </w:rPr>
        <w:t xml:space="preserve"> Implementation </w:t>
      </w:r>
      <w:r w:rsidR="00F15B41" w:rsidRPr="00F15B41">
        <w:rPr>
          <w:rFonts w:ascii="Times New Roman" w:eastAsia="Times New Roman" w:hAnsi="Times New Roman" w:cs="Times New Roman"/>
        </w:rPr>
        <w:t>might benefit from ensuring</w:t>
      </w:r>
      <w:r w:rsidR="00F15B41">
        <w:rPr>
          <w:rFonts w:ascii="Times New Roman" w:eastAsia="Times New Roman" w:hAnsi="Times New Roman" w:cs="Times New Roman"/>
        </w:rPr>
        <w:t xml:space="preserve"> </w:t>
      </w:r>
      <w:r w:rsidRPr="006519FE">
        <w:rPr>
          <w:rFonts w:ascii="Times New Roman" w:eastAsia="Times New Roman" w:hAnsi="Times New Roman" w:cs="Times New Roman"/>
        </w:rPr>
        <w:t xml:space="preserve">participants experience at least six high-quality touchpoints per leverage point, with community activities sequenced early to establish foundational connections that </w:t>
      </w:r>
      <w:r w:rsidR="004605E8" w:rsidRPr="004605E8">
        <w:rPr>
          <w:rFonts w:ascii="Times New Roman" w:eastAsia="Times New Roman" w:hAnsi="Times New Roman" w:cs="Times New Roman"/>
        </w:rPr>
        <w:t>strengthen</w:t>
      </w:r>
      <w:r w:rsidRPr="006519FE">
        <w:rPr>
          <w:rFonts w:ascii="Times New Roman" w:eastAsia="Times New Roman" w:hAnsi="Times New Roman" w:cs="Times New Roman"/>
        </w:rPr>
        <w:t xml:space="preserve"> subsequent clinical and mentorship experiences. Quality thresholds (≥7 rating) </w:t>
      </w:r>
      <w:r w:rsidR="00323612" w:rsidRPr="00323612">
        <w:rPr>
          <w:rFonts w:ascii="Times New Roman" w:eastAsia="Times New Roman" w:hAnsi="Times New Roman" w:cs="Times New Roman"/>
        </w:rPr>
        <w:t>appeared important in our sample</w:t>
      </w:r>
      <w:r w:rsidRPr="006519FE">
        <w:rPr>
          <w:rFonts w:ascii="Times New Roman" w:eastAsia="Times New Roman" w:hAnsi="Times New Roman" w:cs="Times New Roman"/>
        </w:rPr>
        <w:t xml:space="preserve">; programs should evaluate and enhance existing touchpoints rather than simply adding more activities. The Touchpoint Taxonomy Framework provides specific design criteria: emotional resonance, authentic community connection, visible impact, personal agency, and clear professional identity connections. </w:t>
      </w:r>
      <w:r w:rsidR="00B71F90" w:rsidRPr="00B71F90">
        <w:rPr>
          <w:rFonts w:ascii="Times New Roman" w:eastAsia="Times New Roman" w:hAnsi="Times New Roman" w:cs="Times New Roman"/>
        </w:rPr>
        <w:t>The 6.2 threshold identified in our small sample requires validation before using it as a program benchmark</w:t>
      </w:r>
      <w:r w:rsidRPr="006519FE">
        <w:rPr>
          <w:rFonts w:ascii="Times New Roman" w:eastAsia="Times New Roman" w:hAnsi="Times New Roman" w:cs="Times New Roman"/>
        </w:rPr>
        <w:t>.</w:t>
      </w:r>
    </w:p>
    <w:p w14:paraId="3AB88693" w14:textId="79FFF07D" w:rsidR="006519FE" w:rsidRPr="006519FE" w:rsidRDefault="006519FE" w:rsidP="006519FE">
      <w:pPr>
        <w:pStyle w:val="NoSpacing"/>
        <w:spacing w:line="480" w:lineRule="auto"/>
        <w:rPr>
          <w:rFonts w:ascii="Times New Roman" w:eastAsia="Times New Roman" w:hAnsi="Times New Roman" w:cs="Times New Roman"/>
        </w:rPr>
      </w:pPr>
      <w:r w:rsidRPr="006519FE">
        <w:rPr>
          <w:rFonts w:ascii="Times New Roman" w:eastAsia="Times New Roman" w:hAnsi="Times New Roman" w:cs="Times New Roman"/>
          <w:i/>
          <w:iCs/>
        </w:rPr>
        <w:lastRenderedPageBreak/>
        <w:t>Policy and Funding Reforms</w:t>
      </w:r>
      <w:r w:rsidR="001C01D4" w:rsidRPr="00E246B8">
        <w:rPr>
          <w:rFonts w:ascii="Times New Roman" w:eastAsia="Times New Roman" w:hAnsi="Times New Roman" w:cs="Times New Roman"/>
          <w:i/>
          <w:iCs/>
        </w:rPr>
        <w:t>:</w:t>
      </w:r>
      <w:r w:rsidRPr="006519FE">
        <w:rPr>
          <w:rFonts w:ascii="Times New Roman" w:eastAsia="Times New Roman" w:hAnsi="Times New Roman" w:cs="Times New Roman"/>
        </w:rPr>
        <w:t xml:space="preserve"> Current funding mechanisms reflect </w:t>
      </w:r>
      <w:r w:rsidR="00B71F90" w:rsidRPr="00B71F90">
        <w:rPr>
          <w:rFonts w:ascii="Times New Roman" w:eastAsia="Times New Roman" w:hAnsi="Times New Roman" w:cs="Times New Roman"/>
        </w:rPr>
        <w:t>traditional assumptions</w:t>
      </w:r>
      <w:r w:rsidR="00B71F90">
        <w:rPr>
          <w:rFonts w:ascii="Times New Roman" w:eastAsia="Times New Roman" w:hAnsi="Times New Roman" w:cs="Times New Roman"/>
        </w:rPr>
        <w:t xml:space="preserve"> </w:t>
      </w:r>
      <w:r w:rsidRPr="006519FE">
        <w:rPr>
          <w:rFonts w:ascii="Times New Roman" w:eastAsia="Times New Roman" w:hAnsi="Times New Roman" w:cs="Times New Roman"/>
        </w:rPr>
        <w:t xml:space="preserve">about clinical primacy in healthcare education. Federal and state funding formulas </w:t>
      </w:r>
      <w:r w:rsidR="00076402" w:rsidRPr="00076402">
        <w:rPr>
          <w:rFonts w:ascii="Times New Roman" w:eastAsia="Times New Roman" w:hAnsi="Times New Roman" w:cs="Times New Roman"/>
        </w:rPr>
        <w:t>might benefit from recognizing</w:t>
      </w:r>
      <w:r w:rsidR="00076402">
        <w:rPr>
          <w:rFonts w:ascii="Times New Roman" w:eastAsia="Times New Roman" w:hAnsi="Times New Roman" w:cs="Times New Roman"/>
        </w:rPr>
        <w:t xml:space="preserve"> </w:t>
      </w:r>
      <w:r w:rsidRPr="006519FE">
        <w:rPr>
          <w:rFonts w:ascii="Times New Roman" w:eastAsia="Times New Roman" w:hAnsi="Times New Roman" w:cs="Times New Roman"/>
        </w:rPr>
        <w:t xml:space="preserve">community integration as a primary educational component eligible for direct support rather than ancillary funding. Accreditation standards </w:t>
      </w:r>
      <w:r w:rsidR="00076402" w:rsidRPr="00076402">
        <w:rPr>
          <w:rFonts w:ascii="Times New Roman" w:eastAsia="Times New Roman" w:hAnsi="Times New Roman" w:cs="Times New Roman"/>
        </w:rPr>
        <w:t>could evolve</w:t>
      </w:r>
      <w:r w:rsidR="00076402">
        <w:rPr>
          <w:rFonts w:ascii="Times New Roman" w:eastAsia="Times New Roman" w:hAnsi="Times New Roman" w:cs="Times New Roman"/>
        </w:rPr>
        <w:t xml:space="preserve"> </w:t>
      </w:r>
      <w:r w:rsidRPr="006519FE">
        <w:rPr>
          <w:rFonts w:ascii="Times New Roman" w:eastAsia="Times New Roman" w:hAnsi="Times New Roman" w:cs="Times New Roman"/>
        </w:rPr>
        <w:t xml:space="preserve">to value transformation metrics over participation hours. Programs demonstrating exponential effects through validated touchpoint optimization </w:t>
      </w:r>
      <w:r w:rsidR="00532F69" w:rsidRPr="00532F69">
        <w:rPr>
          <w:rFonts w:ascii="Times New Roman" w:eastAsia="Times New Roman" w:hAnsi="Times New Roman" w:cs="Times New Roman"/>
        </w:rPr>
        <w:t>could be considered for enhanced support</w:t>
      </w:r>
      <w:r w:rsidR="00532F69">
        <w:rPr>
          <w:rFonts w:ascii="Times New Roman" w:eastAsia="Times New Roman" w:hAnsi="Times New Roman" w:cs="Times New Roman"/>
        </w:rPr>
        <w:t xml:space="preserve"> </w:t>
      </w:r>
      <w:r w:rsidRPr="006519FE">
        <w:rPr>
          <w:rFonts w:ascii="Times New Roman" w:eastAsia="Times New Roman" w:hAnsi="Times New Roman" w:cs="Times New Roman"/>
        </w:rPr>
        <w:t xml:space="preserve">and recognition. The evidence that small programs </w:t>
      </w:r>
      <w:r w:rsidR="00532F69" w:rsidRPr="00532F69">
        <w:rPr>
          <w:rFonts w:ascii="Times New Roman" w:eastAsia="Times New Roman" w:hAnsi="Times New Roman" w:cs="Times New Roman"/>
        </w:rPr>
        <w:t>may achieve enhanced impac</w:t>
      </w:r>
      <w:r w:rsidR="00532F69">
        <w:rPr>
          <w:rFonts w:ascii="Times New Roman" w:eastAsia="Times New Roman" w:hAnsi="Times New Roman" w:cs="Times New Roman"/>
        </w:rPr>
        <w:t xml:space="preserve">t </w:t>
      </w:r>
      <w:r w:rsidRPr="006519FE">
        <w:rPr>
          <w:rFonts w:ascii="Times New Roman" w:eastAsia="Times New Roman" w:hAnsi="Times New Roman" w:cs="Times New Roman"/>
        </w:rPr>
        <w:t>through strategic design rather than scale suggests that funding agencies should prioritize quality indicators and exponential impact potential over traditional volume metrics.</w:t>
      </w:r>
    </w:p>
    <w:p w14:paraId="6C4A3DC8" w14:textId="384EA605" w:rsidR="006519FE" w:rsidRPr="002D6A67" w:rsidRDefault="006519FE" w:rsidP="006519FE">
      <w:pPr>
        <w:pStyle w:val="NoSpacing"/>
        <w:spacing w:line="480" w:lineRule="auto"/>
        <w:rPr>
          <w:rFonts w:ascii="Times New Roman" w:eastAsia="Times New Roman" w:hAnsi="Times New Roman" w:cs="Times New Roman"/>
        </w:rPr>
      </w:pPr>
      <w:r w:rsidRPr="006519FE">
        <w:rPr>
          <w:rFonts w:ascii="Times New Roman" w:eastAsia="Times New Roman" w:hAnsi="Times New Roman" w:cs="Times New Roman"/>
          <w:i/>
          <w:iCs/>
        </w:rPr>
        <w:t>Broader Workforce Development Applications</w:t>
      </w:r>
      <w:r w:rsidR="001C01D4" w:rsidRPr="00E246B8">
        <w:rPr>
          <w:rFonts w:ascii="Times New Roman" w:eastAsia="Times New Roman" w:hAnsi="Times New Roman" w:cs="Times New Roman"/>
          <w:i/>
          <w:iCs/>
        </w:rPr>
        <w:t>:</w:t>
      </w:r>
      <w:r w:rsidRPr="006519FE">
        <w:rPr>
          <w:rFonts w:ascii="Times New Roman" w:eastAsia="Times New Roman" w:hAnsi="Times New Roman" w:cs="Times New Roman"/>
        </w:rPr>
        <w:t xml:space="preserve"> While validated in rural healthcare contexts, the exponential touchpoint principle likely applies across healthcare disciplines and settings. Nursing, pharmacy, mental health, and allied health programs facing similar workforce distribution challenges could adapt the Touchpoint Taxonomy Framework to their contexts. The finding that community integration outperforms clinical experience suggests that workforce development strategies focusing solely on technical skill development </w:t>
      </w:r>
      <w:r w:rsidR="00F2754A" w:rsidRPr="00F2754A">
        <w:rPr>
          <w:rFonts w:ascii="Times New Roman" w:eastAsia="Times New Roman" w:hAnsi="Times New Roman" w:cs="Times New Roman"/>
        </w:rPr>
        <w:t xml:space="preserve">may be </w:t>
      </w:r>
      <w:r w:rsidR="00BA3F8B" w:rsidRPr="00BA3F8B">
        <w:rPr>
          <w:rFonts w:ascii="Times New Roman" w:eastAsia="Times New Roman" w:hAnsi="Times New Roman" w:cs="Times New Roman"/>
        </w:rPr>
        <w:t>missing crucial</w:t>
      </w:r>
      <w:r w:rsidR="00F2754A" w:rsidRPr="00F2754A">
        <w:rPr>
          <w:rFonts w:ascii="Times New Roman" w:eastAsia="Times New Roman" w:hAnsi="Times New Roman" w:cs="Times New Roman"/>
        </w:rPr>
        <w:t xml:space="preserve"> transformation mechanisms</w:t>
      </w:r>
      <w:r w:rsidRPr="006519FE">
        <w:rPr>
          <w:rFonts w:ascii="Times New Roman" w:eastAsia="Times New Roman" w:hAnsi="Times New Roman" w:cs="Times New Roman"/>
        </w:rPr>
        <w:t>. Programs addressing healthcare disparities in any underserved context, whether rural, urban, or tribal, should examine whether their current touchpoint distribution aligns with empirical impact evidence. The exponential effect threshold concept provides a new lens for evaluating why some programs achieve transformative outcomes while others, despite similar resources and structures, produce only incremental change.</w:t>
      </w:r>
    </w:p>
    <w:p w14:paraId="6AC01696" w14:textId="47B9FEFE" w:rsidR="00740C9A" w:rsidRDefault="00740C9A" w:rsidP="000E51F0">
      <w:pPr>
        <w:pStyle w:val="NoSpacing"/>
        <w:spacing w:line="480" w:lineRule="auto"/>
        <w:jc w:val="center"/>
        <w:rPr>
          <w:rFonts w:ascii="Times New Roman" w:eastAsia="Times New Roman" w:hAnsi="Times New Roman" w:cs="Times New Roman"/>
          <w:b/>
          <w:bCs/>
        </w:rPr>
      </w:pPr>
      <w:r w:rsidRPr="00C41496">
        <w:rPr>
          <w:rFonts w:ascii="Times New Roman" w:eastAsia="Times New Roman" w:hAnsi="Times New Roman" w:cs="Times New Roman"/>
          <w:b/>
          <w:bCs/>
        </w:rPr>
        <w:t>Conclusions</w:t>
      </w:r>
    </w:p>
    <w:p w14:paraId="39E3658D" w14:textId="0D637DF3" w:rsidR="006541F9" w:rsidRPr="006541F9" w:rsidRDefault="006541F9" w:rsidP="006541F9">
      <w:pPr>
        <w:pStyle w:val="NoSpacing"/>
        <w:spacing w:line="480" w:lineRule="auto"/>
        <w:ind w:firstLine="720"/>
        <w:rPr>
          <w:rFonts w:ascii="Times New Roman" w:eastAsia="Times New Roman" w:hAnsi="Times New Roman" w:cs="Times New Roman"/>
        </w:rPr>
      </w:pPr>
      <w:r w:rsidRPr="006541F9">
        <w:rPr>
          <w:rFonts w:ascii="Times New Roman" w:eastAsia="Times New Roman" w:hAnsi="Times New Roman" w:cs="Times New Roman"/>
        </w:rPr>
        <w:t xml:space="preserve">This research provides </w:t>
      </w:r>
      <w:r w:rsidR="00FD09FF" w:rsidRPr="00FD09FF">
        <w:rPr>
          <w:rFonts w:ascii="Times New Roman" w:eastAsia="Times New Roman" w:hAnsi="Times New Roman" w:cs="Times New Roman"/>
        </w:rPr>
        <w:t>preliminary evidence</w:t>
      </w:r>
      <w:r w:rsidR="00FD09FF">
        <w:rPr>
          <w:rFonts w:ascii="Times New Roman" w:eastAsia="Times New Roman" w:hAnsi="Times New Roman" w:cs="Times New Roman"/>
        </w:rPr>
        <w:t xml:space="preserve"> </w:t>
      </w:r>
      <w:r w:rsidRPr="006541F9">
        <w:rPr>
          <w:rFonts w:ascii="Times New Roman" w:eastAsia="Times New Roman" w:hAnsi="Times New Roman" w:cs="Times New Roman"/>
        </w:rPr>
        <w:t xml:space="preserve">that rural healthcare workforce development programs </w:t>
      </w:r>
      <w:r w:rsidR="00FD09FF" w:rsidRPr="00FD09FF">
        <w:rPr>
          <w:rFonts w:ascii="Times New Roman" w:eastAsia="Times New Roman" w:hAnsi="Times New Roman" w:cs="Times New Roman"/>
        </w:rPr>
        <w:t>may achieve</w:t>
      </w:r>
      <w:r w:rsidR="00FD09FF">
        <w:rPr>
          <w:rFonts w:ascii="Times New Roman" w:eastAsia="Times New Roman" w:hAnsi="Times New Roman" w:cs="Times New Roman"/>
        </w:rPr>
        <w:t xml:space="preserve"> </w:t>
      </w:r>
      <w:r w:rsidRPr="006541F9">
        <w:rPr>
          <w:rFonts w:ascii="Times New Roman" w:eastAsia="Times New Roman" w:hAnsi="Times New Roman" w:cs="Times New Roman"/>
        </w:rPr>
        <w:t xml:space="preserve">exponential rather than linear effects through strategic touchpoint </w:t>
      </w:r>
      <w:r w:rsidRPr="006541F9">
        <w:rPr>
          <w:rFonts w:ascii="Times New Roman" w:eastAsia="Times New Roman" w:hAnsi="Times New Roman" w:cs="Times New Roman"/>
        </w:rPr>
        <w:lastRenderedPageBreak/>
        <w:t xml:space="preserve">optimization. </w:t>
      </w:r>
      <w:r w:rsidR="00051969" w:rsidRPr="003A02E5">
        <w:rPr>
          <w:rFonts w:ascii="Times New Roman" w:eastAsia="Times New Roman" w:hAnsi="Times New Roman" w:cs="Times New Roman"/>
        </w:rPr>
        <w:t xml:space="preserve">The polynomial model's superior explanatory power (R² = 0.318 vs 0.245, p = 0.028), </w:t>
      </w:r>
      <w:r w:rsidR="00DC6542" w:rsidRPr="00DC6542">
        <w:rPr>
          <w:rFonts w:ascii="Times New Roman" w:eastAsia="Times New Roman" w:hAnsi="Times New Roman" w:cs="Times New Roman"/>
        </w:rPr>
        <w:t>observed in our analysis</w:t>
      </w:r>
      <w:r w:rsidR="00051969" w:rsidRPr="003A02E5">
        <w:rPr>
          <w:rFonts w:ascii="Times New Roman" w:eastAsia="Times New Roman" w:hAnsi="Times New Roman" w:cs="Times New Roman"/>
        </w:rPr>
        <w:t xml:space="preserve">, </w:t>
      </w:r>
      <w:r w:rsidR="00102538" w:rsidRPr="00102538">
        <w:rPr>
          <w:rFonts w:ascii="Times New Roman" w:eastAsia="Times New Roman" w:hAnsi="Times New Roman" w:cs="Times New Roman"/>
        </w:rPr>
        <w:t>shows</w:t>
      </w:r>
      <w:r w:rsidR="00051969" w:rsidRPr="003A02E5">
        <w:rPr>
          <w:rFonts w:ascii="Times New Roman" w:eastAsia="Times New Roman" w:hAnsi="Times New Roman" w:cs="Times New Roman"/>
        </w:rPr>
        <w:t xml:space="preserve"> that carefully designed educational interventions </w:t>
      </w:r>
      <w:r w:rsidR="0037262A" w:rsidRPr="0037262A">
        <w:rPr>
          <w:rFonts w:ascii="Times New Roman" w:eastAsia="Times New Roman" w:hAnsi="Times New Roman" w:cs="Times New Roman"/>
        </w:rPr>
        <w:t>may create enhanced impacts</w:t>
      </w:r>
      <w:r w:rsidR="0037262A">
        <w:rPr>
          <w:rFonts w:ascii="Times New Roman" w:eastAsia="Times New Roman" w:hAnsi="Times New Roman" w:cs="Times New Roman"/>
        </w:rPr>
        <w:t xml:space="preserve"> </w:t>
      </w:r>
      <w:r w:rsidR="00051969" w:rsidRPr="003A02E5">
        <w:rPr>
          <w:rFonts w:ascii="Times New Roman" w:eastAsia="Times New Roman" w:hAnsi="Times New Roman" w:cs="Times New Roman"/>
        </w:rPr>
        <w:t xml:space="preserve">on rural practice commitment. </w:t>
      </w:r>
      <w:r w:rsidR="00AF32AF" w:rsidRPr="00AF32AF">
        <w:rPr>
          <w:rFonts w:ascii="Times New Roman" w:eastAsia="Times New Roman" w:hAnsi="Times New Roman" w:cs="Times New Roman"/>
        </w:rPr>
        <w:t>While patterns appeared relatively stable in bootstrap analyses, the small sample size limits the generalizability of these findings.</w:t>
      </w:r>
      <w:r w:rsidR="00051969">
        <w:rPr>
          <w:rFonts w:ascii="Times New Roman" w:eastAsia="Times New Roman" w:hAnsi="Times New Roman" w:cs="Times New Roman"/>
        </w:rPr>
        <w:t xml:space="preserve"> </w:t>
      </w:r>
      <w:r w:rsidR="00AF32AF" w:rsidRPr="00AF32AF">
        <w:rPr>
          <w:rFonts w:ascii="Times New Roman" w:eastAsia="Times New Roman" w:hAnsi="Times New Roman" w:cs="Times New Roman"/>
        </w:rPr>
        <w:t>Five preliminary findings suggest new perspectives</w:t>
      </w:r>
      <w:r w:rsidR="00AF32AF">
        <w:rPr>
          <w:rFonts w:ascii="Times New Roman" w:eastAsia="Times New Roman" w:hAnsi="Times New Roman" w:cs="Times New Roman"/>
        </w:rPr>
        <w:t xml:space="preserve"> </w:t>
      </w:r>
      <w:r w:rsidRPr="006541F9">
        <w:rPr>
          <w:rFonts w:ascii="Times New Roman" w:eastAsia="Times New Roman" w:hAnsi="Times New Roman" w:cs="Times New Roman"/>
        </w:rPr>
        <w:t>o</w:t>
      </w:r>
      <w:r w:rsidR="003E24BD">
        <w:rPr>
          <w:rFonts w:ascii="Times New Roman" w:eastAsia="Times New Roman" w:hAnsi="Times New Roman" w:cs="Times New Roman"/>
        </w:rPr>
        <w:t>n</w:t>
      </w:r>
      <w:r w:rsidRPr="006541F9">
        <w:rPr>
          <w:rFonts w:ascii="Times New Roman" w:eastAsia="Times New Roman" w:hAnsi="Times New Roman" w:cs="Times New Roman"/>
        </w:rPr>
        <w:t xml:space="preserve"> workforce development: exponential effects </w:t>
      </w:r>
      <w:r w:rsidR="00BD5D2F" w:rsidRPr="00BD5D2F">
        <w:rPr>
          <w:rFonts w:ascii="Times New Roman" w:eastAsia="Times New Roman" w:hAnsi="Times New Roman" w:cs="Times New Roman"/>
        </w:rPr>
        <w:t>may be achievable</w:t>
      </w:r>
      <w:r w:rsidR="00BD5D2F">
        <w:rPr>
          <w:rFonts w:ascii="Times New Roman" w:eastAsia="Times New Roman" w:hAnsi="Times New Roman" w:cs="Times New Roman"/>
        </w:rPr>
        <w:t xml:space="preserve"> </w:t>
      </w:r>
      <w:r w:rsidRPr="006541F9">
        <w:rPr>
          <w:rFonts w:ascii="Times New Roman" w:eastAsia="Times New Roman" w:hAnsi="Times New Roman" w:cs="Times New Roman"/>
        </w:rPr>
        <w:t xml:space="preserve">through strategic design, community integration </w:t>
      </w:r>
      <w:r w:rsidR="00BD5D2F" w:rsidRPr="00BD5D2F">
        <w:rPr>
          <w:rFonts w:ascii="Times New Roman" w:eastAsia="Times New Roman" w:hAnsi="Times New Roman" w:cs="Times New Roman"/>
        </w:rPr>
        <w:t>showed stronger effects than</w:t>
      </w:r>
      <w:r w:rsidRPr="006541F9">
        <w:rPr>
          <w:rFonts w:ascii="Times New Roman" w:eastAsia="Times New Roman" w:hAnsi="Times New Roman" w:cs="Times New Roman"/>
        </w:rPr>
        <w:t xml:space="preserve"> clinical experience, a critical threshold </w:t>
      </w:r>
      <w:r w:rsidR="001A54A3" w:rsidRPr="001A54A3">
        <w:rPr>
          <w:rFonts w:ascii="Times New Roman" w:eastAsia="Times New Roman" w:hAnsi="Times New Roman" w:cs="Times New Roman"/>
        </w:rPr>
        <w:t>may exist</w:t>
      </w:r>
      <w:r w:rsidRPr="006541F9">
        <w:rPr>
          <w:rFonts w:ascii="Times New Roman" w:eastAsia="Times New Roman" w:hAnsi="Times New Roman" w:cs="Times New Roman"/>
        </w:rPr>
        <w:t xml:space="preserve"> at 6.2 touchpoints, quality </w:t>
      </w:r>
      <w:r w:rsidR="002773C2" w:rsidRPr="002773C2">
        <w:rPr>
          <w:rFonts w:ascii="Times New Roman" w:eastAsia="Times New Roman" w:hAnsi="Times New Roman" w:cs="Times New Roman"/>
        </w:rPr>
        <w:t>appears to amplify</w:t>
      </w:r>
      <w:r w:rsidRPr="006541F9">
        <w:rPr>
          <w:rFonts w:ascii="Times New Roman" w:eastAsia="Times New Roman" w:hAnsi="Times New Roman" w:cs="Times New Roman"/>
        </w:rPr>
        <w:t xml:space="preserve"> quantity with a 2.67x multiplier, and synergistic effects </w:t>
      </w:r>
      <w:r w:rsidR="002773C2" w:rsidRPr="002773C2">
        <w:rPr>
          <w:rFonts w:ascii="Times New Roman" w:eastAsia="Times New Roman" w:hAnsi="Times New Roman" w:cs="Times New Roman"/>
        </w:rPr>
        <w:t>may exceed</w:t>
      </w:r>
      <w:r w:rsidRPr="006541F9">
        <w:rPr>
          <w:rFonts w:ascii="Times New Roman" w:eastAsia="Times New Roman" w:hAnsi="Times New Roman" w:cs="Times New Roman"/>
        </w:rPr>
        <w:t xml:space="preserve"> additive models by 85%.</w:t>
      </w:r>
    </w:p>
    <w:p w14:paraId="63BB94C2" w14:textId="2275BC53" w:rsidR="006541F9" w:rsidRPr="006541F9" w:rsidRDefault="00D755A2" w:rsidP="006541F9">
      <w:pPr>
        <w:pStyle w:val="NoSpacing"/>
        <w:spacing w:line="480" w:lineRule="auto"/>
        <w:ind w:firstLine="720"/>
        <w:rPr>
          <w:rFonts w:ascii="Times New Roman" w:eastAsia="Times New Roman" w:hAnsi="Times New Roman" w:cs="Times New Roman"/>
        </w:rPr>
      </w:pPr>
      <w:r w:rsidRPr="00D755A2">
        <w:rPr>
          <w:rFonts w:ascii="Times New Roman" w:eastAsia="Times New Roman" w:hAnsi="Times New Roman" w:cs="Times New Roman"/>
        </w:rPr>
        <w:t xml:space="preserve">The Touchpoint Taxonomy Framework operationalizes these findings into </w:t>
      </w:r>
      <w:r w:rsidR="006929CB" w:rsidRPr="00D755A2">
        <w:rPr>
          <w:rFonts w:ascii="Times New Roman" w:eastAsia="Times New Roman" w:hAnsi="Times New Roman" w:cs="Times New Roman"/>
        </w:rPr>
        <w:t>a</w:t>
      </w:r>
      <w:r w:rsidR="00B846F9" w:rsidRPr="00B846F9">
        <w:rPr>
          <w:rFonts w:ascii="Times New Roman" w:eastAsia="Times New Roman" w:hAnsi="Times New Roman" w:cs="Times New Roman"/>
        </w:rPr>
        <w:t xml:space="preserve"> preliminary framework for consideration</w:t>
      </w:r>
      <w:r w:rsidR="00306025">
        <w:rPr>
          <w:rFonts w:ascii="Times New Roman" w:eastAsia="Times New Roman" w:hAnsi="Times New Roman" w:cs="Times New Roman"/>
        </w:rPr>
        <w:t>, as</w:t>
      </w:r>
      <w:r w:rsidR="00B846F9">
        <w:rPr>
          <w:rFonts w:ascii="Times New Roman" w:eastAsia="Times New Roman" w:hAnsi="Times New Roman" w:cs="Times New Roman"/>
        </w:rPr>
        <w:t xml:space="preserve"> </w:t>
      </w:r>
      <w:r w:rsidRPr="00D755A2">
        <w:rPr>
          <w:rFonts w:ascii="Times New Roman" w:eastAsia="Times New Roman" w:hAnsi="Times New Roman" w:cs="Times New Roman"/>
        </w:rPr>
        <w:t>detailed above</w:t>
      </w:r>
      <w:r w:rsidR="006541F9" w:rsidRPr="006541F9">
        <w:rPr>
          <w:rFonts w:ascii="Times New Roman" w:eastAsia="Times New Roman" w:hAnsi="Times New Roman" w:cs="Times New Roman"/>
        </w:rPr>
        <w:t xml:space="preserve">. This </w:t>
      </w:r>
      <w:r w:rsidR="00B846F9" w:rsidRPr="00B846F9">
        <w:rPr>
          <w:rFonts w:ascii="Times New Roman" w:eastAsia="Times New Roman" w:hAnsi="Times New Roman" w:cs="Times New Roman"/>
        </w:rPr>
        <w:t xml:space="preserve">alternative distribution merits further investigation </w:t>
      </w:r>
      <w:r w:rsidR="00102538" w:rsidRPr="00102538">
        <w:rPr>
          <w:rFonts w:ascii="Times New Roman" w:eastAsia="Times New Roman" w:hAnsi="Times New Roman" w:cs="Times New Roman"/>
        </w:rPr>
        <w:t>together with</w:t>
      </w:r>
      <w:r w:rsidR="00B846F9">
        <w:rPr>
          <w:rFonts w:ascii="Times New Roman" w:eastAsia="Times New Roman" w:hAnsi="Times New Roman" w:cs="Times New Roman"/>
        </w:rPr>
        <w:t xml:space="preserve"> </w:t>
      </w:r>
      <w:r w:rsidR="004D70AB">
        <w:rPr>
          <w:rFonts w:ascii="Times New Roman" w:eastAsia="Times New Roman" w:hAnsi="Times New Roman" w:cs="Times New Roman"/>
        </w:rPr>
        <w:t>t</w:t>
      </w:r>
      <w:r w:rsidR="004D70AB" w:rsidRPr="004D70AB">
        <w:rPr>
          <w:rFonts w:ascii="Times New Roman" w:eastAsia="Times New Roman" w:hAnsi="Times New Roman" w:cs="Times New Roman"/>
        </w:rPr>
        <w:t>raditional priorities that prioritize</w:t>
      </w:r>
      <w:r w:rsidR="004D70AB">
        <w:rPr>
          <w:rFonts w:ascii="Times New Roman" w:eastAsia="Times New Roman" w:hAnsi="Times New Roman" w:cs="Times New Roman"/>
        </w:rPr>
        <w:t xml:space="preserve"> </w:t>
      </w:r>
      <w:r w:rsidR="006541F9" w:rsidRPr="006541F9">
        <w:rPr>
          <w:rFonts w:ascii="Times New Roman" w:eastAsia="Times New Roman" w:hAnsi="Times New Roman" w:cs="Times New Roman"/>
        </w:rPr>
        <w:t xml:space="preserve">clinical training infrastructure. Programs implementing these allocations while ensuring participants experience at least six high-quality touchpoints per leverage point </w:t>
      </w:r>
      <w:r w:rsidR="00112393" w:rsidRPr="00112393">
        <w:rPr>
          <w:rFonts w:ascii="Times New Roman" w:eastAsia="Times New Roman" w:hAnsi="Times New Roman" w:cs="Times New Roman"/>
        </w:rPr>
        <w:t>may achieve enhanced outcomes</w:t>
      </w:r>
      <w:r w:rsidR="00112393">
        <w:rPr>
          <w:rFonts w:ascii="Times New Roman" w:eastAsia="Times New Roman" w:hAnsi="Times New Roman" w:cs="Times New Roman"/>
        </w:rPr>
        <w:t xml:space="preserve"> </w:t>
      </w:r>
      <w:r w:rsidR="006541F9" w:rsidRPr="006541F9">
        <w:rPr>
          <w:rFonts w:ascii="Times New Roman" w:eastAsia="Times New Roman" w:hAnsi="Times New Roman" w:cs="Times New Roman"/>
        </w:rPr>
        <w:t>previously thought to require massive resource investments.</w:t>
      </w:r>
    </w:p>
    <w:p w14:paraId="2E46BBB5" w14:textId="77777777" w:rsidR="006541F9" w:rsidRPr="006541F9" w:rsidRDefault="006541F9" w:rsidP="006541F9">
      <w:pPr>
        <w:pStyle w:val="NoSpacing"/>
        <w:spacing w:line="480" w:lineRule="auto"/>
        <w:ind w:firstLine="720"/>
        <w:rPr>
          <w:rFonts w:ascii="Times New Roman" w:eastAsia="Times New Roman" w:hAnsi="Times New Roman" w:cs="Times New Roman"/>
        </w:rPr>
      </w:pPr>
      <w:r w:rsidRPr="006541F9">
        <w:rPr>
          <w:rFonts w:ascii="Times New Roman" w:eastAsia="Times New Roman" w:hAnsi="Times New Roman" w:cs="Times New Roman"/>
        </w:rPr>
        <w:t>Future research should validate these exponential patterns through multi-site studies with larger samples and longitudinal tracking of actual practice decisions. Critical questions remain about optimal touchpoint sequencing and transferability to other healthcare disciplines. Implementation studies testing the 51.2% / 30.4% / 18.4% resource allocation model against traditional distributions would provide definitive evidence for practice transformation. The demonstration of cumulative micro-thresholds and synergistic social learning mechanisms opens new avenues for understanding transformative education beyond healthcare contexts.</w:t>
      </w:r>
    </w:p>
    <w:p w14:paraId="0D6057B5" w14:textId="241D61D7" w:rsidR="00D2670B" w:rsidRPr="00D2670B" w:rsidRDefault="00A46C0E" w:rsidP="006541F9">
      <w:pPr>
        <w:pStyle w:val="NoSpacing"/>
        <w:spacing w:line="480" w:lineRule="auto"/>
        <w:ind w:firstLine="720"/>
        <w:rPr>
          <w:rFonts w:ascii="Times New Roman" w:eastAsia="Times New Roman" w:hAnsi="Times New Roman" w:cs="Times New Roman"/>
        </w:rPr>
      </w:pPr>
      <w:r w:rsidRPr="00A46C0E">
        <w:rPr>
          <w:rFonts w:ascii="Times New Roman" w:eastAsia="Times New Roman" w:hAnsi="Times New Roman" w:cs="Times New Roman"/>
        </w:rPr>
        <w:t>Rural healthcare workforce shortages require continued investigation of innovative approaches.</w:t>
      </w:r>
      <w:r>
        <w:rPr>
          <w:rFonts w:ascii="Times New Roman" w:eastAsia="Times New Roman" w:hAnsi="Times New Roman" w:cs="Times New Roman"/>
        </w:rPr>
        <w:t xml:space="preserve"> </w:t>
      </w:r>
      <w:r w:rsidR="006541F9" w:rsidRPr="006541F9">
        <w:rPr>
          <w:rFonts w:ascii="Times New Roman" w:eastAsia="Times New Roman" w:hAnsi="Times New Roman" w:cs="Times New Roman"/>
        </w:rPr>
        <w:t xml:space="preserve">This research </w:t>
      </w:r>
      <w:r w:rsidRPr="00A46C0E">
        <w:rPr>
          <w:rFonts w:ascii="Times New Roman" w:eastAsia="Times New Roman" w:hAnsi="Times New Roman" w:cs="Times New Roman"/>
        </w:rPr>
        <w:t>suggests that one answer may lie</w:t>
      </w:r>
      <w:r>
        <w:rPr>
          <w:rFonts w:ascii="Times New Roman" w:eastAsia="Times New Roman" w:hAnsi="Times New Roman" w:cs="Times New Roman"/>
        </w:rPr>
        <w:t xml:space="preserve"> </w:t>
      </w:r>
      <w:r w:rsidR="006541F9" w:rsidRPr="006541F9">
        <w:rPr>
          <w:rFonts w:ascii="Times New Roman" w:eastAsia="Times New Roman" w:hAnsi="Times New Roman" w:cs="Times New Roman"/>
        </w:rPr>
        <w:t xml:space="preserve">not in creating new programs or </w:t>
      </w:r>
      <w:r w:rsidR="006541F9" w:rsidRPr="006541F9">
        <w:rPr>
          <w:rFonts w:ascii="Times New Roman" w:eastAsia="Times New Roman" w:hAnsi="Times New Roman" w:cs="Times New Roman"/>
        </w:rPr>
        <w:lastRenderedPageBreak/>
        <w:t xml:space="preserve">multiplying resources, but in strategically optimizing existing touchpoints to achieve exponential impact. By understanding and leveraging these compound mechanisms, even small programs </w:t>
      </w:r>
      <w:r w:rsidR="005535DE" w:rsidRPr="005535DE">
        <w:rPr>
          <w:rFonts w:ascii="Times New Roman" w:eastAsia="Times New Roman" w:hAnsi="Times New Roman" w:cs="Times New Roman"/>
        </w:rPr>
        <w:t>may be able to create meaningful influence</w:t>
      </w:r>
      <w:r w:rsidR="005535DE">
        <w:rPr>
          <w:rFonts w:ascii="Times New Roman" w:eastAsia="Times New Roman" w:hAnsi="Times New Roman" w:cs="Times New Roman"/>
        </w:rPr>
        <w:t xml:space="preserve"> </w:t>
      </w:r>
      <w:r w:rsidR="006541F9" w:rsidRPr="006541F9">
        <w:rPr>
          <w:rFonts w:ascii="Times New Roman" w:eastAsia="Times New Roman" w:hAnsi="Times New Roman" w:cs="Times New Roman"/>
        </w:rPr>
        <w:t xml:space="preserve">on rural practice decisions, offering </w:t>
      </w:r>
      <w:r w:rsidR="0045257E" w:rsidRPr="0045257E">
        <w:rPr>
          <w:rFonts w:ascii="Times New Roman" w:eastAsia="Times New Roman" w:hAnsi="Times New Roman" w:cs="Times New Roman"/>
        </w:rPr>
        <w:t>a potential avenue</w:t>
      </w:r>
      <w:r w:rsidR="006541F9" w:rsidRPr="006541F9">
        <w:rPr>
          <w:rFonts w:ascii="Times New Roman" w:eastAsia="Times New Roman" w:hAnsi="Times New Roman" w:cs="Times New Roman"/>
        </w:rPr>
        <w:t xml:space="preserve"> for communities struggling to maintain healthcare access.</w:t>
      </w:r>
    </w:p>
    <w:p w14:paraId="326DFEFC" w14:textId="77777777" w:rsidR="00451982" w:rsidRDefault="00451982" w:rsidP="00C41496">
      <w:pPr>
        <w:pStyle w:val="NoSpacing"/>
        <w:rPr>
          <w:rFonts w:ascii="Times New Roman" w:eastAsia="Times New Roman" w:hAnsi="Times New Roman" w:cs="Times New Roman"/>
          <w:b/>
          <w:bCs/>
        </w:rPr>
      </w:pPr>
    </w:p>
    <w:p w14:paraId="474E74F7" w14:textId="77777777" w:rsidR="00845A4B" w:rsidRDefault="00845A4B" w:rsidP="00C41496">
      <w:pPr>
        <w:pStyle w:val="NoSpacing"/>
        <w:rPr>
          <w:rFonts w:ascii="Times New Roman" w:eastAsia="Times New Roman" w:hAnsi="Times New Roman" w:cs="Times New Roman"/>
          <w:b/>
          <w:bCs/>
        </w:rPr>
      </w:pPr>
    </w:p>
    <w:p w14:paraId="561D3D4A" w14:textId="77777777" w:rsidR="00845A4B" w:rsidRDefault="00845A4B" w:rsidP="00C41496">
      <w:pPr>
        <w:pStyle w:val="NoSpacing"/>
        <w:rPr>
          <w:rFonts w:ascii="Times New Roman" w:eastAsia="Times New Roman" w:hAnsi="Times New Roman" w:cs="Times New Roman"/>
          <w:b/>
          <w:bCs/>
        </w:rPr>
      </w:pPr>
    </w:p>
    <w:p w14:paraId="38026E29" w14:textId="77777777" w:rsidR="00845A4B" w:rsidRDefault="00845A4B" w:rsidP="00C41496">
      <w:pPr>
        <w:pStyle w:val="NoSpacing"/>
        <w:rPr>
          <w:rFonts w:ascii="Times New Roman" w:eastAsia="Times New Roman" w:hAnsi="Times New Roman" w:cs="Times New Roman"/>
          <w:b/>
          <w:bCs/>
        </w:rPr>
      </w:pPr>
    </w:p>
    <w:p w14:paraId="1B712FFF" w14:textId="77777777" w:rsidR="00845A4B" w:rsidRDefault="00845A4B" w:rsidP="00C41496">
      <w:pPr>
        <w:pStyle w:val="NoSpacing"/>
        <w:rPr>
          <w:rFonts w:ascii="Times New Roman" w:eastAsia="Times New Roman" w:hAnsi="Times New Roman" w:cs="Times New Roman"/>
          <w:b/>
          <w:bCs/>
        </w:rPr>
      </w:pPr>
    </w:p>
    <w:p w14:paraId="38306F75" w14:textId="77777777" w:rsidR="00845A4B" w:rsidRDefault="00845A4B" w:rsidP="00C41496">
      <w:pPr>
        <w:pStyle w:val="NoSpacing"/>
        <w:rPr>
          <w:rFonts w:ascii="Times New Roman" w:eastAsia="Times New Roman" w:hAnsi="Times New Roman" w:cs="Times New Roman"/>
          <w:b/>
          <w:bCs/>
        </w:rPr>
      </w:pPr>
    </w:p>
    <w:p w14:paraId="27EEEB0C" w14:textId="77777777" w:rsidR="00845A4B" w:rsidRDefault="00845A4B" w:rsidP="00C41496">
      <w:pPr>
        <w:pStyle w:val="NoSpacing"/>
        <w:rPr>
          <w:rFonts w:ascii="Times New Roman" w:eastAsia="Times New Roman" w:hAnsi="Times New Roman" w:cs="Times New Roman"/>
          <w:b/>
          <w:bCs/>
        </w:rPr>
      </w:pPr>
    </w:p>
    <w:p w14:paraId="2EF52924" w14:textId="77777777" w:rsidR="00845A4B" w:rsidRDefault="00845A4B" w:rsidP="00C41496">
      <w:pPr>
        <w:pStyle w:val="NoSpacing"/>
        <w:rPr>
          <w:rFonts w:ascii="Times New Roman" w:eastAsia="Times New Roman" w:hAnsi="Times New Roman" w:cs="Times New Roman"/>
          <w:b/>
          <w:bCs/>
        </w:rPr>
      </w:pPr>
    </w:p>
    <w:p w14:paraId="18797A8F" w14:textId="77777777" w:rsidR="00845A4B" w:rsidRDefault="00845A4B" w:rsidP="00C41496">
      <w:pPr>
        <w:pStyle w:val="NoSpacing"/>
        <w:rPr>
          <w:rFonts w:ascii="Times New Roman" w:eastAsia="Times New Roman" w:hAnsi="Times New Roman" w:cs="Times New Roman"/>
          <w:b/>
          <w:bCs/>
        </w:rPr>
      </w:pPr>
    </w:p>
    <w:p w14:paraId="73EA4D9F" w14:textId="77777777" w:rsidR="00845A4B" w:rsidRDefault="00845A4B" w:rsidP="00C41496">
      <w:pPr>
        <w:pStyle w:val="NoSpacing"/>
        <w:rPr>
          <w:rFonts w:ascii="Times New Roman" w:eastAsia="Times New Roman" w:hAnsi="Times New Roman" w:cs="Times New Roman"/>
          <w:b/>
          <w:bCs/>
        </w:rPr>
      </w:pPr>
    </w:p>
    <w:p w14:paraId="5C8C35E4" w14:textId="77777777" w:rsidR="00845A4B" w:rsidRDefault="00845A4B" w:rsidP="00C41496">
      <w:pPr>
        <w:pStyle w:val="NoSpacing"/>
        <w:rPr>
          <w:rFonts w:ascii="Times New Roman" w:eastAsia="Times New Roman" w:hAnsi="Times New Roman" w:cs="Times New Roman"/>
          <w:b/>
          <w:bCs/>
        </w:rPr>
      </w:pPr>
    </w:p>
    <w:p w14:paraId="3122DF1A" w14:textId="77777777" w:rsidR="00845A4B" w:rsidRDefault="00845A4B" w:rsidP="00C41496">
      <w:pPr>
        <w:pStyle w:val="NoSpacing"/>
        <w:rPr>
          <w:rFonts w:ascii="Times New Roman" w:eastAsia="Times New Roman" w:hAnsi="Times New Roman" w:cs="Times New Roman"/>
          <w:b/>
          <w:bCs/>
        </w:rPr>
      </w:pPr>
    </w:p>
    <w:p w14:paraId="1CBFA7E8" w14:textId="77777777" w:rsidR="00845A4B" w:rsidRDefault="00845A4B" w:rsidP="00C41496">
      <w:pPr>
        <w:pStyle w:val="NoSpacing"/>
        <w:rPr>
          <w:rFonts w:ascii="Times New Roman" w:eastAsia="Times New Roman" w:hAnsi="Times New Roman" w:cs="Times New Roman"/>
          <w:b/>
          <w:bCs/>
        </w:rPr>
      </w:pPr>
    </w:p>
    <w:p w14:paraId="328C2A7E" w14:textId="77777777" w:rsidR="00845A4B" w:rsidRDefault="00845A4B" w:rsidP="00C41496">
      <w:pPr>
        <w:pStyle w:val="NoSpacing"/>
        <w:rPr>
          <w:rFonts w:ascii="Times New Roman" w:eastAsia="Times New Roman" w:hAnsi="Times New Roman" w:cs="Times New Roman"/>
          <w:b/>
          <w:bCs/>
        </w:rPr>
      </w:pPr>
    </w:p>
    <w:p w14:paraId="2A8DD7F4" w14:textId="77777777" w:rsidR="00845A4B" w:rsidRDefault="00845A4B" w:rsidP="00C41496">
      <w:pPr>
        <w:pStyle w:val="NoSpacing"/>
        <w:rPr>
          <w:rFonts w:ascii="Times New Roman" w:eastAsia="Times New Roman" w:hAnsi="Times New Roman" w:cs="Times New Roman"/>
          <w:b/>
          <w:bCs/>
        </w:rPr>
      </w:pPr>
    </w:p>
    <w:p w14:paraId="58D3F4CA" w14:textId="77777777" w:rsidR="00845A4B" w:rsidRDefault="00845A4B" w:rsidP="00C41496">
      <w:pPr>
        <w:pStyle w:val="NoSpacing"/>
        <w:rPr>
          <w:rFonts w:ascii="Times New Roman" w:eastAsia="Times New Roman" w:hAnsi="Times New Roman" w:cs="Times New Roman"/>
          <w:b/>
          <w:bCs/>
        </w:rPr>
      </w:pPr>
    </w:p>
    <w:p w14:paraId="28551772" w14:textId="77777777" w:rsidR="00845A4B" w:rsidRDefault="00845A4B" w:rsidP="00C41496">
      <w:pPr>
        <w:pStyle w:val="NoSpacing"/>
        <w:rPr>
          <w:rFonts w:ascii="Times New Roman" w:eastAsia="Times New Roman" w:hAnsi="Times New Roman" w:cs="Times New Roman"/>
          <w:b/>
          <w:bCs/>
        </w:rPr>
      </w:pPr>
    </w:p>
    <w:p w14:paraId="0AFE3F84" w14:textId="77777777" w:rsidR="00845A4B" w:rsidRDefault="00845A4B" w:rsidP="00C41496">
      <w:pPr>
        <w:pStyle w:val="NoSpacing"/>
        <w:rPr>
          <w:rFonts w:ascii="Times New Roman" w:eastAsia="Times New Roman" w:hAnsi="Times New Roman" w:cs="Times New Roman"/>
          <w:b/>
          <w:bCs/>
        </w:rPr>
      </w:pPr>
    </w:p>
    <w:p w14:paraId="4ED024E4" w14:textId="77777777" w:rsidR="0078094C" w:rsidRDefault="0078094C" w:rsidP="00C41496">
      <w:pPr>
        <w:pStyle w:val="NoSpacing"/>
        <w:rPr>
          <w:rFonts w:ascii="Times New Roman" w:eastAsia="Times New Roman" w:hAnsi="Times New Roman" w:cs="Times New Roman"/>
          <w:b/>
          <w:bCs/>
        </w:rPr>
      </w:pPr>
    </w:p>
    <w:p w14:paraId="42851065" w14:textId="77777777" w:rsidR="00190D84" w:rsidRDefault="00190D84" w:rsidP="00C41496">
      <w:pPr>
        <w:pStyle w:val="NoSpacing"/>
        <w:rPr>
          <w:rFonts w:ascii="Times New Roman" w:eastAsia="Times New Roman" w:hAnsi="Times New Roman" w:cs="Times New Roman"/>
          <w:b/>
          <w:bCs/>
        </w:rPr>
      </w:pPr>
    </w:p>
    <w:p w14:paraId="00820BAA" w14:textId="77777777" w:rsidR="00190D84" w:rsidRDefault="00190D84" w:rsidP="00C41496">
      <w:pPr>
        <w:pStyle w:val="NoSpacing"/>
        <w:rPr>
          <w:rFonts w:ascii="Times New Roman" w:eastAsia="Times New Roman" w:hAnsi="Times New Roman" w:cs="Times New Roman"/>
          <w:b/>
          <w:bCs/>
        </w:rPr>
      </w:pPr>
    </w:p>
    <w:p w14:paraId="3E4C3D72" w14:textId="77777777" w:rsidR="00190D84" w:rsidRDefault="00190D84" w:rsidP="00C41496">
      <w:pPr>
        <w:pStyle w:val="NoSpacing"/>
        <w:rPr>
          <w:rFonts w:ascii="Times New Roman" w:eastAsia="Times New Roman" w:hAnsi="Times New Roman" w:cs="Times New Roman"/>
          <w:b/>
          <w:bCs/>
        </w:rPr>
      </w:pPr>
    </w:p>
    <w:p w14:paraId="1D98A8B3" w14:textId="77777777" w:rsidR="00190D84" w:rsidRDefault="00190D84" w:rsidP="00C41496">
      <w:pPr>
        <w:pStyle w:val="NoSpacing"/>
        <w:rPr>
          <w:rFonts w:ascii="Times New Roman" w:eastAsia="Times New Roman" w:hAnsi="Times New Roman" w:cs="Times New Roman"/>
          <w:b/>
          <w:bCs/>
        </w:rPr>
      </w:pPr>
    </w:p>
    <w:p w14:paraId="23EF86BD" w14:textId="77777777" w:rsidR="00190D84" w:rsidRDefault="00190D84" w:rsidP="00C41496">
      <w:pPr>
        <w:pStyle w:val="NoSpacing"/>
        <w:rPr>
          <w:rFonts w:ascii="Times New Roman" w:eastAsia="Times New Roman" w:hAnsi="Times New Roman" w:cs="Times New Roman"/>
          <w:b/>
          <w:bCs/>
        </w:rPr>
      </w:pPr>
    </w:p>
    <w:p w14:paraId="18962079" w14:textId="77777777" w:rsidR="00190D84" w:rsidRDefault="00190D84" w:rsidP="00C41496">
      <w:pPr>
        <w:pStyle w:val="NoSpacing"/>
        <w:rPr>
          <w:rFonts w:ascii="Times New Roman" w:eastAsia="Times New Roman" w:hAnsi="Times New Roman" w:cs="Times New Roman"/>
          <w:b/>
          <w:bCs/>
        </w:rPr>
      </w:pPr>
    </w:p>
    <w:p w14:paraId="0EFD5783" w14:textId="77777777" w:rsidR="00190D84" w:rsidRDefault="00190D84" w:rsidP="00C41496">
      <w:pPr>
        <w:pStyle w:val="NoSpacing"/>
        <w:rPr>
          <w:rFonts w:ascii="Times New Roman" w:eastAsia="Times New Roman" w:hAnsi="Times New Roman" w:cs="Times New Roman"/>
          <w:b/>
          <w:bCs/>
        </w:rPr>
      </w:pPr>
    </w:p>
    <w:p w14:paraId="7C6AACFF" w14:textId="77777777" w:rsidR="00190D84" w:rsidRDefault="00190D84" w:rsidP="00C41496">
      <w:pPr>
        <w:pStyle w:val="NoSpacing"/>
        <w:rPr>
          <w:rFonts w:ascii="Times New Roman" w:eastAsia="Times New Roman" w:hAnsi="Times New Roman" w:cs="Times New Roman"/>
          <w:b/>
          <w:bCs/>
        </w:rPr>
      </w:pPr>
    </w:p>
    <w:p w14:paraId="59D3C782" w14:textId="77777777" w:rsidR="00190D84" w:rsidRDefault="00190D84" w:rsidP="00C41496">
      <w:pPr>
        <w:pStyle w:val="NoSpacing"/>
        <w:rPr>
          <w:rFonts w:ascii="Times New Roman" w:eastAsia="Times New Roman" w:hAnsi="Times New Roman" w:cs="Times New Roman"/>
          <w:b/>
          <w:bCs/>
        </w:rPr>
      </w:pPr>
    </w:p>
    <w:p w14:paraId="1F7B7CDF" w14:textId="77777777" w:rsidR="00190D84" w:rsidRDefault="00190D84" w:rsidP="00C41496">
      <w:pPr>
        <w:pStyle w:val="NoSpacing"/>
        <w:rPr>
          <w:rFonts w:ascii="Times New Roman" w:eastAsia="Times New Roman" w:hAnsi="Times New Roman" w:cs="Times New Roman"/>
          <w:b/>
          <w:bCs/>
        </w:rPr>
      </w:pPr>
    </w:p>
    <w:p w14:paraId="3D4187A3" w14:textId="77777777" w:rsidR="00190D84" w:rsidRDefault="00190D84" w:rsidP="00C41496">
      <w:pPr>
        <w:pStyle w:val="NoSpacing"/>
        <w:rPr>
          <w:rFonts w:ascii="Times New Roman" w:eastAsia="Times New Roman" w:hAnsi="Times New Roman" w:cs="Times New Roman"/>
          <w:b/>
          <w:bCs/>
        </w:rPr>
      </w:pPr>
    </w:p>
    <w:p w14:paraId="338C45E3" w14:textId="77777777" w:rsidR="00190D84" w:rsidRDefault="00190D84" w:rsidP="00C41496">
      <w:pPr>
        <w:pStyle w:val="NoSpacing"/>
        <w:rPr>
          <w:rFonts w:ascii="Times New Roman" w:eastAsia="Times New Roman" w:hAnsi="Times New Roman" w:cs="Times New Roman"/>
          <w:b/>
          <w:bCs/>
        </w:rPr>
      </w:pPr>
    </w:p>
    <w:p w14:paraId="1D459B53" w14:textId="77777777" w:rsidR="00155F53" w:rsidRDefault="00155F53" w:rsidP="00C41496">
      <w:pPr>
        <w:pStyle w:val="NoSpacing"/>
        <w:rPr>
          <w:rFonts w:ascii="Times New Roman" w:eastAsia="Times New Roman" w:hAnsi="Times New Roman" w:cs="Times New Roman"/>
          <w:b/>
          <w:bCs/>
        </w:rPr>
      </w:pPr>
    </w:p>
    <w:p w14:paraId="34DBA1A6" w14:textId="77777777" w:rsidR="00155F53" w:rsidRDefault="00155F53" w:rsidP="00C41496">
      <w:pPr>
        <w:pStyle w:val="NoSpacing"/>
        <w:rPr>
          <w:rFonts w:ascii="Times New Roman" w:eastAsia="Times New Roman" w:hAnsi="Times New Roman" w:cs="Times New Roman"/>
          <w:b/>
          <w:bCs/>
        </w:rPr>
      </w:pPr>
    </w:p>
    <w:p w14:paraId="56807A50" w14:textId="77777777" w:rsidR="00155F53" w:rsidRDefault="00155F53" w:rsidP="00C41496">
      <w:pPr>
        <w:pStyle w:val="NoSpacing"/>
        <w:rPr>
          <w:rFonts w:ascii="Times New Roman" w:eastAsia="Times New Roman" w:hAnsi="Times New Roman" w:cs="Times New Roman"/>
          <w:b/>
          <w:bCs/>
        </w:rPr>
      </w:pPr>
    </w:p>
    <w:p w14:paraId="6CD9E3E0" w14:textId="77777777" w:rsidR="00155F53" w:rsidRDefault="00155F53" w:rsidP="00C41496">
      <w:pPr>
        <w:pStyle w:val="NoSpacing"/>
        <w:rPr>
          <w:rFonts w:ascii="Times New Roman" w:eastAsia="Times New Roman" w:hAnsi="Times New Roman" w:cs="Times New Roman"/>
          <w:b/>
          <w:bCs/>
        </w:rPr>
      </w:pPr>
    </w:p>
    <w:p w14:paraId="710CCD30" w14:textId="77777777" w:rsidR="00190D84" w:rsidRDefault="00190D84" w:rsidP="00C41496">
      <w:pPr>
        <w:pStyle w:val="NoSpacing"/>
        <w:rPr>
          <w:rFonts w:ascii="Times New Roman" w:eastAsia="Times New Roman" w:hAnsi="Times New Roman" w:cs="Times New Roman"/>
          <w:b/>
          <w:bCs/>
        </w:rPr>
      </w:pPr>
    </w:p>
    <w:p w14:paraId="1A97425C" w14:textId="77777777" w:rsidR="00190D84" w:rsidRDefault="00190D84" w:rsidP="00C41496">
      <w:pPr>
        <w:pStyle w:val="NoSpacing"/>
        <w:rPr>
          <w:rFonts w:ascii="Times New Roman" w:eastAsia="Times New Roman" w:hAnsi="Times New Roman" w:cs="Times New Roman"/>
          <w:b/>
          <w:bCs/>
        </w:rPr>
      </w:pPr>
    </w:p>
    <w:p w14:paraId="20027D24" w14:textId="77777777" w:rsidR="00451982" w:rsidRDefault="00451982" w:rsidP="00C41496">
      <w:pPr>
        <w:pStyle w:val="NoSpacing"/>
        <w:rPr>
          <w:rFonts w:ascii="Times New Roman" w:eastAsia="Times New Roman" w:hAnsi="Times New Roman" w:cs="Times New Roman"/>
          <w:b/>
          <w:bCs/>
        </w:rPr>
      </w:pPr>
    </w:p>
    <w:p w14:paraId="7A336526" w14:textId="5B93DBBC" w:rsidR="00740C9A" w:rsidRPr="00C41496" w:rsidRDefault="00740C9A" w:rsidP="002943BB">
      <w:pPr>
        <w:pStyle w:val="NoSpacing"/>
        <w:spacing w:line="480" w:lineRule="auto"/>
        <w:jc w:val="center"/>
        <w:rPr>
          <w:rFonts w:ascii="Times New Roman" w:eastAsia="Times New Roman" w:hAnsi="Times New Roman" w:cs="Times New Roman"/>
          <w:b/>
          <w:bCs/>
        </w:rPr>
      </w:pPr>
      <w:r w:rsidRPr="00C41496">
        <w:rPr>
          <w:rFonts w:ascii="Times New Roman" w:eastAsia="Times New Roman" w:hAnsi="Times New Roman" w:cs="Times New Roman"/>
          <w:b/>
          <w:bCs/>
        </w:rPr>
        <w:lastRenderedPageBreak/>
        <w:t>References</w:t>
      </w:r>
    </w:p>
    <w:p w14:paraId="20BC68B4"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Abelsen, B., Strasser, R., Heaney, D., Berggren, P., Sigurðsson, S., Brandstorp, H., Wakegijig, J., Forsling, N., Moody-Corbett, P., Akearok, G. H., Mason, A., Savage, C., &amp; Nicoll, P. (2020). Plan, recruit, retain: A framework for local healthcare organizations to achieve a stable remote rural workforce. </w:t>
      </w:r>
      <w:r w:rsidRPr="002943BB">
        <w:rPr>
          <w:rFonts w:ascii="Times New Roman" w:eastAsia="Times New Roman" w:hAnsi="Times New Roman" w:cs="Times New Roman"/>
          <w:i/>
          <w:iCs/>
        </w:rPr>
        <w:t>Human Resources for Health</w:t>
      </w:r>
      <w:r w:rsidRPr="002943BB">
        <w:rPr>
          <w:rFonts w:ascii="Times New Roman" w:eastAsia="Times New Roman" w:hAnsi="Times New Roman" w:cs="Times New Roman"/>
        </w:rPr>
        <w:t>, 18(1), 63. https://doi.org/10.1186/s12960-020-00502-x</w:t>
      </w:r>
    </w:p>
    <w:p w14:paraId="77098BA4"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Allen, A. L. (2023, November 22). A reason to care: How students choose rural health. </w:t>
      </w:r>
      <w:r w:rsidRPr="002943BB">
        <w:rPr>
          <w:rFonts w:ascii="Times New Roman" w:eastAsia="Times New Roman" w:hAnsi="Times New Roman" w:cs="Times New Roman"/>
          <w:i/>
          <w:iCs/>
        </w:rPr>
        <w:t>National Rural Health Association</w:t>
      </w:r>
      <w:r w:rsidRPr="002943BB">
        <w:rPr>
          <w:rFonts w:ascii="Times New Roman" w:eastAsia="Times New Roman" w:hAnsi="Times New Roman" w:cs="Times New Roman"/>
        </w:rPr>
        <w:t>. https://www.ruralhealth.us/blogs/2023/11/a-reason-to-care-how-students-choose-rural-health</w:t>
      </w:r>
    </w:p>
    <w:p w14:paraId="42C8F417"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Aviva Health. (2024). ReConnect Fellowship. https://aviva.health/ahecsw/reconnect-fellowship/</w:t>
      </w:r>
    </w:p>
    <w:p w14:paraId="3248F152"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Bandura, A. (1977). </w:t>
      </w:r>
      <w:r w:rsidRPr="002943BB">
        <w:rPr>
          <w:rFonts w:ascii="Times New Roman" w:eastAsia="Times New Roman" w:hAnsi="Times New Roman" w:cs="Times New Roman"/>
          <w:i/>
          <w:iCs/>
        </w:rPr>
        <w:t>Social learning theory</w:t>
      </w:r>
      <w:r w:rsidRPr="002943BB">
        <w:rPr>
          <w:rFonts w:ascii="Times New Roman" w:eastAsia="Times New Roman" w:hAnsi="Times New Roman" w:cs="Times New Roman"/>
        </w:rPr>
        <w:t>. Prentice Hall.</w:t>
      </w:r>
    </w:p>
    <w:p w14:paraId="335E9DE6"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Bandura, A. (1986). </w:t>
      </w:r>
      <w:r w:rsidRPr="002943BB">
        <w:rPr>
          <w:rFonts w:ascii="Times New Roman" w:eastAsia="Times New Roman" w:hAnsi="Times New Roman" w:cs="Times New Roman"/>
          <w:i/>
          <w:iCs/>
        </w:rPr>
        <w:t>Social foundations of thought and action: A social cognitive theory</w:t>
      </w:r>
      <w:r w:rsidRPr="002943BB">
        <w:rPr>
          <w:rFonts w:ascii="Times New Roman" w:eastAsia="Times New Roman" w:hAnsi="Times New Roman" w:cs="Times New Roman"/>
        </w:rPr>
        <w:t>. Prentice Hall.</w:t>
      </w:r>
    </w:p>
    <w:p w14:paraId="4FEFAF9E"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Bradley, E. H., Taylor, L. A., &amp; Cuellar, C. J. (2015). Management matters: A leverage point for health systems strengthening in global health. </w:t>
      </w:r>
      <w:r w:rsidRPr="002943BB">
        <w:rPr>
          <w:rFonts w:ascii="Times New Roman" w:eastAsia="Times New Roman" w:hAnsi="Times New Roman" w:cs="Times New Roman"/>
          <w:i/>
          <w:iCs/>
        </w:rPr>
        <w:t>International Journal of Health Policy and Management</w:t>
      </w:r>
      <w:r w:rsidRPr="002943BB">
        <w:rPr>
          <w:rFonts w:ascii="Times New Roman" w:eastAsia="Times New Roman" w:hAnsi="Times New Roman" w:cs="Times New Roman"/>
        </w:rPr>
        <w:t>, 4(7), 411-415. https://doi.org/10.15171/ijhpm.2015.101</w:t>
      </w:r>
    </w:p>
    <w:p w14:paraId="3931240E" w14:textId="23D949E5" w:rsidR="00740C9A"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Centers for Medicare &amp; Medicaid Services. (2019, November 6). Addressing rural health inequities in Medicare. </w:t>
      </w:r>
      <w:hyperlink r:id="rId12" w:history="1">
        <w:r w:rsidR="001F3CEF" w:rsidRPr="00733F47">
          <w:rPr>
            <w:rStyle w:val="Hyperlink"/>
            <w:rFonts w:ascii="Times New Roman" w:eastAsia="Times New Roman" w:hAnsi="Times New Roman" w:cs="Times New Roman"/>
          </w:rPr>
          <w:t>https://www.cms.gov/blog/addressing-rural-health-inequities-medicare</w:t>
        </w:r>
      </w:hyperlink>
    </w:p>
    <w:p w14:paraId="2DB29E8B" w14:textId="2FF3D35F" w:rsidR="00BC1B73" w:rsidRDefault="00BC1B73" w:rsidP="004325F4">
      <w:pPr>
        <w:pStyle w:val="NoSpacing"/>
        <w:spacing w:line="480" w:lineRule="auto"/>
        <w:ind w:left="720" w:hanging="720"/>
        <w:rPr>
          <w:rFonts w:ascii="Times New Roman" w:eastAsia="Times New Roman" w:hAnsi="Times New Roman" w:cs="Times New Roman"/>
        </w:rPr>
      </w:pPr>
      <w:r w:rsidRPr="00BC1B73">
        <w:rPr>
          <w:rFonts w:ascii="Times New Roman" w:eastAsia="Times New Roman" w:hAnsi="Times New Roman" w:cs="Times New Roman"/>
        </w:rPr>
        <w:t>Cohen, J. (1988). Statistical power analysis for the behavioral sciences (2nd ed.). Lawrence Erlbaum Associates.</w:t>
      </w:r>
    </w:p>
    <w:p w14:paraId="0A85CC46" w14:textId="77777777" w:rsidR="00991F3E" w:rsidRDefault="00991F3E" w:rsidP="004325F4">
      <w:pPr>
        <w:pStyle w:val="NoSpacing"/>
        <w:spacing w:line="480" w:lineRule="auto"/>
        <w:ind w:left="720" w:hanging="720"/>
        <w:rPr>
          <w:rFonts w:ascii="Times New Roman" w:eastAsia="Times New Roman" w:hAnsi="Times New Roman" w:cs="Times New Roman"/>
        </w:rPr>
      </w:pPr>
      <w:r w:rsidRPr="00991F3E">
        <w:rPr>
          <w:rFonts w:ascii="Times New Roman" w:eastAsia="Times New Roman" w:hAnsi="Times New Roman" w:cs="Times New Roman"/>
        </w:rPr>
        <w:lastRenderedPageBreak/>
        <w:t xml:space="preserve">Efron, B., &amp; Tibshirani, R. (1986). Bootstrap methods for standard errors, confidence intervals, and other measures of statistical accuracy. </w:t>
      </w:r>
      <w:r w:rsidRPr="00991F3E">
        <w:rPr>
          <w:rFonts w:ascii="Times New Roman" w:eastAsia="Times New Roman" w:hAnsi="Times New Roman" w:cs="Times New Roman"/>
          <w:i/>
          <w:iCs/>
        </w:rPr>
        <w:t>Statistical Science</w:t>
      </w:r>
      <w:r w:rsidRPr="00991F3E">
        <w:rPr>
          <w:rFonts w:ascii="Times New Roman" w:eastAsia="Times New Roman" w:hAnsi="Times New Roman" w:cs="Times New Roman"/>
        </w:rPr>
        <w:t xml:space="preserve">, </w:t>
      </w:r>
      <w:r w:rsidRPr="00991F3E">
        <w:rPr>
          <w:rFonts w:ascii="Times New Roman" w:eastAsia="Times New Roman" w:hAnsi="Times New Roman" w:cs="Times New Roman"/>
          <w:i/>
          <w:iCs/>
        </w:rPr>
        <w:t>1</w:t>
      </w:r>
      <w:r w:rsidRPr="00991F3E">
        <w:rPr>
          <w:rFonts w:ascii="Times New Roman" w:eastAsia="Times New Roman" w:hAnsi="Times New Roman" w:cs="Times New Roman"/>
        </w:rPr>
        <w:t xml:space="preserve">(1), 54-75. </w:t>
      </w:r>
      <w:hyperlink r:id="rId13" w:history="1">
        <w:r w:rsidRPr="00991F3E">
          <w:rPr>
            <w:rStyle w:val="Hyperlink"/>
            <w:rFonts w:ascii="Times New Roman" w:eastAsia="Times New Roman" w:hAnsi="Times New Roman" w:cs="Times New Roman"/>
          </w:rPr>
          <w:t>https://doi.org/10.1214/ss/1177013815</w:t>
        </w:r>
      </w:hyperlink>
    </w:p>
    <w:p w14:paraId="269FE318" w14:textId="20FDD791" w:rsidR="0010052B" w:rsidRPr="0010052B" w:rsidRDefault="0010052B" w:rsidP="004325F4">
      <w:pPr>
        <w:pStyle w:val="NoSpacing"/>
        <w:spacing w:line="480" w:lineRule="auto"/>
        <w:ind w:left="720" w:hanging="720"/>
        <w:rPr>
          <w:rFonts w:ascii="Times New Roman" w:eastAsia="Times New Roman" w:hAnsi="Times New Roman" w:cs="Times New Roman"/>
        </w:rPr>
      </w:pPr>
      <w:r w:rsidRPr="0010052B">
        <w:rPr>
          <w:rFonts w:ascii="Times New Roman" w:eastAsia="Times New Roman" w:hAnsi="Times New Roman" w:cs="Times New Roman"/>
        </w:rPr>
        <w:t>Efron, B., &amp; Tibshirani, R. J. (1993). An introduction to the bootstrap. Chapman &amp; Hall/CRC.</w:t>
      </w:r>
    </w:p>
    <w:p w14:paraId="7CF6715A" w14:textId="3DEEBAEC"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Elliott, J., Luk, M., Varshney, K., Williams, K., &amp; Wright, J. (2023). Assessing medical student satisfaction with rural placement: The Australian Rural Clinical School Support Survey. </w:t>
      </w:r>
      <w:r w:rsidRPr="002943BB">
        <w:rPr>
          <w:rFonts w:ascii="Times New Roman" w:eastAsia="Times New Roman" w:hAnsi="Times New Roman" w:cs="Times New Roman"/>
          <w:i/>
          <w:iCs/>
        </w:rPr>
        <w:t>Rural and Remote Health</w:t>
      </w:r>
      <w:r w:rsidRPr="002943BB">
        <w:rPr>
          <w:rFonts w:ascii="Times New Roman" w:eastAsia="Times New Roman" w:hAnsi="Times New Roman" w:cs="Times New Roman"/>
        </w:rPr>
        <w:t>, 23(2), 7854. https://doi.org/10.22605/RRH7854</w:t>
      </w:r>
    </w:p>
    <w:p w14:paraId="15677AD7"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Goel, S., Angeli, F., Singla, N., &amp; Ruwaard, D. (2018). Measuring the reasons that discourage medical students from working in rural areas: Development and validation of a new instrument. </w:t>
      </w:r>
      <w:r w:rsidRPr="002943BB">
        <w:rPr>
          <w:rFonts w:ascii="Times New Roman" w:eastAsia="Times New Roman" w:hAnsi="Times New Roman" w:cs="Times New Roman"/>
          <w:i/>
          <w:iCs/>
        </w:rPr>
        <w:t>Medicine</w:t>
      </w:r>
      <w:r w:rsidRPr="002943BB">
        <w:rPr>
          <w:rFonts w:ascii="Times New Roman" w:eastAsia="Times New Roman" w:hAnsi="Times New Roman" w:cs="Times New Roman"/>
        </w:rPr>
        <w:t>, 97(2), e9448. https://doi.org/10.1097/MD.0000000000009448</w:t>
      </w:r>
    </w:p>
    <w:p w14:paraId="3DE0485F" w14:textId="7DE90CC7" w:rsidR="00740C9A"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Haruta, J., Ozone, S., &amp; Hamano, J. (2020). Doctors' professional identity and socialisation from medical students to staff doctors in Japan: Narrative analysis in qualitative research from a family physician perspective. </w:t>
      </w:r>
      <w:r w:rsidRPr="002943BB">
        <w:rPr>
          <w:rFonts w:ascii="Times New Roman" w:eastAsia="Times New Roman" w:hAnsi="Times New Roman" w:cs="Times New Roman"/>
          <w:i/>
          <w:iCs/>
        </w:rPr>
        <w:t>BMJ Open</w:t>
      </w:r>
      <w:r w:rsidRPr="002943BB">
        <w:rPr>
          <w:rFonts w:ascii="Times New Roman" w:eastAsia="Times New Roman" w:hAnsi="Times New Roman" w:cs="Times New Roman"/>
        </w:rPr>
        <w:t xml:space="preserve">, 10(7), e035300. </w:t>
      </w:r>
      <w:hyperlink r:id="rId14" w:history="1">
        <w:r w:rsidR="00743AFD" w:rsidRPr="005672F2">
          <w:rPr>
            <w:rStyle w:val="Hyperlink"/>
            <w:rFonts w:ascii="Times New Roman" w:eastAsia="Times New Roman" w:hAnsi="Times New Roman" w:cs="Times New Roman"/>
          </w:rPr>
          <w:t>https://doi.org/10.1136/bmjopen-2019-035300</w:t>
        </w:r>
      </w:hyperlink>
    </w:p>
    <w:p w14:paraId="112A4FB7" w14:textId="6E469FA6" w:rsidR="00743AFD" w:rsidRPr="002943BB" w:rsidRDefault="00743AFD" w:rsidP="004325F4">
      <w:pPr>
        <w:pStyle w:val="NoSpacing"/>
        <w:spacing w:line="480" w:lineRule="auto"/>
        <w:ind w:left="720" w:hanging="720"/>
        <w:rPr>
          <w:rFonts w:ascii="Times New Roman" w:eastAsia="Times New Roman" w:hAnsi="Times New Roman" w:cs="Times New Roman"/>
        </w:rPr>
      </w:pPr>
      <w:r w:rsidRPr="00743AFD">
        <w:rPr>
          <w:rFonts w:ascii="Times New Roman" w:eastAsia="Times New Roman" w:hAnsi="Times New Roman" w:cs="Times New Roman"/>
        </w:rPr>
        <w:t>Haruta, J., Yoshida, K., Goto, M., Yoshimoto, H., Ichikawa, S., Mori, Y., Yoshimi, K., &amp; Otsuka, M. (2021). Factors for self-assessment score of interprofessional team collaboration in community hospitals in Japan. Family Medicine and Community Health, 9(3), e001019. https://doi.org/10.1136/fmch-2021-001019</w:t>
      </w:r>
    </w:p>
    <w:p w14:paraId="5466F4B5"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Johnson, G. E., Wright, F. C., &amp; Foster, K. (2018). The impact of rural outreach programs on medical students' future rural intentions and working locations: A systematic review. </w:t>
      </w:r>
      <w:r w:rsidRPr="002943BB">
        <w:rPr>
          <w:rFonts w:ascii="Times New Roman" w:eastAsia="Times New Roman" w:hAnsi="Times New Roman" w:cs="Times New Roman"/>
          <w:i/>
          <w:iCs/>
        </w:rPr>
        <w:t>BMC Health Services Research</w:t>
      </w:r>
      <w:r w:rsidRPr="002943BB">
        <w:rPr>
          <w:rFonts w:ascii="Times New Roman" w:eastAsia="Times New Roman" w:hAnsi="Times New Roman" w:cs="Times New Roman"/>
        </w:rPr>
        <w:t>, 18(1), 924. https://doi.org/10.1186/s12913-018-3762-x</w:t>
      </w:r>
    </w:p>
    <w:p w14:paraId="3CFA0679"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lastRenderedPageBreak/>
        <w:t xml:space="preserve">Khatri, R., Knight, J., &amp; Wilkinson, I. (2020). Threshold concepts: A portal into new ways of thinking and practicing in psychiatry. </w:t>
      </w:r>
      <w:r w:rsidRPr="002943BB">
        <w:rPr>
          <w:rFonts w:ascii="Times New Roman" w:eastAsia="Times New Roman" w:hAnsi="Times New Roman" w:cs="Times New Roman"/>
          <w:i/>
          <w:iCs/>
        </w:rPr>
        <w:t>Medical Teacher</w:t>
      </w:r>
      <w:r w:rsidRPr="002943BB">
        <w:rPr>
          <w:rFonts w:ascii="Times New Roman" w:eastAsia="Times New Roman" w:hAnsi="Times New Roman" w:cs="Times New Roman"/>
        </w:rPr>
        <w:t>, 42(2), 178-186. https://doi.org/10.1080/0142159X.2019.1670339</w:t>
      </w:r>
    </w:p>
    <w:p w14:paraId="36F6E2E4"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Liu, X., Dou, L., Zhang, H., Sun, Y., &amp; Yuan, B. (2017). Analysis of context factors in compulsory and incentive strategies for improving attraction and retention of health workers in rural and remote areas: A systematic review. </w:t>
      </w:r>
      <w:r w:rsidRPr="002943BB">
        <w:rPr>
          <w:rFonts w:ascii="Times New Roman" w:eastAsia="Times New Roman" w:hAnsi="Times New Roman" w:cs="Times New Roman"/>
          <w:i/>
          <w:iCs/>
        </w:rPr>
        <w:t>Human Resources for Health</w:t>
      </w:r>
      <w:r w:rsidRPr="002943BB">
        <w:rPr>
          <w:rFonts w:ascii="Times New Roman" w:eastAsia="Times New Roman" w:hAnsi="Times New Roman" w:cs="Times New Roman"/>
        </w:rPr>
        <w:t>, 15(1), 35. https://doi.org/10.1186/s12960-017-0210-7</w:t>
      </w:r>
    </w:p>
    <w:p w14:paraId="4A5FDA97" w14:textId="2AFE428C" w:rsidR="00E011AD" w:rsidRDefault="00E011AD" w:rsidP="00E011AD">
      <w:pPr>
        <w:pStyle w:val="NoSpacing"/>
        <w:spacing w:line="480" w:lineRule="auto"/>
        <w:ind w:left="720" w:hanging="720"/>
        <w:rPr>
          <w:rFonts w:ascii="Times New Roman" w:eastAsia="Times New Roman" w:hAnsi="Times New Roman" w:cs="Times New Roman"/>
        </w:rPr>
      </w:pPr>
      <w:r w:rsidRPr="00E011AD">
        <w:rPr>
          <w:rFonts w:ascii="Times New Roman" w:eastAsia="Times New Roman" w:hAnsi="Times New Roman" w:cs="Times New Roman"/>
        </w:rPr>
        <w:t xml:space="preserve">Manus team. (2025). </w:t>
      </w:r>
      <w:r w:rsidRPr="00E011AD">
        <w:rPr>
          <w:rFonts w:ascii="Times New Roman" w:eastAsia="Times New Roman" w:hAnsi="Times New Roman" w:cs="Times New Roman"/>
          <w:i/>
          <w:iCs/>
        </w:rPr>
        <w:t>Manus</w:t>
      </w:r>
      <w:r w:rsidRPr="00E011AD">
        <w:rPr>
          <w:rFonts w:ascii="Times New Roman" w:eastAsia="Times New Roman" w:hAnsi="Times New Roman" w:cs="Times New Roman"/>
        </w:rPr>
        <w:t xml:space="preserve"> (Aug 2, 2025 version) [Large language model].</w:t>
      </w:r>
    </w:p>
    <w:p w14:paraId="7F9172C1"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Meade, Z. S., Li, H. W., Allison, H., Bhatia, M. B., Joplin, T. S., Simon, C., Darkwa, L., Keung, C., &amp; McDow, A. D. (2022). Demographics and medical school exposures to rural health influence future practice. </w:t>
      </w:r>
      <w:r w:rsidRPr="002943BB">
        <w:rPr>
          <w:rFonts w:ascii="Times New Roman" w:eastAsia="Times New Roman" w:hAnsi="Times New Roman" w:cs="Times New Roman"/>
          <w:i/>
          <w:iCs/>
        </w:rPr>
        <w:t>Journal of Surgical Education</w:t>
      </w:r>
      <w:r w:rsidRPr="002943BB">
        <w:rPr>
          <w:rFonts w:ascii="Times New Roman" w:eastAsia="Times New Roman" w:hAnsi="Times New Roman" w:cs="Times New Roman"/>
        </w:rPr>
        <w:t>, 79(4), 1028-1034. https://doi.org/10.1016/j.jsurg.2022.02.013</w:t>
      </w:r>
    </w:p>
    <w:p w14:paraId="121CAD4C"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Meyer, J. H. F., &amp; Land, R. (2006). Threshold concepts and troublesome knowledge: An introduction. In J. H. F. Meyer &amp; R. Land (Eds.), </w:t>
      </w:r>
      <w:r w:rsidRPr="002943BB">
        <w:rPr>
          <w:rFonts w:ascii="Times New Roman" w:eastAsia="Times New Roman" w:hAnsi="Times New Roman" w:cs="Times New Roman"/>
          <w:i/>
          <w:iCs/>
        </w:rPr>
        <w:t>Overcoming barriers to student understanding: Threshold concepts and troublesome knowledge</w:t>
      </w:r>
      <w:r w:rsidRPr="002943BB">
        <w:rPr>
          <w:rFonts w:ascii="Times New Roman" w:eastAsia="Times New Roman" w:hAnsi="Times New Roman" w:cs="Times New Roman"/>
        </w:rPr>
        <w:t xml:space="preserve"> (pp. 3-18). Routledge.</w:t>
      </w:r>
    </w:p>
    <w:p w14:paraId="7130FB8C"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National Rural Health Association [NRHA]. (2022). </w:t>
      </w:r>
      <w:r w:rsidRPr="002943BB">
        <w:rPr>
          <w:rFonts w:ascii="Times New Roman" w:eastAsia="Times New Roman" w:hAnsi="Times New Roman" w:cs="Times New Roman"/>
          <w:i/>
          <w:iCs/>
        </w:rPr>
        <w:t>Toward a sustainable and diversified rural health workforce</w:t>
      </w:r>
      <w:r w:rsidRPr="002943BB">
        <w:rPr>
          <w:rFonts w:ascii="Times New Roman" w:eastAsia="Times New Roman" w:hAnsi="Times New Roman" w:cs="Times New Roman"/>
        </w:rPr>
        <w:t xml:space="preserve"> [Policy brief]. https://www.ruralhealth.us/getmedia/f7b57994-8fb2-47b0-a6e0-12ee74591314/NRHA-Toward-a-Sustainable-Rural-Health-Workforce-Policy-Brief-2022.pdf</w:t>
      </w:r>
    </w:p>
    <w:p w14:paraId="7F2F19E0"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Neve, H., Wearn, A., &amp; Collett, T. (2016). What are threshold concepts and how can they inform medical education? </w:t>
      </w:r>
      <w:r w:rsidRPr="002943BB">
        <w:rPr>
          <w:rFonts w:ascii="Times New Roman" w:eastAsia="Times New Roman" w:hAnsi="Times New Roman" w:cs="Times New Roman"/>
          <w:i/>
          <w:iCs/>
        </w:rPr>
        <w:t>Medical Teacher</w:t>
      </w:r>
      <w:r w:rsidRPr="002943BB">
        <w:rPr>
          <w:rFonts w:ascii="Times New Roman" w:eastAsia="Times New Roman" w:hAnsi="Times New Roman" w:cs="Times New Roman"/>
        </w:rPr>
        <w:t>, 38(8), 850-853. https://doi.org/10.3109/0142159X.2015.1112889</w:t>
      </w:r>
    </w:p>
    <w:p w14:paraId="2A73EB00"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lastRenderedPageBreak/>
        <w:t xml:space="preserve">Playford, D., Ngo, H., Gupta, S., &amp; Puddey, I. B. (2017). Opting for rural practice: The influence of medical student origin, intention and immersion experience. </w:t>
      </w:r>
      <w:r w:rsidRPr="002943BB">
        <w:rPr>
          <w:rFonts w:ascii="Times New Roman" w:eastAsia="Times New Roman" w:hAnsi="Times New Roman" w:cs="Times New Roman"/>
          <w:i/>
          <w:iCs/>
        </w:rPr>
        <w:t>Medical Journal of Australia</w:t>
      </w:r>
      <w:r w:rsidRPr="002943BB">
        <w:rPr>
          <w:rFonts w:ascii="Times New Roman" w:eastAsia="Times New Roman" w:hAnsi="Times New Roman" w:cs="Times New Roman"/>
        </w:rPr>
        <w:t>, 207(4), 154-158. https://doi.org/10.5694/mja16.01322</w:t>
      </w:r>
    </w:p>
    <w:p w14:paraId="139F1827" w14:textId="65DCAF23"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ReConnect Fellowship Survey. (202</w:t>
      </w:r>
      <w:r w:rsidR="00B84CA7" w:rsidRPr="002943BB">
        <w:rPr>
          <w:rFonts w:ascii="Times New Roman" w:eastAsia="Times New Roman" w:hAnsi="Times New Roman" w:cs="Times New Roman"/>
        </w:rPr>
        <w:t>5</w:t>
      </w:r>
      <w:r w:rsidRPr="002943BB">
        <w:rPr>
          <w:rFonts w:ascii="Times New Roman" w:eastAsia="Times New Roman" w:hAnsi="Times New Roman" w:cs="Times New Roman"/>
        </w:rPr>
        <w:t xml:space="preserve">). </w:t>
      </w:r>
      <w:r w:rsidRPr="002943BB">
        <w:rPr>
          <w:rFonts w:ascii="Times New Roman" w:eastAsia="Times New Roman" w:hAnsi="Times New Roman" w:cs="Times New Roman"/>
          <w:i/>
          <w:iCs/>
        </w:rPr>
        <w:t>Current and former ReConnect Fellows survey data</w:t>
      </w:r>
      <w:r w:rsidRPr="002943BB">
        <w:rPr>
          <w:rFonts w:ascii="Times New Roman" w:eastAsia="Times New Roman" w:hAnsi="Times New Roman" w:cs="Times New Roman"/>
        </w:rPr>
        <w:t xml:space="preserve"> [Unpublished survey data]. Area Health Education Center of Southwest Oregon and Aviva Health.</w:t>
      </w:r>
    </w:p>
    <w:p w14:paraId="596E5999"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Rural Health Information Hub [RHIhub]. (2022, April). Rural health disparities. https://www.ruralhealthinfo.org/topics/rural-health-disparities</w:t>
      </w:r>
    </w:p>
    <w:p w14:paraId="79701CB8"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Rural Health Information Hub [RHIhub]. (2023). </w:t>
      </w:r>
      <w:r w:rsidRPr="002943BB">
        <w:rPr>
          <w:rFonts w:ascii="Times New Roman" w:eastAsia="Times New Roman" w:hAnsi="Times New Roman" w:cs="Times New Roman"/>
          <w:i/>
          <w:iCs/>
        </w:rPr>
        <w:t>Rural healthcare workforce overview</w:t>
      </w:r>
      <w:r w:rsidRPr="002943BB">
        <w:rPr>
          <w:rFonts w:ascii="Times New Roman" w:eastAsia="Times New Roman" w:hAnsi="Times New Roman" w:cs="Times New Roman"/>
        </w:rPr>
        <w:t>. https://www.ruralhealthinfo.org/topics/health-care-workforce</w:t>
      </w:r>
    </w:p>
    <w:p w14:paraId="55CD2A43" w14:textId="28B5B851" w:rsidR="00740C9A"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Smith, J. K., &amp; Weaver, D. B. (2006). Capturing medical students' idealism. </w:t>
      </w:r>
      <w:r w:rsidRPr="002943BB">
        <w:rPr>
          <w:rFonts w:ascii="Times New Roman" w:eastAsia="Times New Roman" w:hAnsi="Times New Roman" w:cs="Times New Roman"/>
          <w:i/>
          <w:iCs/>
        </w:rPr>
        <w:t>Annals of Family Medicine</w:t>
      </w:r>
      <w:r w:rsidRPr="002943BB">
        <w:rPr>
          <w:rFonts w:ascii="Times New Roman" w:eastAsia="Times New Roman" w:hAnsi="Times New Roman" w:cs="Times New Roman"/>
        </w:rPr>
        <w:t xml:space="preserve">, 4(Suppl 1), S32-S37. </w:t>
      </w:r>
      <w:hyperlink r:id="rId15" w:history="1">
        <w:r w:rsidR="00DB127C" w:rsidRPr="00733F47">
          <w:rPr>
            <w:rStyle w:val="Hyperlink"/>
            <w:rFonts w:ascii="Times New Roman" w:eastAsia="Times New Roman" w:hAnsi="Times New Roman" w:cs="Times New Roman"/>
          </w:rPr>
          <w:t>https://doi.org/10.1370/afm.543</w:t>
        </w:r>
      </w:hyperlink>
    </w:p>
    <w:p w14:paraId="686E5B1F" w14:textId="5D7AE381" w:rsidR="009A608D" w:rsidRDefault="009A608D" w:rsidP="004325F4">
      <w:pPr>
        <w:pStyle w:val="NoSpacing"/>
        <w:spacing w:line="480" w:lineRule="auto"/>
        <w:ind w:left="720" w:hanging="720"/>
        <w:rPr>
          <w:rFonts w:ascii="Times New Roman" w:eastAsia="Times New Roman" w:hAnsi="Times New Roman" w:cs="Times New Roman"/>
        </w:rPr>
      </w:pPr>
      <w:r w:rsidRPr="009A608D">
        <w:rPr>
          <w:rFonts w:ascii="Times New Roman" w:eastAsia="Times New Roman" w:hAnsi="Times New Roman" w:cs="Times New Roman"/>
        </w:rPr>
        <w:t xml:space="preserve">Thaler, R. H., &amp; Sunstein, C. R. (2008). </w:t>
      </w:r>
      <w:r w:rsidRPr="009A608D">
        <w:rPr>
          <w:rFonts w:ascii="Times New Roman" w:eastAsia="Times New Roman" w:hAnsi="Times New Roman" w:cs="Times New Roman"/>
          <w:i/>
          <w:iCs/>
        </w:rPr>
        <w:t>Nudge: Improving decisions about health, wealth, and happiness</w:t>
      </w:r>
      <w:r w:rsidRPr="009A608D">
        <w:rPr>
          <w:rFonts w:ascii="Times New Roman" w:eastAsia="Times New Roman" w:hAnsi="Times New Roman" w:cs="Times New Roman"/>
        </w:rPr>
        <w:t>. Yale University Press.</w:t>
      </w:r>
    </w:p>
    <w:p w14:paraId="5857B15C" w14:textId="62C29346" w:rsidR="00473496" w:rsidRDefault="00473496" w:rsidP="00473496">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Walker, G. (2013). A cognitive approach to threshold concepts. </w:t>
      </w:r>
      <w:r w:rsidRPr="002943BB">
        <w:rPr>
          <w:rFonts w:ascii="Times New Roman" w:eastAsia="Times New Roman" w:hAnsi="Times New Roman" w:cs="Times New Roman"/>
          <w:i/>
          <w:iCs/>
        </w:rPr>
        <w:t>Higher Education</w:t>
      </w:r>
      <w:r w:rsidRPr="002943BB">
        <w:rPr>
          <w:rFonts w:ascii="Times New Roman" w:eastAsia="Times New Roman" w:hAnsi="Times New Roman" w:cs="Times New Roman"/>
        </w:rPr>
        <w:t>, 65(2), 247-263. https://doi.org/10.1007/s10734-012-9541-4</w:t>
      </w:r>
    </w:p>
    <w:p w14:paraId="3FF28A96" w14:textId="77777777" w:rsidR="00740C9A" w:rsidRPr="002943BB" w:rsidRDefault="00740C9A" w:rsidP="004325F4">
      <w:pPr>
        <w:pStyle w:val="NoSpacing"/>
        <w:spacing w:line="480" w:lineRule="auto"/>
        <w:ind w:left="720" w:hanging="720"/>
        <w:rPr>
          <w:rFonts w:ascii="Times New Roman" w:eastAsia="Times New Roman" w:hAnsi="Times New Roman" w:cs="Times New Roman"/>
        </w:rPr>
      </w:pPr>
      <w:r w:rsidRPr="002943BB">
        <w:rPr>
          <w:rFonts w:ascii="Times New Roman" w:eastAsia="Times New Roman" w:hAnsi="Times New Roman" w:cs="Times New Roman"/>
        </w:rPr>
        <w:t xml:space="preserve">Zhang, X., Lin, D., Pforsich, H., &amp; Lin, V. W. (2020). Physician workforce in the United States of America: Forecasting nationwide shortages. </w:t>
      </w:r>
      <w:r w:rsidRPr="002943BB">
        <w:rPr>
          <w:rFonts w:ascii="Times New Roman" w:eastAsia="Times New Roman" w:hAnsi="Times New Roman" w:cs="Times New Roman"/>
          <w:i/>
          <w:iCs/>
        </w:rPr>
        <w:t>Human Resources for Health</w:t>
      </w:r>
      <w:r w:rsidRPr="002943BB">
        <w:rPr>
          <w:rFonts w:ascii="Times New Roman" w:eastAsia="Times New Roman" w:hAnsi="Times New Roman" w:cs="Times New Roman"/>
        </w:rPr>
        <w:t>, 18(1), 8. https://doi.org/10.1186/s12960-020-0448-3</w:t>
      </w:r>
    </w:p>
    <w:p w14:paraId="07469C6F" w14:textId="77777777" w:rsidR="00AC2393" w:rsidRDefault="00AC2393" w:rsidP="004325F4">
      <w:pPr>
        <w:pStyle w:val="NoSpacing"/>
        <w:spacing w:line="480" w:lineRule="auto"/>
        <w:ind w:left="720" w:hanging="720"/>
        <w:rPr>
          <w:rFonts w:ascii="Times New Roman" w:hAnsi="Times New Roman" w:cs="Times New Roman"/>
        </w:rPr>
      </w:pPr>
    </w:p>
    <w:p w14:paraId="2C168EC8" w14:textId="77777777" w:rsidR="00074E7C" w:rsidRDefault="00074E7C" w:rsidP="004325F4">
      <w:pPr>
        <w:pStyle w:val="NoSpacing"/>
        <w:spacing w:line="480" w:lineRule="auto"/>
        <w:ind w:left="720" w:hanging="720"/>
        <w:rPr>
          <w:rFonts w:ascii="Times New Roman" w:hAnsi="Times New Roman" w:cs="Times New Roman"/>
        </w:rPr>
      </w:pPr>
    </w:p>
    <w:p w14:paraId="09015D5C" w14:textId="77777777" w:rsidR="00074E7C" w:rsidRDefault="00074E7C" w:rsidP="004325F4">
      <w:pPr>
        <w:pStyle w:val="NoSpacing"/>
        <w:spacing w:line="480" w:lineRule="auto"/>
        <w:ind w:left="720" w:hanging="720"/>
        <w:rPr>
          <w:rFonts w:ascii="Times New Roman" w:hAnsi="Times New Roman" w:cs="Times New Roman"/>
        </w:rPr>
      </w:pPr>
    </w:p>
    <w:p w14:paraId="77C29EF5" w14:textId="77777777" w:rsidR="0084186F" w:rsidRDefault="0084186F" w:rsidP="004325F4">
      <w:pPr>
        <w:pStyle w:val="NoSpacing"/>
        <w:spacing w:line="480" w:lineRule="auto"/>
        <w:ind w:left="720" w:hanging="720"/>
        <w:rPr>
          <w:rFonts w:ascii="Times New Roman" w:hAnsi="Times New Roman" w:cs="Times New Roman"/>
        </w:rPr>
      </w:pPr>
    </w:p>
    <w:p w14:paraId="31E9B96A" w14:textId="77777777" w:rsidR="0084186F" w:rsidRPr="00463B7B" w:rsidRDefault="0084186F" w:rsidP="0084186F">
      <w:pPr>
        <w:pStyle w:val="NoSpacing"/>
        <w:spacing w:line="480" w:lineRule="auto"/>
        <w:ind w:left="360"/>
        <w:rPr>
          <w:rFonts w:ascii="Times New Roman" w:hAnsi="Times New Roman" w:cs="Times New Roman"/>
          <w:b/>
          <w:bCs/>
        </w:rPr>
      </w:pPr>
      <w:r w:rsidRPr="00463B7B">
        <w:rPr>
          <w:rFonts w:ascii="Times New Roman" w:hAnsi="Times New Roman" w:cs="Times New Roman"/>
          <w:b/>
          <w:bCs/>
        </w:rPr>
        <w:lastRenderedPageBreak/>
        <w:t>Figure Legends</w:t>
      </w:r>
    </w:p>
    <w:p w14:paraId="6E7AF88A" w14:textId="77777777" w:rsidR="0084186F" w:rsidRPr="00F630CF" w:rsidRDefault="0084186F" w:rsidP="0084186F">
      <w:pPr>
        <w:pStyle w:val="NoSpacing"/>
        <w:spacing w:line="480" w:lineRule="auto"/>
        <w:ind w:left="360"/>
        <w:rPr>
          <w:rFonts w:ascii="Times New Roman" w:hAnsi="Times New Roman" w:cs="Times New Roman"/>
        </w:rPr>
      </w:pPr>
      <w:r w:rsidRPr="00F630CF">
        <w:rPr>
          <w:rFonts w:ascii="Times New Roman" w:hAnsi="Times New Roman" w:cs="Times New Roman"/>
        </w:rPr>
        <w:t>Figure 1. Linear vs. polynomial fit for rural practice commitment score as a function of touchpoint count. The polynomial model (R² = 0.318) outperforms the linear model (R² = 0.245); vertical marker indicates a transformation threshold near six touchpoints. Symbols = observed data; red dashed line = linear fit; blue solid line = polynomial fit. Statistics: n = 20; two</w:t>
      </w:r>
      <w:r w:rsidRPr="00F630CF">
        <w:rPr>
          <w:rFonts w:ascii="Times New Roman" w:hAnsi="Times New Roman" w:cs="Times New Roman"/>
        </w:rPr>
        <w:noBreakHyphen/>
        <w:t xml:space="preserve">tailed tests; p(linear) = 0.026; p(polynomial) = 0.028. Note: R² is variance explained; the threshold was identified from the polynomial fit’s inflection near ~6 touchpoints. Abbreviations: R², coefficient of determination. </w:t>
      </w:r>
    </w:p>
    <w:p w14:paraId="7E9DA896" w14:textId="77777777" w:rsidR="0084186F" w:rsidRPr="00F630CF" w:rsidRDefault="0084186F" w:rsidP="0084186F">
      <w:pPr>
        <w:pStyle w:val="NoSpacing"/>
        <w:spacing w:line="480" w:lineRule="auto"/>
        <w:ind w:left="360"/>
        <w:rPr>
          <w:rFonts w:ascii="Times New Roman" w:hAnsi="Times New Roman" w:cs="Times New Roman"/>
        </w:rPr>
      </w:pPr>
      <w:r w:rsidRPr="00F630CF">
        <w:rPr>
          <w:rFonts w:ascii="Times New Roman" w:hAnsi="Times New Roman" w:cs="Times New Roman"/>
        </w:rPr>
        <w:t>Figure 2. Interaction of touchpoint quality with frequency. High</w:t>
      </w:r>
      <w:r w:rsidRPr="00F630CF">
        <w:rPr>
          <w:rFonts w:ascii="Times New Roman" w:hAnsi="Times New Roman" w:cs="Times New Roman"/>
        </w:rPr>
        <w:noBreakHyphen/>
        <w:t>quality interactions (score ≥7) produce a ~2.67× effect relative to low</w:t>
      </w:r>
      <w:r w:rsidRPr="00F630CF">
        <w:rPr>
          <w:rFonts w:ascii="Times New Roman" w:hAnsi="Times New Roman" w:cs="Times New Roman"/>
        </w:rPr>
        <w:noBreakHyphen/>
        <w:t>quality interactions, with an optimal range at 6–8 touchpoints. Red dashed line = low quality; blue solid line = high quality; green band = optimal range. Statistics: effect multiplier = 2.67× (p &lt; 0.05). Abbreviations: ×, fold</w:t>
      </w:r>
      <w:r w:rsidRPr="00F630CF">
        <w:rPr>
          <w:rFonts w:ascii="Times New Roman" w:hAnsi="Times New Roman" w:cs="Times New Roman"/>
        </w:rPr>
        <w:noBreakHyphen/>
        <w:t xml:space="preserve">change. </w:t>
      </w:r>
    </w:p>
    <w:p w14:paraId="01597669" w14:textId="21D2B561" w:rsidR="0084186F" w:rsidRPr="00F630CF" w:rsidRDefault="0084186F" w:rsidP="0084186F">
      <w:pPr>
        <w:pStyle w:val="NoSpacing"/>
        <w:spacing w:line="480" w:lineRule="auto"/>
        <w:ind w:left="360"/>
        <w:rPr>
          <w:rFonts w:ascii="Times New Roman" w:hAnsi="Times New Roman" w:cs="Times New Roman"/>
        </w:rPr>
      </w:pPr>
      <w:r w:rsidRPr="00F630CF">
        <w:rPr>
          <w:rFonts w:ascii="Times New Roman" w:hAnsi="Times New Roman" w:cs="Times New Roman"/>
        </w:rPr>
        <w:t xml:space="preserve">Figure 3. Program Impact Framework showing hierarchical relationship of leverage points, touchpoint subcategories, and quality dimensions used for evaluation and resource allocation. Panel icons illustrate each tier. Abbreviations: </w:t>
      </w:r>
      <w:r w:rsidR="009D71C1">
        <w:rPr>
          <w:rFonts w:ascii="Times New Roman" w:hAnsi="Times New Roman" w:cs="Times New Roman"/>
        </w:rPr>
        <w:t>None</w:t>
      </w:r>
      <w:r w:rsidRPr="00F630CF">
        <w:rPr>
          <w:rFonts w:ascii="Times New Roman" w:hAnsi="Times New Roman" w:cs="Times New Roman"/>
        </w:rPr>
        <w:t xml:space="preserve">. </w:t>
      </w:r>
    </w:p>
    <w:p w14:paraId="5833A2C3" w14:textId="77777777" w:rsidR="00074E7C" w:rsidRDefault="00074E7C" w:rsidP="004325F4">
      <w:pPr>
        <w:pStyle w:val="NoSpacing"/>
        <w:spacing w:line="480" w:lineRule="auto"/>
        <w:ind w:left="720" w:hanging="720"/>
        <w:rPr>
          <w:rFonts w:ascii="Times New Roman" w:hAnsi="Times New Roman" w:cs="Times New Roman"/>
        </w:rPr>
      </w:pPr>
    </w:p>
    <w:p w14:paraId="7291F0BA" w14:textId="77777777" w:rsidR="0084186F" w:rsidRDefault="0084186F" w:rsidP="004325F4">
      <w:pPr>
        <w:pStyle w:val="NoSpacing"/>
        <w:spacing w:line="480" w:lineRule="auto"/>
        <w:ind w:left="720" w:hanging="720"/>
        <w:rPr>
          <w:rFonts w:ascii="Times New Roman" w:hAnsi="Times New Roman" w:cs="Times New Roman"/>
        </w:rPr>
      </w:pPr>
    </w:p>
    <w:p w14:paraId="4B08B454" w14:textId="77777777" w:rsidR="0084186F" w:rsidRDefault="0084186F" w:rsidP="004325F4">
      <w:pPr>
        <w:pStyle w:val="NoSpacing"/>
        <w:spacing w:line="480" w:lineRule="auto"/>
        <w:ind w:left="720" w:hanging="720"/>
        <w:rPr>
          <w:rFonts w:ascii="Times New Roman" w:hAnsi="Times New Roman" w:cs="Times New Roman"/>
        </w:rPr>
      </w:pPr>
    </w:p>
    <w:p w14:paraId="5A52F404" w14:textId="77777777" w:rsidR="0084186F" w:rsidRDefault="0084186F" w:rsidP="004325F4">
      <w:pPr>
        <w:pStyle w:val="NoSpacing"/>
        <w:spacing w:line="480" w:lineRule="auto"/>
        <w:ind w:left="720" w:hanging="720"/>
        <w:rPr>
          <w:rFonts w:ascii="Times New Roman" w:hAnsi="Times New Roman" w:cs="Times New Roman"/>
        </w:rPr>
      </w:pPr>
    </w:p>
    <w:p w14:paraId="27155E98" w14:textId="77777777" w:rsidR="0084186F" w:rsidRDefault="0084186F" w:rsidP="004325F4">
      <w:pPr>
        <w:pStyle w:val="NoSpacing"/>
        <w:spacing w:line="480" w:lineRule="auto"/>
        <w:ind w:left="720" w:hanging="720"/>
        <w:rPr>
          <w:rFonts w:ascii="Times New Roman" w:hAnsi="Times New Roman" w:cs="Times New Roman"/>
        </w:rPr>
      </w:pPr>
    </w:p>
    <w:p w14:paraId="59163BFE" w14:textId="77777777" w:rsidR="0084186F" w:rsidRDefault="0084186F" w:rsidP="004325F4">
      <w:pPr>
        <w:pStyle w:val="NoSpacing"/>
        <w:spacing w:line="480" w:lineRule="auto"/>
        <w:ind w:left="720" w:hanging="720"/>
        <w:rPr>
          <w:rFonts w:ascii="Times New Roman" w:hAnsi="Times New Roman" w:cs="Times New Roman"/>
        </w:rPr>
      </w:pPr>
    </w:p>
    <w:p w14:paraId="6BA306F7" w14:textId="77777777" w:rsidR="0084186F" w:rsidRDefault="0084186F" w:rsidP="004325F4">
      <w:pPr>
        <w:pStyle w:val="NoSpacing"/>
        <w:spacing w:line="480" w:lineRule="auto"/>
        <w:ind w:left="720" w:hanging="720"/>
        <w:rPr>
          <w:rFonts w:ascii="Times New Roman" w:hAnsi="Times New Roman" w:cs="Times New Roman"/>
        </w:rPr>
      </w:pPr>
    </w:p>
    <w:p w14:paraId="3DF9D513" w14:textId="77777777" w:rsidR="0084186F" w:rsidRDefault="0084186F" w:rsidP="004325F4">
      <w:pPr>
        <w:pStyle w:val="NoSpacing"/>
        <w:spacing w:line="480" w:lineRule="auto"/>
        <w:ind w:left="720" w:hanging="720"/>
        <w:rPr>
          <w:rFonts w:ascii="Times New Roman" w:hAnsi="Times New Roman" w:cs="Times New Roman"/>
        </w:rPr>
      </w:pPr>
    </w:p>
    <w:p w14:paraId="600C631E" w14:textId="77777777" w:rsidR="00074E7C" w:rsidRDefault="00074E7C" w:rsidP="00074E7C">
      <w:pPr>
        <w:pStyle w:val="NoSpacing"/>
        <w:spacing w:line="480" w:lineRule="auto"/>
        <w:ind w:left="720" w:hanging="720"/>
        <w:rPr>
          <w:rFonts w:ascii="Times New Roman" w:hAnsi="Times New Roman" w:cs="Times New Roman"/>
        </w:rPr>
      </w:pPr>
      <w:r w:rsidRPr="006E57B6">
        <w:rPr>
          <w:rFonts w:ascii="Times New Roman" w:hAnsi="Times New Roman" w:cs="Times New Roman"/>
          <w:b/>
          <w:bCs/>
        </w:rPr>
        <w:lastRenderedPageBreak/>
        <w:t>Table 1.</w:t>
      </w:r>
      <w:r w:rsidRPr="00F8592E">
        <w:rPr>
          <w:rFonts w:ascii="Times New Roman" w:hAnsi="Times New Roman" w:cs="Times New Roman"/>
        </w:rPr>
        <w:t xml:space="preserve"> Model performance, effect sizes, and recommended resource allocation.</w:t>
      </w:r>
    </w:p>
    <w:p w14:paraId="5643532F" w14:textId="77777777" w:rsidR="00074E7C" w:rsidRDefault="00074E7C" w:rsidP="00074E7C">
      <w:pPr>
        <w:pStyle w:val="NoSpacing"/>
        <w:spacing w:line="480" w:lineRule="auto"/>
        <w:ind w:left="720" w:hanging="720"/>
        <w:rPr>
          <w:rFonts w:ascii="Times New Roman" w:hAnsi="Times New Roman" w:cs="Times New Roman"/>
        </w:rPr>
      </w:pPr>
      <w:r>
        <w:rPr>
          <w:rFonts w:ascii="Times New Roman" w:eastAsia="Times New Roman" w:hAnsi="Times New Roman" w:cs="Times New Roman"/>
          <w:noProof/>
          <w:kern w:val="0"/>
        </w:rPr>
        <w:drawing>
          <wp:inline distT="0" distB="0" distL="0" distR="0" wp14:anchorId="4236B83D" wp14:editId="71B13F0E">
            <wp:extent cx="5930900" cy="4846102"/>
            <wp:effectExtent l="0" t="0" r="0" b="5715"/>
            <wp:docPr id="889817882" name="Picture 2"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54982" name="Picture 2" descr="A black and white table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900" cy="4846102"/>
                    </a:xfrm>
                    <a:prstGeom prst="rect">
                      <a:avLst/>
                    </a:prstGeom>
                  </pic:spPr>
                </pic:pic>
              </a:graphicData>
            </a:graphic>
          </wp:inline>
        </w:drawing>
      </w:r>
    </w:p>
    <w:p w14:paraId="6FDB1161" w14:textId="63831DD4" w:rsidR="00074E7C" w:rsidRPr="002943BB" w:rsidRDefault="00074E7C" w:rsidP="00074E7C">
      <w:pPr>
        <w:pStyle w:val="NoSpacing"/>
        <w:spacing w:line="480" w:lineRule="auto"/>
        <w:rPr>
          <w:rFonts w:ascii="Times New Roman" w:hAnsi="Times New Roman" w:cs="Times New Roman"/>
        </w:rPr>
      </w:pPr>
      <w:r w:rsidRPr="00C1299E">
        <w:rPr>
          <w:rFonts w:ascii="Times New Roman" w:eastAsia="Times New Roman" w:hAnsi="Times New Roman" w:cs="Times New Roman"/>
          <w:i/>
          <w:iCs/>
        </w:rPr>
        <w:t>Note</w:t>
      </w:r>
      <w:r w:rsidR="00636A31">
        <w:rPr>
          <w:rFonts w:ascii="Times New Roman" w:eastAsia="Times New Roman" w:hAnsi="Times New Roman" w:cs="Times New Roman"/>
          <w:i/>
          <w:iCs/>
        </w:rPr>
        <w:t>:</w:t>
      </w:r>
      <w:r>
        <w:rPr>
          <w:rFonts w:ascii="Times New Roman" w:eastAsia="Times New Roman" w:hAnsi="Times New Roman" w:cs="Times New Roman"/>
          <w:i/>
          <w:iCs/>
        </w:rPr>
        <w:t xml:space="preserve"> </w:t>
      </w:r>
      <w:r w:rsidRPr="00A44585">
        <w:rPr>
          <w:rFonts w:ascii="Times New Roman" w:hAnsi="Times New Roman" w:cs="Times New Roman"/>
        </w:rPr>
        <w:t>Variance explained values are R²; effect sizes use Cohen’s f²; multiplier and synergy factors</w:t>
      </w:r>
      <w:r>
        <w:rPr>
          <w:rFonts w:ascii="Times New Roman" w:hAnsi="Times New Roman" w:cs="Times New Roman"/>
        </w:rPr>
        <w:t xml:space="preserve"> </w:t>
      </w:r>
      <w:r w:rsidRPr="00A44585">
        <w:rPr>
          <w:rFonts w:ascii="Times New Roman" w:hAnsi="Times New Roman" w:cs="Times New Roman"/>
        </w:rPr>
        <w:t>derived from model estimates; threshold from polynomial fit with inflection near ~6 touchpoints.</w:t>
      </w:r>
    </w:p>
    <w:p w14:paraId="75B29BB5" w14:textId="77777777" w:rsidR="00074E7C" w:rsidRPr="002943BB" w:rsidRDefault="00074E7C" w:rsidP="004325F4">
      <w:pPr>
        <w:pStyle w:val="NoSpacing"/>
        <w:spacing w:line="480" w:lineRule="auto"/>
        <w:ind w:left="720" w:hanging="720"/>
        <w:rPr>
          <w:rFonts w:ascii="Times New Roman" w:hAnsi="Times New Roman" w:cs="Times New Roman"/>
        </w:rPr>
      </w:pPr>
    </w:p>
    <w:sectPr w:rsidR="00074E7C" w:rsidRPr="002943BB" w:rsidSect="00F54309">
      <w:headerReference w:type="even" r:id="rId16"/>
      <w:headerReference w:type="default" r:id="rId17"/>
      <w:footerReference w:type="even" r:id="rId18"/>
      <w:pgSz w:w="1222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0C093" w14:textId="77777777" w:rsidR="00914AA2" w:rsidRDefault="00914AA2" w:rsidP="00B66E47">
      <w:r>
        <w:separator/>
      </w:r>
    </w:p>
  </w:endnote>
  <w:endnote w:type="continuationSeparator" w:id="0">
    <w:p w14:paraId="3381AEFB" w14:textId="77777777" w:rsidR="00914AA2" w:rsidRDefault="00914AA2" w:rsidP="00B6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Mono">
    <w:altName w:val="Courier New"/>
    <w:panose1 w:val="020B0604020202020204"/>
    <w:charset w:val="00"/>
    <w:family w:val="modern"/>
    <w:pitch w:val="fixed"/>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6901701"/>
      <w:docPartObj>
        <w:docPartGallery w:val="Page Numbers (Bottom of Page)"/>
        <w:docPartUnique/>
      </w:docPartObj>
    </w:sdtPr>
    <w:sdtEndPr>
      <w:rPr>
        <w:rStyle w:val="PageNumber"/>
      </w:rPr>
    </w:sdtEndPr>
    <w:sdtContent>
      <w:p w14:paraId="46B8D8A5" w14:textId="3E973ECD" w:rsidR="00B66E47" w:rsidRDefault="00B66E47" w:rsidP="00F259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7B21474A" w14:textId="77777777" w:rsidR="00B66E47" w:rsidRDefault="00B66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F3E19" w14:textId="77777777" w:rsidR="00914AA2" w:rsidRDefault="00914AA2" w:rsidP="00B66E47">
      <w:r>
        <w:separator/>
      </w:r>
    </w:p>
  </w:footnote>
  <w:footnote w:type="continuationSeparator" w:id="0">
    <w:p w14:paraId="7E86DFCF" w14:textId="77777777" w:rsidR="00914AA2" w:rsidRDefault="00914AA2" w:rsidP="00B66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408686"/>
      <w:docPartObj>
        <w:docPartGallery w:val="Page Numbers (Top of Page)"/>
        <w:docPartUnique/>
      </w:docPartObj>
    </w:sdtPr>
    <w:sdtEndPr>
      <w:rPr>
        <w:rStyle w:val="PageNumber"/>
      </w:rPr>
    </w:sdtEndPr>
    <w:sdtContent>
      <w:p w14:paraId="63847537" w14:textId="7CDCFD1B" w:rsidR="005371D6" w:rsidRDefault="005371D6" w:rsidP="007729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sdtContent>
  </w:sdt>
  <w:p w14:paraId="698F1304" w14:textId="38CDD3C6" w:rsidR="00736102" w:rsidRDefault="00736102" w:rsidP="005371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4960508"/>
      <w:docPartObj>
        <w:docPartGallery w:val="Page Numbers (Top of Page)"/>
        <w:docPartUnique/>
      </w:docPartObj>
    </w:sdtPr>
    <w:sdtEndPr>
      <w:rPr>
        <w:rStyle w:val="PageNumber"/>
      </w:rPr>
    </w:sdtEndPr>
    <w:sdtContent>
      <w:p w14:paraId="03E3CF10" w14:textId="5256DB7D" w:rsidR="005371D6" w:rsidRDefault="005371D6" w:rsidP="007729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1EBCF1A9" w14:textId="51ECE340" w:rsidR="00736102" w:rsidRDefault="0058091D" w:rsidP="0058091D">
    <w:pPr>
      <w:pStyle w:val="Header"/>
      <w:ind w:right="360"/>
    </w:pPr>
    <w:r w:rsidRPr="0058091D">
      <w:t>EXPONENTIAL IMPACT IN RURAL WORKFORCE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49CD"/>
    <w:multiLevelType w:val="hybridMultilevel"/>
    <w:tmpl w:val="0BE6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A2DED"/>
    <w:multiLevelType w:val="multilevel"/>
    <w:tmpl w:val="4798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B3FDF"/>
    <w:multiLevelType w:val="hybridMultilevel"/>
    <w:tmpl w:val="154E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F56BA"/>
    <w:multiLevelType w:val="multilevel"/>
    <w:tmpl w:val="C2B2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E1089"/>
    <w:multiLevelType w:val="hybridMultilevel"/>
    <w:tmpl w:val="E670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45224"/>
    <w:multiLevelType w:val="hybridMultilevel"/>
    <w:tmpl w:val="E92A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05ED7"/>
    <w:multiLevelType w:val="multilevel"/>
    <w:tmpl w:val="38D0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0FAF"/>
    <w:multiLevelType w:val="multilevel"/>
    <w:tmpl w:val="C8D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82B9D"/>
    <w:multiLevelType w:val="hybridMultilevel"/>
    <w:tmpl w:val="42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D5445"/>
    <w:multiLevelType w:val="multilevel"/>
    <w:tmpl w:val="41B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C3B26"/>
    <w:multiLevelType w:val="multilevel"/>
    <w:tmpl w:val="C8AE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B4B37"/>
    <w:multiLevelType w:val="hybridMultilevel"/>
    <w:tmpl w:val="8A28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D426F"/>
    <w:multiLevelType w:val="hybridMultilevel"/>
    <w:tmpl w:val="C7D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54884"/>
    <w:multiLevelType w:val="hybridMultilevel"/>
    <w:tmpl w:val="637A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82CFE"/>
    <w:multiLevelType w:val="multilevel"/>
    <w:tmpl w:val="6ED4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73F32"/>
    <w:multiLevelType w:val="multilevel"/>
    <w:tmpl w:val="490E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903A8"/>
    <w:multiLevelType w:val="multilevel"/>
    <w:tmpl w:val="F39C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A681F"/>
    <w:multiLevelType w:val="multilevel"/>
    <w:tmpl w:val="950E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61EBB"/>
    <w:multiLevelType w:val="hybridMultilevel"/>
    <w:tmpl w:val="2C7E5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03241"/>
    <w:multiLevelType w:val="multilevel"/>
    <w:tmpl w:val="6F6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F5F42"/>
    <w:multiLevelType w:val="hybridMultilevel"/>
    <w:tmpl w:val="DD1E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E617E"/>
    <w:multiLevelType w:val="multilevel"/>
    <w:tmpl w:val="E374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4261E"/>
    <w:multiLevelType w:val="multilevel"/>
    <w:tmpl w:val="F6466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D1A29"/>
    <w:multiLevelType w:val="hybridMultilevel"/>
    <w:tmpl w:val="9E1A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47495"/>
    <w:multiLevelType w:val="hybridMultilevel"/>
    <w:tmpl w:val="986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D5729"/>
    <w:multiLevelType w:val="multilevel"/>
    <w:tmpl w:val="048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E377F"/>
    <w:multiLevelType w:val="multilevel"/>
    <w:tmpl w:val="9772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B51D0"/>
    <w:multiLevelType w:val="multilevel"/>
    <w:tmpl w:val="E3DC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B3FE0"/>
    <w:multiLevelType w:val="multilevel"/>
    <w:tmpl w:val="65E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B4513"/>
    <w:multiLevelType w:val="hybridMultilevel"/>
    <w:tmpl w:val="7F7E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81A75"/>
    <w:multiLevelType w:val="hybridMultilevel"/>
    <w:tmpl w:val="FE42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B2146D"/>
    <w:multiLevelType w:val="multilevel"/>
    <w:tmpl w:val="8BE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57612"/>
    <w:multiLevelType w:val="multilevel"/>
    <w:tmpl w:val="E5DA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941185"/>
    <w:multiLevelType w:val="hybridMultilevel"/>
    <w:tmpl w:val="C1045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64FC3"/>
    <w:multiLevelType w:val="hybridMultilevel"/>
    <w:tmpl w:val="251A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F1D19"/>
    <w:multiLevelType w:val="hybridMultilevel"/>
    <w:tmpl w:val="2278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F5EDB"/>
    <w:multiLevelType w:val="hybridMultilevel"/>
    <w:tmpl w:val="787CA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C2168"/>
    <w:multiLevelType w:val="hybridMultilevel"/>
    <w:tmpl w:val="A468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4D7099"/>
    <w:multiLevelType w:val="hybridMultilevel"/>
    <w:tmpl w:val="E5F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44AEB"/>
    <w:multiLevelType w:val="hybridMultilevel"/>
    <w:tmpl w:val="D8D27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443517">
    <w:abstractNumId w:val="16"/>
  </w:num>
  <w:num w:numId="2" w16cid:durableId="1242909351">
    <w:abstractNumId w:val="27"/>
  </w:num>
  <w:num w:numId="3" w16cid:durableId="449056904">
    <w:abstractNumId w:val="10"/>
  </w:num>
  <w:num w:numId="4" w16cid:durableId="1138105881">
    <w:abstractNumId w:val="25"/>
  </w:num>
  <w:num w:numId="5" w16cid:durableId="2077314721">
    <w:abstractNumId w:val="28"/>
  </w:num>
  <w:num w:numId="6" w16cid:durableId="1830368984">
    <w:abstractNumId w:val="19"/>
  </w:num>
  <w:num w:numId="7" w16cid:durableId="1311056205">
    <w:abstractNumId w:val="6"/>
  </w:num>
  <w:num w:numId="8" w16cid:durableId="196167213">
    <w:abstractNumId w:val="9"/>
  </w:num>
  <w:num w:numId="9" w16cid:durableId="1971398680">
    <w:abstractNumId w:val="31"/>
  </w:num>
  <w:num w:numId="10" w16cid:durableId="1127434695">
    <w:abstractNumId w:val="26"/>
  </w:num>
  <w:num w:numId="11" w16cid:durableId="1804470317">
    <w:abstractNumId w:val="7"/>
  </w:num>
  <w:num w:numId="12" w16cid:durableId="287669267">
    <w:abstractNumId w:val="21"/>
  </w:num>
  <w:num w:numId="13" w16cid:durableId="1431124186">
    <w:abstractNumId w:val="17"/>
  </w:num>
  <w:num w:numId="14" w16cid:durableId="1409695067">
    <w:abstractNumId w:val="15"/>
  </w:num>
  <w:num w:numId="15" w16cid:durableId="515120064">
    <w:abstractNumId w:val="3"/>
  </w:num>
  <w:num w:numId="16" w16cid:durableId="63914858">
    <w:abstractNumId w:val="14"/>
  </w:num>
  <w:num w:numId="17" w16cid:durableId="762458324">
    <w:abstractNumId w:val="1"/>
  </w:num>
  <w:num w:numId="18" w16cid:durableId="1340889126">
    <w:abstractNumId w:val="20"/>
  </w:num>
  <w:num w:numId="19" w16cid:durableId="17312813">
    <w:abstractNumId w:val="4"/>
  </w:num>
  <w:num w:numId="20" w16cid:durableId="1482691889">
    <w:abstractNumId w:val="12"/>
  </w:num>
  <w:num w:numId="21" w16cid:durableId="393429181">
    <w:abstractNumId w:val="24"/>
  </w:num>
  <w:num w:numId="22" w16cid:durableId="2106223190">
    <w:abstractNumId w:val="11"/>
  </w:num>
  <w:num w:numId="23" w16cid:durableId="1017927017">
    <w:abstractNumId w:val="33"/>
  </w:num>
  <w:num w:numId="24" w16cid:durableId="1004089368">
    <w:abstractNumId w:val="13"/>
  </w:num>
  <w:num w:numId="25" w16cid:durableId="907302035">
    <w:abstractNumId w:val="29"/>
  </w:num>
  <w:num w:numId="26" w16cid:durableId="2069255887">
    <w:abstractNumId w:val="2"/>
  </w:num>
  <w:num w:numId="27" w16cid:durableId="32195781">
    <w:abstractNumId w:val="36"/>
  </w:num>
  <w:num w:numId="28" w16cid:durableId="1413043813">
    <w:abstractNumId w:val="5"/>
  </w:num>
  <w:num w:numId="29" w16cid:durableId="1365516469">
    <w:abstractNumId w:val="37"/>
  </w:num>
  <w:num w:numId="30" w16cid:durableId="810025045">
    <w:abstractNumId w:val="39"/>
  </w:num>
  <w:num w:numId="31" w16cid:durableId="1741633942">
    <w:abstractNumId w:val="35"/>
  </w:num>
  <w:num w:numId="32" w16cid:durableId="1709795174">
    <w:abstractNumId w:val="0"/>
  </w:num>
  <w:num w:numId="33" w16cid:durableId="1967737185">
    <w:abstractNumId w:val="23"/>
  </w:num>
  <w:num w:numId="34" w16cid:durableId="2141217676">
    <w:abstractNumId w:val="18"/>
  </w:num>
  <w:num w:numId="35" w16cid:durableId="244580577">
    <w:abstractNumId w:val="30"/>
  </w:num>
  <w:num w:numId="36" w16cid:durableId="1690594474">
    <w:abstractNumId w:val="38"/>
  </w:num>
  <w:num w:numId="37" w16cid:durableId="2077127579">
    <w:abstractNumId w:val="32"/>
  </w:num>
  <w:num w:numId="38" w16cid:durableId="426005324">
    <w:abstractNumId w:val="22"/>
  </w:num>
  <w:num w:numId="39" w16cid:durableId="1446539656">
    <w:abstractNumId w:val="8"/>
  </w:num>
  <w:num w:numId="40" w16cid:durableId="20656355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mirrorMargin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6F"/>
    <w:rsid w:val="000012D0"/>
    <w:rsid w:val="00001F59"/>
    <w:rsid w:val="0000408F"/>
    <w:rsid w:val="00013816"/>
    <w:rsid w:val="000156EE"/>
    <w:rsid w:val="0001672F"/>
    <w:rsid w:val="000201EE"/>
    <w:rsid w:val="00020630"/>
    <w:rsid w:val="00020891"/>
    <w:rsid w:val="000208DF"/>
    <w:rsid w:val="00020F06"/>
    <w:rsid w:val="00023EDA"/>
    <w:rsid w:val="000245D6"/>
    <w:rsid w:val="00024F55"/>
    <w:rsid w:val="0002523A"/>
    <w:rsid w:val="00026ADE"/>
    <w:rsid w:val="00032004"/>
    <w:rsid w:val="00033F03"/>
    <w:rsid w:val="00034045"/>
    <w:rsid w:val="00035374"/>
    <w:rsid w:val="00035549"/>
    <w:rsid w:val="000358E0"/>
    <w:rsid w:val="000378D3"/>
    <w:rsid w:val="00041839"/>
    <w:rsid w:val="000430BE"/>
    <w:rsid w:val="00046C6A"/>
    <w:rsid w:val="00050A8B"/>
    <w:rsid w:val="00051121"/>
    <w:rsid w:val="00051969"/>
    <w:rsid w:val="000528BE"/>
    <w:rsid w:val="00054A87"/>
    <w:rsid w:val="00054D68"/>
    <w:rsid w:val="000579F2"/>
    <w:rsid w:val="000620F8"/>
    <w:rsid w:val="000621BD"/>
    <w:rsid w:val="00062C61"/>
    <w:rsid w:val="000640ED"/>
    <w:rsid w:val="0006522B"/>
    <w:rsid w:val="00070D3A"/>
    <w:rsid w:val="00071764"/>
    <w:rsid w:val="00072260"/>
    <w:rsid w:val="00072765"/>
    <w:rsid w:val="000730D7"/>
    <w:rsid w:val="000747C6"/>
    <w:rsid w:val="00074A95"/>
    <w:rsid w:val="00074E7C"/>
    <w:rsid w:val="00075DF2"/>
    <w:rsid w:val="00076402"/>
    <w:rsid w:val="00076B21"/>
    <w:rsid w:val="00077F85"/>
    <w:rsid w:val="0008086C"/>
    <w:rsid w:val="0008176D"/>
    <w:rsid w:val="00081A91"/>
    <w:rsid w:val="000863CB"/>
    <w:rsid w:val="000916CD"/>
    <w:rsid w:val="000919D9"/>
    <w:rsid w:val="000921C6"/>
    <w:rsid w:val="000924BF"/>
    <w:rsid w:val="00092915"/>
    <w:rsid w:val="000946DD"/>
    <w:rsid w:val="00094CC3"/>
    <w:rsid w:val="00095EEA"/>
    <w:rsid w:val="000968CF"/>
    <w:rsid w:val="00096F6B"/>
    <w:rsid w:val="000A20E5"/>
    <w:rsid w:val="000A2FF6"/>
    <w:rsid w:val="000A4F7E"/>
    <w:rsid w:val="000A67DB"/>
    <w:rsid w:val="000A68D5"/>
    <w:rsid w:val="000B4810"/>
    <w:rsid w:val="000B514F"/>
    <w:rsid w:val="000B601C"/>
    <w:rsid w:val="000C03DA"/>
    <w:rsid w:val="000C094A"/>
    <w:rsid w:val="000C122F"/>
    <w:rsid w:val="000C4445"/>
    <w:rsid w:val="000C44F9"/>
    <w:rsid w:val="000C4A3C"/>
    <w:rsid w:val="000C4C93"/>
    <w:rsid w:val="000C7052"/>
    <w:rsid w:val="000C7E56"/>
    <w:rsid w:val="000D132F"/>
    <w:rsid w:val="000D1418"/>
    <w:rsid w:val="000D4BE2"/>
    <w:rsid w:val="000D52B6"/>
    <w:rsid w:val="000E003A"/>
    <w:rsid w:val="000E0BE7"/>
    <w:rsid w:val="000E0D32"/>
    <w:rsid w:val="000E51F0"/>
    <w:rsid w:val="000F1319"/>
    <w:rsid w:val="000F18FD"/>
    <w:rsid w:val="000F2EBA"/>
    <w:rsid w:val="000F3196"/>
    <w:rsid w:val="000F4531"/>
    <w:rsid w:val="0010052B"/>
    <w:rsid w:val="00101B08"/>
    <w:rsid w:val="00102538"/>
    <w:rsid w:val="00102978"/>
    <w:rsid w:val="00103518"/>
    <w:rsid w:val="00104DD8"/>
    <w:rsid w:val="00105709"/>
    <w:rsid w:val="001078BB"/>
    <w:rsid w:val="0011001D"/>
    <w:rsid w:val="00110532"/>
    <w:rsid w:val="00110F35"/>
    <w:rsid w:val="00111201"/>
    <w:rsid w:val="00112135"/>
    <w:rsid w:val="00112393"/>
    <w:rsid w:val="00114CFB"/>
    <w:rsid w:val="00122DBC"/>
    <w:rsid w:val="00124F7A"/>
    <w:rsid w:val="00125096"/>
    <w:rsid w:val="00127E60"/>
    <w:rsid w:val="00130587"/>
    <w:rsid w:val="00134C0F"/>
    <w:rsid w:val="00137FB8"/>
    <w:rsid w:val="001409F3"/>
    <w:rsid w:val="00140FC6"/>
    <w:rsid w:val="001410D6"/>
    <w:rsid w:val="0014168A"/>
    <w:rsid w:val="001436CB"/>
    <w:rsid w:val="0014459B"/>
    <w:rsid w:val="00144B7D"/>
    <w:rsid w:val="00144E54"/>
    <w:rsid w:val="00151716"/>
    <w:rsid w:val="00153408"/>
    <w:rsid w:val="00154BF0"/>
    <w:rsid w:val="001555C6"/>
    <w:rsid w:val="00155F53"/>
    <w:rsid w:val="00160993"/>
    <w:rsid w:val="00161EAE"/>
    <w:rsid w:val="00162804"/>
    <w:rsid w:val="0016385A"/>
    <w:rsid w:val="001650D1"/>
    <w:rsid w:val="00166048"/>
    <w:rsid w:val="00166795"/>
    <w:rsid w:val="00166CD1"/>
    <w:rsid w:val="001670E7"/>
    <w:rsid w:val="001702B6"/>
    <w:rsid w:val="00171031"/>
    <w:rsid w:val="00176D34"/>
    <w:rsid w:val="001801DA"/>
    <w:rsid w:val="00182081"/>
    <w:rsid w:val="00182649"/>
    <w:rsid w:val="00183358"/>
    <w:rsid w:val="00184ECD"/>
    <w:rsid w:val="00185395"/>
    <w:rsid w:val="00185759"/>
    <w:rsid w:val="00186165"/>
    <w:rsid w:val="00190D84"/>
    <w:rsid w:val="001916AA"/>
    <w:rsid w:val="00194917"/>
    <w:rsid w:val="00197AE8"/>
    <w:rsid w:val="001A09C4"/>
    <w:rsid w:val="001A2C28"/>
    <w:rsid w:val="001A3D60"/>
    <w:rsid w:val="001A4252"/>
    <w:rsid w:val="001A519F"/>
    <w:rsid w:val="001A54A3"/>
    <w:rsid w:val="001A576C"/>
    <w:rsid w:val="001A5C4C"/>
    <w:rsid w:val="001A6071"/>
    <w:rsid w:val="001A794E"/>
    <w:rsid w:val="001B2A73"/>
    <w:rsid w:val="001B66EA"/>
    <w:rsid w:val="001C01D4"/>
    <w:rsid w:val="001C01DF"/>
    <w:rsid w:val="001C5649"/>
    <w:rsid w:val="001C6E11"/>
    <w:rsid w:val="001D04E7"/>
    <w:rsid w:val="001D323D"/>
    <w:rsid w:val="001D5502"/>
    <w:rsid w:val="001D5651"/>
    <w:rsid w:val="001D641B"/>
    <w:rsid w:val="001D66A5"/>
    <w:rsid w:val="001E395E"/>
    <w:rsid w:val="001E5407"/>
    <w:rsid w:val="001E55DD"/>
    <w:rsid w:val="001E5A4A"/>
    <w:rsid w:val="001F061F"/>
    <w:rsid w:val="001F096C"/>
    <w:rsid w:val="001F2108"/>
    <w:rsid w:val="001F3CEF"/>
    <w:rsid w:val="001F52E8"/>
    <w:rsid w:val="001F5882"/>
    <w:rsid w:val="001F711C"/>
    <w:rsid w:val="001F7651"/>
    <w:rsid w:val="002002C9"/>
    <w:rsid w:val="0020069B"/>
    <w:rsid w:val="00201B71"/>
    <w:rsid w:val="00201BD2"/>
    <w:rsid w:val="00204237"/>
    <w:rsid w:val="00206BAE"/>
    <w:rsid w:val="002075C4"/>
    <w:rsid w:val="0021041F"/>
    <w:rsid w:val="00210D60"/>
    <w:rsid w:val="00212285"/>
    <w:rsid w:val="00213461"/>
    <w:rsid w:val="00215ECA"/>
    <w:rsid w:val="00217ACA"/>
    <w:rsid w:val="0022071C"/>
    <w:rsid w:val="00221C2F"/>
    <w:rsid w:val="00224E0D"/>
    <w:rsid w:val="00232B6F"/>
    <w:rsid w:val="002346B6"/>
    <w:rsid w:val="002359E3"/>
    <w:rsid w:val="00235ACF"/>
    <w:rsid w:val="0023681C"/>
    <w:rsid w:val="002375E1"/>
    <w:rsid w:val="002432FB"/>
    <w:rsid w:val="00244023"/>
    <w:rsid w:val="00244D2C"/>
    <w:rsid w:val="00245623"/>
    <w:rsid w:val="00246B88"/>
    <w:rsid w:val="00250E0A"/>
    <w:rsid w:val="00251046"/>
    <w:rsid w:val="00252F1A"/>
    <w:rsid w:val="00252F6C"/>
    <w:rsid w:val="002531FA"/>
    <w:rsid w:val="002550A5"/>
    <w:rsid w:val="00257EBC"/>
    <w:rsid w:val="00261CC2"/>
    <w:rsid w:val="00263534"/>
    <w:rsid w:val="002667BE"/>
    <w:rsid w:val="00266CE9"/>
    <w:rsid w:val="002675A9"/>
    <w:rsid w:val="00267EF3"/>
    <w:rsid w:val="00270318"/>
    <w:rsid w:val="00270BDF"/>
    <w:rsid w:val="00270C8C"/>
    <w:rsid w:val="0027256D"/>
    <w:rsid w:val="002733C2"/>
    <w:rsid w:val="00274A7A"/>
    <w:rsid w:val="002773C2"/>
    <w:rsid w:val="002773F6"/>
    <w:rsid w:val="002846CB"/>
    <w:rsid w:val="00284879"/>
    <w:rsid w:val="002859F1"/>
    <w:rsid w:val="002943BB"/>
    <w:rsid w:val="00295512"/>
    <w:rsid w:val="002970B4"/>
    <w:rsid w:val="002A0E3D"/>
    <w:rsid w:val="002A26F8"/>
    <w:rsid w:val="002A2C53"/>
    <w:rsid w:val="002A30D4"/>
    <w:rsid w:val="002A31A9"/>
    <w:rsid w:val="002B2251"/>
    <w:rsid w:val="002B2723"/>
    <w:rsid w:val="002B6428"/>
    <w:rsid w:val="002C005C"/>
    <w:rsid w:val="002C5238"/>
    <w:rsid w:val="002D0593"/>
    <w:rsid w:val="002D0A18"/>
    <w:rsid w:val="002D11AD"/>
    <w:rsid w:val="002D22FB"/>
    <w:rsid w:val="002D2E66"/>
    <w:rsid w:val="002D484B"/>
    <w:rsid w:val="002D54E8"/>
    <w:rsid w:val="002D6A67"/>
    <w:rsid w:val="002D6C8C"/>
    <w:rsid w:val="002D70AB"/>
    <w:rsid w:val="002E05B4"/>
    <w:rsid w:val="002E5A92"/>
    <w:rsid w:val="002F1EB0"/>
    <w:rsid w:val="002F2588"/>
    <w:rsid w:val="002F2F64"/>
    <w:rsid w:val="002F7A6D"/>
    <w:rsid w:val="0030020D"/>
    <w:rsid w:val="00300992"/>
    <w:rsid w:val="0030286B"/>
    <w:rsid w:val="00302926"/>
    <w:rsid w:val="0030305B"/>
    <w:rsid w:val="003042BB"/>
    <w:rsid w:val="00304BD7"/>
    <w:rsid w:val="00306025"/>
    <w:rsid w:val="00306236"/>
    <w:rsid w:val="00307554"/>
    <w:rsid w:val="00310CA3"/>
    <w:rsid w:val="003116D2"/>
    <w:rsid w:val="00316071"/>
    <w:rsid w:val="00320EC7"/>
    <w:rsid w:val="0032136D"/>
    <w:rsid w:val="003214BD"/>
    <w:rsid w:val="003223D5"/>
    <w:rsid w:val="00323612"/>
    <w:rsid w:val="00323DFA"/>
    <w:rsid w:val="003248D0"/>
    <w:rsid w:val="00324E1F"/>
    <w:rsid w:val="00325203"/>
    <w:rsid w:val="00325AE6"/>
    <w:rsid w:val="00327026"/>
    <w:rsid w:val="00331D8F"/>
    <w:rsid w:val="003379B9"/>
    <w:rsid w:val="003432AF"/>
    <w:rsid w:val="00344567"/>
    <w:rsid w:val="00344A85"/>
    <w:rsid w:val="00344D48"/>
    <w:rsid w:val="00347356"/>
    <w:rsid w:val="00350E97"/>
    <w:rsid w:val="00351041"/>
    <w:rsid w:val="003521B9"/>
    <w:rsid w:val="00354A5A"/>
    <w:rsid w:val="00357802"/>
    <w:rsid w:val="00360FE4"/>
    <w:rsid w:val="00362E33"/>
    <w:rsid w:val="0036438A"/>
    <w:rsid w:val="00367E2F"/>
    <w:rsid w:val="00371033"/>
    <w:rsid w:val="00372103"/>
    <w:rsid w:val="0037262A"/>
    <w:rsid w:val="003727A9"/>
    <w:rsid w:val="003770B9"/>
    <w:rsid w:val="00381231"/>
    <w:rsid w:val="003821DF"/>
    <w:rsid w:val="0038589D"/>
    <w:rsid w:val="00385DBB"/>
    <w:rsid w:val="003875A3"/>
    <w:rsid w:val="00393A30"/>
    <w:rsid w:val="00393F30"/>
    <w:rsid w:val="0039401D"/>
    <w:rsid w:val="00394FA8"/>
    <w:rsid w:val="00395A10"/>
    <w:rsid w:val="003978E9"/>
    <w:rsid w:val="003A04D8"/>
    <w:rsid w:val="003A1B1E"/>
    <w:rsid w:val="003A1D90"/>
    <w:rsid w:val="003A363F"/>
    <w:rsid w:val="003A41C8"/>
    <w:rsid w:val="003A5839"/>
    <w:rsid w:val="003A5B6E"/>
    <w:rsid w:val="003A63F9"/>
    <w:rsid w:val="003A6531"/>
    <w:rsid w:val="003A7B17"/>
    <w:rsid w:val="003B047D"/>
    <w:rsid w:val="003B11E1"/>
    <w:rsid w:val="003B178B"/>
    <w:rsid w:val="003B3210"/>
    <w:rsid w:val="003B583E"/>
    <w:rsid w:val="003B726F"/>
    <w:rsid w:val="003B78A3"/>
    <w:rsid w:val="003C1346"/>
    <w:rsid w:val="003C1B44"/>
    <w:rsid w:val="003C4D03"/>
    <w:rsid w:val="003D1F11"/>
    <w:rsid w:val="003D338B"/>
    <w:rsid w:val="003E2115"/>
    <w:rsid w:val="003E24BD"/>
    <w:rsid w:val="003E2A13"/>
    <w:rsid w:val="003E4940"/>
    <w:rsid w:val="003E6B07"/>
    <w:rsid w:val="003F0D36"/>
    <w:rsid w:val="003F18ED"/>
    <w:rsid w:val="003F340A"/>
    <w:rsid w:val="003F353C"/>
    <w:rsid w:val="003F7D00"/>
    <w:rsid w:val="00401082"/>
    <w:rsid w:val="0040436F"/>
    <w:rsid w:val="004048FD"/>
    <w:rsid w:val="0040597A"/>
    <w:rsid w:val="004065D5"/>
    <w:rsid w:val="00406BB9"/>
    <w:rsid w:val="00406CF8"/>
    <w:rsid w:val="004117FD"/>
    <w:rsid w:val="00412A82"/>
    <w:rsid w:val="00412D4C"/>
    <w:rsid w:val="0041459A"/>
    <w:rsid w:val="00414DC9"/>
    <w:rsid w:val="00414F84"/>
    <w:rsid w:val="00421C3F"/>
    <w:rsid w:val="00421F3D"/>
    <w:rsid w:val="00422CB8"/>
    <w:rsid w:val="00425A73"/>
    <w:rsid w:val="00426A80"/>
    <w:rsid w:val="004271B3"/>
    <w:rsid w:val="00431071"/>
    <w:rsid w:val="004325F4"/>
    <w:rsid w:val="004329DF"/>
    <w:rsid w:val="00433B8A"/>
    <w:rsid w:val="00434AC5"/>
    <w:rsid w:val="00434E9C"/>
    <w:rsid w:val="004358FB"/>
    <w:rsid w:val="00442A63"/>
    <w:rsid w:val="00443B0E"/>
    <w:rsid w:val="00443F03"/>
    <w:rsid w:val="004463FD"/>
    <w:rsid w:val="00450A63"/>
    <w:rsid w:val="00450CC3"/>
    <w:rsid w:val="00451982"/>
    <w:rsid w:val="004522AB"/>
    <w:rsid w:val="0045257E"/>
    <w:rsid w:val="00453C86"/>
    <w:rsid w:val="004605E8"/>
    <w:rsid w:val="00462CD2"/>
    <w:rsid w:val="004639BD"/>
    <w:rsid w:val="0047144E"/>
    <w:rsid w:val="00471476"/>
    <w:rsid w:val="00471747"/>
    <w:rsid w:val="00472258"/>
    <w:rsid w:val="00473496"/>
    <w:rsid w:val="00474B36"/>
    <w:rsid w:val="0047656F"/>
    <w:rsid w:val="00480FCE"/>
    <w:rsid w:val="00482992"/>
    <w:rsid w:val="004838F5"/>
    <w:rsid w:val="00484FC5"/>
    <w:rsid w:val="00487267"/>
    <w:rsid w:val="00487A42"/>
    <w:rsid w:val="0049062D"/>
    <w:rsid w:val="00490C14"/>
    <w:rsid w:val="00491CD3"/>
    <w:rsid w:val="00491E1D"/>
    <w:rsid w:val="004963DD"/>
    <w:rsid w:val="004A0F05"/>
    <w:rsid w:val="004A183A"/>
    <w:rsid w:val="004A423B"/>
    <w:rsid w:val="004A4C37"/>
    <w:rsid w:val="004A6841"/>
    <w:rsid w:val="004A7A83"/>
    <w:rsid w:val="004B02A5"/>
    <w:rsid w:val="004B0C14"/>
    <w:rsid w:val="004B32CD"/>
    <w:rsid w:val="004B3ACB"/>
    <w:rsid w:val="004B694D"/>
    <w:rsid w:val="004B69FA"/>
    <w:rsid w:val="004B7229"/>
    <w:rsid w:val="004B7320"/>
    <w:rsid w:val="004B7621"/>
    <w:rsid w:val="004C0667"/>
    <w:rsid w:val="004C08F9"/>
    <w:rsid w:val="004C0D13"/>
    <w:rsid w:val="004C4034"/>
    <w:rsid w:val="004C6F55"/>
    <w:rsid w:val="004C70EC"/>
    <w:rsid w:val="004D2B63"/>
    <w:rsid w:val="004D3CF1"/>
    <w:rsid w:val="004D70AB"/>
    <w:rsid w:val="004E1E6E"/>
    <w:rsid w:val="004E29D2"/>
    <w:rsid w:val="004E6909"/>
    <w:rsid w:val="004E7993"/>
    <w:rsid w:val="004F0609"/>
    <w:rsid w:val="004F0774"/>
    <w:rsid w:val="004F5E83"/>
    <w:rsid w:val="004F67C9"/>
    <w:rsid w:val="0050007A"/>
    <w:rsid w:val="005000A8"/>
    <w:rsid w:val="0050252B"/>
    <w:rsid w:val="005025AE"/>
    <w:rsid w:val="0050504F"/>
    <w:rsid w:val="0050625A"/>
    <w:rsid w:val="005068BF"/>
    <w:rsid w:val="00513896"/>
    <w:rsid w:val="00515F90"/>
    <w:rsid w:val="0051783C"/>
    <w:rsid w:val="005202F9"/>
    <w:rsid w:val="005209C8"/>
    <w:rsid w:val="0052263A"/>
    <w:rsid w:val="00523A70"/>
    <w:rsid w:val="005253E7"/>
    <w:rsid w:val="00526FD1"/>
    <w:rsid w:val="00531752"/>
    <w:rsid w:val="0053279E"/>
    <w:rsid w:val="00532F69"/>
    <w:rsid w:val="00535C9C"/>
    <w:rsid w:val="005371D6"/>
    <w:rsid w:val="00537E02"/>
    <w:rsid w:val="0054015A"/>
    <w:rsid w:val="005407F5"/>
    <w:rsid w:val="00543B06"/>
    <w:rsid w:val="00544011"/>
    <w:rsid w:val="00544902"/>
    <w:rsid w:val="00545858"/>
    <w:rsid w:val="005469BE"/>
    <w:rsid w:val="00546D9E"/>
    <w:rsid w:val="00551780"/>
    <w:rsid w:val="005535DE"/>
    <w:rsid w:val="0055380D"/>
    <w:rsid w:val="005538AC"/>
    <w:rsid w:val="00553BD7"/>
    <w:rsid w:val="00554CE1"/>
    <w:rsid w:val="00554DDD"/>
    <w:rsid w:val="00555711"/>
    <w:rsid w:val="00560030"/>
    <w:rsid w:val="0056356B"/>
    <w:rsid w:val="00565A34"/>
    <w:rsid w:val="00565A84"/>
    <w:rsid w:val="00567155"/>
    <w:rsid w:val="00570A75"/>
    <w:rsid w:val="005753D5"/>
    <w:rsid w:val="005765E3"/>
    <w:rsid w:val="005778A6"/>
    <w:rsid w:val="00580189"/>
    <w:rsid w:val="005803F2"/>
    <w:rsid w:val="0058091D"/>
    <w:rsid w:val="00581A38"/>
    <w:rsid w:val="00583F73"/>
    <w:rsid w:val="00584783"/>
    <w:rsid w:val="00587E76"/>
    <w:rsid w:val="0059293E"/>
    <w:rsid w:val="00592D07"/>
    <w:rsid w:val="005948DE"/>
    <w:rsid w:val="00594E04"/>
    <w:rsid w:val="00597F2E"/>
    <w:rsid w:val="00597F9E"/>
    <w:rsid w:val="005A0056"/>
    <w:rsid w:val="005A1FCC"/>
    <w:rsid w:val="005A5291"/>
    <w:rsid w:val="005B1733"/>
    <w:rsid w:val="005B4690"/>
    <w:rsid w:val="005B5834"/>
    <w:rsid w:val="005C0754"/>
    <w:rsid w:val="005C386B"/>
    <w:rsid w:val="005C5B17"/>
    <w:rsid w:val="005C655A"/>
    <w:rsid w:val="005C6E0B"/>
    <w:rsid w:val="005C7BEE"/>
    <w:rsid w:val="005D573D"/>
    <w:rsid w:val="005E2AC6"/>
    <w:rsid w:val="005E35EB"/>
    <w:rsid w:val="005E5E25"/>
    <w:rsid w:val="005E686F"/>
    <w:rsid w:val="005F32B9"/>
    <w:rsid w:val="005F390C"/>
    <w:rsid w:val="00601EF6"/>
    <w:rsid w:val="00602A0D"/>
    <w:rsid w:val="00603025"/>
    <w:rsid w:val="00604191"/>
    <w:rsid w:val="00604A05"/>
    <w:rsid w:val="006072DD"/>
    <w:rsid w:val="00612BB4"/>
    <w:rsid w:val="00613427"/>
    <w:rsid w:val="00613855"/>
    <w:rsid w:val="0061403B"/>
    <w:rsid w:val="00615ABC"/>
    <w:rsid w:val="00616A64"/>
    <w:rsid w:val="00625411"/>
    <w:rsid w:val="006258E4"/>
    <w:rsid w:val="00627FC4"/>
    <w:rsid w:val="0063113E"/>
    <w:rsid w:val="00631EA6"/>
    <w:rsid w:val="00633A05"/>
    <w:rsid w:val="00633C00"/>
    <w:rsid w:val="00635125"/>
    <w:rsid w:val="006367C1"/>
    <w:rsid w:val="0063692B"/>
    <w:rsid w:val="00636A31"/>
    <w:rsid w:val="00636FC3"/>
    <w:rsid w:val="00637893"/>
    <w:rsid w:val="00640985"/>
    <w:rsid w:val="006412B7"/>
    <w:rsid w:val="0064182A"/>
    <w:rsid w:val="00643AE0"/>
    <w:rsid w:val="006458B6"/>
    <w:rsid w:val="00646FB8"/>
    <w:rsid w:val="006519FE"/>
    <w:rsid w:val="00652C91"/>
    <w:rsid w:val="0065325A"/>
    <w:rsid w:val="006541F9"/>
    <w:rsid w:val="006560B9"/>
    <w:rsid w:val="00656607"/>
    <w:rsid w:val="00656DB1"/>
    <w:rsid w:val="00656E8C"/>
    <w:rsid w:val="00657D89"/>
    <w:rsid w:val="00660317"/>
    <w:rsid w:val="00660370"/>
    <w:rsid w:val="0066105F"/>
    <w:rsid w:val="00662171"/>
    <w:rsid w:val="00667DE1"/>
    <w:rsid w:val="00670867"/>
    <w:rsid w:val="006744A4"/>
    <w:rsid w:val="006756A7"/>
    <w:rsid w:val="0067716D"/>
    <w:rsid w:val="00677C20"/>
    <w:rsid w:val="00683188"/>
    <w:rsid w:val="006832E9"/>
    <w:rsid w:val="006833FE"/>
    <w:rsid w:val="006847C9"/>
    <w:rsid w:val="00686691"/>
    <w:rsid w:val="00686AC6"/>
    <w:rsid w:val="006875BC"/>
    <w:rsid w:val="0069063F"/>
    <w:rsid w:val="006929CB"/>
    <w:rsid w:val="00693C29"/>
    <w:rsid w:val="00696DF9"/>
    <w:rsid w:val="00696E70"/>
    <w:rsid w:val="006A0E47"/>
    <w:rsid w:val="006A100C"/>
    <w:rsid w:val="006A218B"/>
    <w:rsid w:val="006A24EF"/>
    <w:rsid w:val="006A2E7A"/>
    <w:rsid w:val="006A789B"/>
    <w:rsid w:val="006B1050"/>
    <w:rsid w:val="006B6333"/>
    <w:rsid w:val="006C00B9"/>
    <w:rsid w:val="006C0373"/>
    <w:rsid w:val="006C3883"/>
    <w:rsid w:val="006C3CC1"/>
    <w:rsid w:val="006C4CC9"/>
    <w:rsid w:val="006C6E1C"/>
    <w:rsid w:val="006D133B"/>
    <w:rsid w:val="006D1D4D"/>
    <w:rsid w:val="006D4F52"/>
    <w:rsid w:val="006D5BA6"/>
    <w:rsid w:val="006D782D"/>
    <w:rsid w:val="006D795A"/>
    <w:rsid w:val="006E0829"/>
    <w:rsid w:val="006E0938"/>
    <w:rsid w:val="006E0BA5"/>
    <w:rsid w:val="006E2CA7"/>
    <w:rsid w:val="006E46AE"/>
    <w:rsid w:val="006E719D"/>
    <w:rsid w:val="006E77B7"/>
    <w:rsid w:val="006F2E8D"/>
    <w:rsid w:val="006F3F44"/>
    <w:rsid w:val="006F691D"/>
    <w:rsid w:val="00701750"/>
    <w:rsid w:val="00702033"/>
    <w:rsid w:val="00703E14"/>
    <w:rsid w:val="00705393"/>
    <w:rsid w:val="00706554"/>
    <w:rsid w:val="00707BD7"/>
    <w:rsid w:val="00711A3D"/>
    <w:rsid w:val="00712442"/>
    <w:rsid w:val="00713C83"/>
    <w:rsid w:val="00716CA4"/>
    <w:rsid w:val="00720051"/>
    <w:rsid w:val="00720A1B"/>
    <w:rsid w:val="00721C5F"/>
    <w:rsid w:val="007220E5"/>
    <w:rsid w:val="00723156"/>
    <w:rsid w:val="00723A72"/>
    <w:rsid w:val="0072424C"/>
    <w:rsid w:val="00726CB9"/>
    <w:rsid w:val="007272C5"/>
    <w:rsid w:val="00731474"/>
    <w:rsid w:val="00731910"/>
    <w:rsid w:val="0073239B"/>
    <w:rsid w:val="00733E06"/>
    <w:rsid w:val="0073413C"/>
    <w:rsid w:val="007350A7"/>
    <w:rsid w:val="00736102"/>
    <w:rsid w:val="00736C41"/>
    <w:rsid w:val="00740C9A"/>
    <w:rsid w:val="00740DFC"/>
    <w:rsid w:val="00743AFD"/>
    <w:rsid w:val="00746E61"/>
    <w:rsid w:val="0075096E"/>
    <w:rsid w:val="00750BE2"/>
    <w:rsid w:val="007533DB"/>
    <w:rsid w:val="00754859"/>
    <w:rsid w:val="00754A79"/>
    <w:rsid w:val="007613C1"/>
    <w:rsid w:val="007661D0"/>
    <w:rsid w:val="00770A83"/>
    <w:rsid w:val="00770C71"/>
    <w:rsid w:val="0077604D"/>
    <w:rsid w:val="0078094C"/>
    <w:rsid w:val="007840BC"/>
    <w:rsid w:val="007850C9"/>
    <w:rsid w:val="007853D6"/>
    <w:rsid w:val="00791315"/>
    <w:rsid w:val="00791A53"/>
    <w:rsid w:val="00793915"/>
    <w:rsid w:val="00795132"/>
    <w:rsid w:val="00795BBB"/>
    <w:rsid w:val="00797970"/>
    <w:rsid w:val="007A0BAA"/>
    <w:rsid w:val="007A2461"/>
    <w:rsid w:val="007A263D"/>
    <w:rsid w:val="007A5C01"/>
    <w:rsid w:val="007A5E39"/>
    <w:rsid w:val="007A7CBA"/>
    <w:rsid w:val="007B2326"/>
    <w:rsid w:val="007B6767"/>
    <w:rsid w:val="007B6F74"/>
    <w:rsid w:val="007C0BBA"/>
    <w:rsid w:val="007C2860"/>
    <w:rsid w:val="007D0264"/>
    <w:rsid w:val="007D153F"/>
    <w:rsid w:val="007D47F1"/>
    <w:rsid w:val="007D506B"/>
    <w:rsid w:val="007D7418"/>
    <w:rsid w:val="007E077C"/>
    <w:rsid w:val="007E0A56"/>
    <w:rsid w:val="007E1FA0"/>
    <w:rsid w:val="007E2048"/>
    <w:rsid w:val="007E2B73"/>
    <w:rsid w:val="007E5EB1"/>
    <w:rsid w:val="007E6099"/>
    <w:rsid w:val="007E6D17"/>
    <w:rsid w:val="007F053E"/>
    <w:rsid w:val="007F1E18"/>
    <w:rsid w:val="007F234D"/>
    <w:rsid w:val="007F4A48"/>
    <w:rsid w:val="007F54A1"/>
    <w:rsid w:val="007F5761"/>
    <w:rsid w:val="00814B73"/>
    <w:rsid w:val="0082041A"/>
    <w:rsid w:val="00820C1E"/>
    <w:rsid w:val="00822F87"/>
    <w:rsid w:val="008238C4"/>
    <w:rsid w:val="00823A91"/>
    <w:rsid w:val="00824419"/>
    <w:rsid w:val="00826FE9"/>
    <w:rsid w:val="0083003F"/>
    <w:rsid w:val="008338AA"/>
    <w:rsid w:val="00840C68"/>
    <w:rsid w:val="0084186F"/>
    <w:rsid w:val="00842B80"/>
    <w:rsid w:val="008435B5"/>
    <w:rsid w:val="008435B9"/>
    <w:rsid w:val="00843E43"/>
    <w:rsid w:val="00845204"/>
    <w:rsid w:val="00845358"/>
    <w:rsid w:val="00845A4B"/>
    <w:rsid w:val="00852BC6"/>
    <w:rsid w:val="00853D6D"/>
    <w:rsid w:val="00856764"/>
    <w:rsid w:val="00856CDD"/>
    <w:rsid w:val="008576A9"/>
    <w:rsid w:val="008609CD"/>
    <w:rsid w:val="00862640"/>
    <w:rsid w:val="00862C42"/>
    <w:rsid w:val="008635F4"/>
    <w:rsid w:val="00864BBC"/>
    <w:rsid w:val="00865445"/>
    <w:rsid w:val="00871C35"/>
    <w:rsid w:val="008734E5"/>
    <w:rsid w:val="00874519"/>
    <w:rsid w:val="008767B9"/>
    <w:rsid w:val="008774D9"/>
    <w:rsid w:val="0088110F"/>
    <w:rsid w:val="00885C8D"/>
    <w:rsid w:val="00886C4F"/>
    <w:rsid w:val="008952AB"/>
    <w:rsid w:val="00896140"/>
    <w:rsid w:val="00897464"/>
    <w:rsid w:val="008A5C3C"/>
    <w:rsid w:val="008A6B76"/>
    <w:rsid w:val="008B0B1F"/>
    <w:rsid w:val="008B1A94"/>
    <w:rsid w:val="008B4F1A"/>
    <w:rsid w:val="008B6BCC"/>
    <w:rsid w:val="008C301A"/>
    <w:rsid w:val="008C3309"/>
    <w:rsid w:val="008C3510"/>
    <w:rsid w:val="008C3767"/>
    <w:rsid w:val="008C3F5B"/>
    <w:rsid w:val="008C40E4"/>
    <w:rsid w:val="008C5EA1"/>
    <w:rsid w:val="008C67B8"/>
    <w:rsid w:val="008D012A"/>
    <w:rsid w:val="008D0C84"/>
    <w:rsid w:val="008D2C8D"/>
    <w:rsid w:val="008D357B"/>
    <w:rsid w:val="008D6146"/>
    <w:rsid w:val="008E1D01"/>
    <w:rsid w:val="008E4C48"/>
    <w:rsid w:val="008E7544"/>
    <w:rsid w:val="008F1606"/>
    <w:rsid w:val="008F1A30"/>
    <w:rsid w:val="008F1A9C"/>
    <w:rsid w:val="009000D1"/>
    <w:rsid w:val="0090010F"/>
    <w:rsid w:val="00904752"/>
    <w:rsid w:val="009063B6"/>
    <w:rsid w:val="009066AB"/>
    <w:rsid w:val="00907398"/>
    <w:rsid w:val="0091240B"/>
    <w:rsid w:val="00914AA2"/>
    <w:rsid w:val="009153AF"/>
    <w:rsid w:val="00920062"/>
    <w:rsid w:val="00922671"/>
    <w:rsid w:val="00923557"/>
    <w:rsid w:val="00924B0E"/>
    <w:rsid w:val="00924E48"/>
    <w:rsid w:val="009308BF"/>
    <w:rsid w:val="0093166F"/>
    <w:rsid w:val="00931D28"/>
    <w:rsid w:val="00932825"/>
    <w:rsid w:val="00932FB6"/>
    <w:rsid w:val="00937DAE"/>
    <w:rsid w:val="00942232"/>
    <w:rsid w:val="00942B40"/>
    <w:rsid w:val="00943252"/>
    <w:rsid w:val="00946DDC"/>
    <w:rsid w:val="00950459"/>
    <w:rsid w:val="009539FE"/>
    <w:rsid w:val="00955405"/>
    <w:rsid w:val="00955443"/>
    <w:rsid w:val="00963B82"/>
    <w:rsid w:val="009665DE"/>
    <w:rsid w:val="0096700F"/>
    <w:rsid w:val="0097113E"/>
    <w:rsid w:val="00971165"/>
    <w:rsid w:val="009719EB"/>
    <w:rsid w:val="00972EE2"/>
    <w:rsid w:val="00973712"/>
    <w:rsid w:val="00981105"/>
    <w:rsid w:val="00981588"/>
    <w:rsid w:val="00982189"/>
    <w:rsid w:val="009846C9"/>
    <w:rsid w:val="00985758"/>
    <w:rsid w:val="009869F6"/>
    <w:rsid w:val="00987CFC"/>
    <w:rsid w:val="00991AEE"/>
    <w:rsid w:val="00991F3E"/>
    <w:rsid w:val="0099321D"/>
    <w:rsid w:val="00995A66"/>
    <w:rsid w:val="009A1669"/>
    <w:rsid w:val="009A1C89"/>
    <w:rsid w:val="009A2A8F"/>
    <w:rsid w:val="009A608D"/>
    <w:rsid w:val="009A67D5"/>
    <w:rsid w:val="009B2E4A"/>
    <w:rsid w:val="009B2E80"/>
    <w:rsid w:val="009B6A49"/>
    <w:rsid w:val="009B7645"/>
    <w:rsid w:val="009C0A7E"/>
    <w:rsid w:val="009C1DCD"/>
    <w:rsid w:val="009C50AF"/>
    <w:rsid w:val="009C56FC"/>
    <w:rsid w:val="009D1089"/>
    <w:rsid w:val="009D632A"/>
    <w:rsid w:val="009D71C1"/>
    <w:rsid w:val="009E2A02"/>
    <w:rsid w:val="009E2F8D"/>
    <w:rsid w:val="009E59CA"/>
    <w:rsid w:val="009E5D66"/>
    <w:rsid w:val="009E6954"/>
    <w:rsid w:val="009E7C1D"/>
    <w:rsid w:val="009F06B8"/>
    <w:rsid w:val="009F08AD"/>
    <w:rsid w:val="009F0D2F"/>
    <w:rsid w:val="009F1B96"/>
    <w:rsid w:val="009F1E6F"/>
    <w:rsid w:val="009F69CE"/>
    <w:rsid w:val="009F6A48"/>
    <w:rsid w:val="009F78AB"/>
    <w:rsid w:val="00A01FF6"/>
    <w:rsid w:val="00A02DD5"/>
    <w:rsid w:val="00A047E7"/>
    <w:rsid w:val="00A05FC4"/>
    <w:rsid w:val="00A06381"/>
    <w:rsid w:val="00A14ACE"/>
    <w:rsid w:val="00A153D5"/>
    <w:rsid w:val="00A1670F"/>
    <w:rsid w:val="00A20840"/>
    <w:rsid w:val="00A210FB"/>
    <w:rsid w:val="00A21758"/>
    <w:rsid w:val="00A232F1"/>
    <w:rsid w:val="00A23BC8"/>
    <w:rsid w:val="00A26014"/>
    <w:rsid w:val="00A261A0"/>
    <w:rsid w:val="00A3360C"/>
    <w:rsid w:val="00A34B63"/>
    <w:rsid w:val="00A3696E"/>
    <w:rsid w:val="00A4328C"/>
    <w:rsid w:val="00A45F71"/>
    <w:rsid w:val="00A46C0E"/>
    <w:rsid w:val="00A5138A"/>
    <w:rsid w:val="00A515E4"/>
    <w:rsid w:val="00A539DB"/>
    <w:rsid w:val="00A57394"/>
    <w:rsid w:val="00A57AAF"/>
    <w:rsid w:val="00A618EE"/>
    <w:rsid w:val="00A63F6E"/>
    <w:rsid w:val="00A66B3C"/>
    <w:rsid w:val="00A67437"/>
    <w:rsid w:val="00A71785"/>
    <w:rsid w:val="00A7501A"/>
    <w:rsid w:val="00A76980"/>
    <w:rsid w:val="00A81845"/>
    <w:rsid w:val="00A822A0"/>
    <w:rsid w:val="00A826CC"/>
    <w:rsid w:val="00A83689"/>
    <w:rsid w:val="00A83E2D"/>
    <w:rsid w:val="00A84D55"/>
    <w:rsid w:val="00A926CF"/>
    <w:rsid w:val="00A93A8A"/>
    <w:rsid w:val="00A9648B"/>
    <w:rsid w:val="00A97727"/>
    <w:rsid w:val="00A97C3C"/>
    <w:rsid w:val="00AA0DD4"/>
    <w:rsid w:val="00AA1C8B"/>
    <w:rsid w:val="00AA2617"/>
    <w:rsid w:val="00AA48E5"/>
    <w:rsid w:val="00AA6C1D"/>
    <w:rsid w:val="00AA7842"/>
    <w:rsid w:val="00AB0500"/>
    <w:rsid w:val="00AB27FA"/>
    <w:rsid w:val="00AB3B07"/>
    <w:rsid w:val="00AB42BE"/>
    <w:rsid w:val="00AB6247"/>
    <w:rsid w:val="00AB7832"/>
    <w:rsid w:val="00AC14CF"/>
    <w:rsid w:val="00AC2393"/>
    <w:rsid w:val="00AC2586"/>
    <w:rsid w:val="00AC26D5"/>
    <w:rsid w:val="00AC2AD9"/>
    <w:rsid w:val="00AC2D87"/>
    <w:rsid w:val="00AC3BC2"/>
    <w:rsid w:val="00AC51E0"/>
    <w:rsid w:val="00AC5554"/>
    <w:rsid w:val="00AC758B"/>
    <w:rsid w:val="00AD35CE"/>
    <w:rsid w:val="00AD4CCB"/>
    <w:rsid w:val="00AD574D"/>
    <w:rsid w:val="00AD632B"/>
    <w:rsid w:val="00AE014D"/>
    <w:rsid w:val="00AE1424"/>
    <w:rsid w:val="00AE4291"/>
    <w:rsid w:val="00AE482D"/>
    <w:rsid w:val="00AE66B1"/>
    <w:rsid w:val="00AE749A"/>
    <w:rsid w:val="00AF035E"/>
    <w:rsid w:val="00AF0395"/>
    <w:rsid w:val="00AF10FC"/>
    <w:rsid w:val="00AF1DBC"/>
    <w:rsid w:val="00AF32AF"/>
    <w:rsid w:val="00AF3B23"/>
    <w:rsid w:val="00B00084"/>
    <w:rsid w:val="00B00534"/>
    <w:rsid w:val="00B026BF"/>
    <w:rsid w:val="00B04222"/>
    <w:rsid w:val="00B057DB"/>
    <w:rsid w:val="00B05B66"/>
    <w:rsid w:val="00B066C3"/>
    <w:rsid w:val="00B0725E"/>
    <w:rsid w:val="00B07552"/>
    <w:rsid w:val="00B10BF0"/>
    <w:rsid w:val="00B12F57"/>
    <w:rsid w:val="00B14010"/>
    <w:rsid w:val="00B1472A"/>
    <w:rsid w:val="00B204E0"/>
    <w:rsid w:val="00B25A15"/>
    <w:rsid w:val="00B261A1"/>
    <w:rsid w:val="00B2684B"/>
    <w:rsid w:val="00B26AA8"/>
    <w:rsid w:val="00B27796"/>
    <w:rsid w:val="00B27D55"/>
    <w:rsid w:val="00B30FF1"/>
    <w:rsid w:val="00B33F6D"/>
    <w:rsid w:val="00B37136"/>
    <w:rsid w:val="00B37257"/>
    <w:rsid w:val="00B3735C"/>
    <w:rsid w:val="00B40C64"/>
    <w:rsid w:val="00B40E4E"/>
    <w:rsid w:val="00B420DD"/>
    <w:rsid w:val="00B42CA0"/>
    <w:rsid w:val="00B42EAC"/>
    <w:rsid w:val="00B434A2"/>
    <w:rsid w:val="00B4622C"/>
    <w:rsid w:val="00B508E0"/>
    <w:rsid w:val="00B5201A"/>
    <w:rsid w:val="00B54F2B"/>
    <w:rsid w:val="00B57508"/>
    <w:rsid w:val="00B62D6F"/>
    <w:rsid w:val="00B635D8"/>
    <w:rsid w:val="00B64258"/>
    <w:rsid w:val="00B648BF"/>
    <w:rsid w:val="00B65F41"/>
    <w:rsid w:val="00B66E47"/>
    <w:rsid w:val="00B67109"/>
    <w:rsid w:val="00B67C69"/>
    <w:rsid w:val="00B7085F"/>
    <w:rsid w:val="00B70C8E"/>
    <w:rsid w:val="00B71F90"/>
    <w:rsid w:val="00B7642B"/>
    <w:rsid w:val="00B77463"/>
    <w:rsid w:val="00B805E8"/>
    <w:rsid w:val="00B8224F"/>
    <w:rsid w:val="00B846F9"/>
    <w:rsid w:val="00B84BE2"/>
    <w:rsid w:val="00B84CA7"/>
    <w:rsid w:val="00B908C4"/>
    <w:rsid w:val="00B90E83"/>
    <w:rsid w:val="00B919C8"/>
    <w:rsid w:val="00B92759"/>
    <w:rsid w:val="00B94D7C"/>
    <w:rsid w:val="00B951B1"/>
    <w:rsid w:val="00BA08FE"/>
    <w:rsid w:val="00BA2B58"/>
    <w:rsid w:val="00BA32BD"/>
    <w:rsid w:val="00BA3BE8"/>
    <w:rsid w:val="00BA3F8B"/>
    <w:rsid w:val="00BA4244"/>
    <w:rsid w:val="00BA5701"/>
    <w:rsid w:val="00BA7203"/>
    <w:rsid w:val="00BB0683"/>
    <w:rsid w:val="00BB2476"/>
    <w:rsid w:val="00BB2F90"/>
    <w:rsid w:val="00BB3524"/>
    <w:rsid w:val="00BB402B"/>
    <w:rsid w:val="00BB411D"/>
    <w:rsid w:val="00BB4703"/>
    <w:rsid w:val="00BB541C"/>
    <w:rsid w:val="00BB6C92"/>
    <w:rsid w:val="00BB7C61"/>
    <w:rsid w:val="00BB7E35"/>
    <w:rsid w:val="00BC1B73"/>
    <w:rsid w:val="00BC35B0"/>
    <w:rsid w:val="00BC64C9"/>
    <w:rsid w:val="00BD5D2F"/>
    <w:rsid w:val="00BD6F73"/>
    <w:rsid w:val="00BE0843"/>
    <w:rsid w:val="00BE125E"/>
    <w:rsid w:val="00BE1E07"/>
    <w:rsid w:val="00BE21CB"/>
    <w:rsid w:val="00BE2A91"/>
    <w:rsid w:val="00BE66D2"/>
    <w:rsid w:val="00BE686A"/>
    <w:rsid w:val="00BE6C2C"/>
    <w:rsid w:val="00BE77F1"/>
    <w:rsid w:val="00BE78CC"/>
    <w:rsid w:val="00BF03B6"/>
    <w:rsid w:val="00BF1E3A"/>
    <w:rsid w:val="00BF1EB4"/>
    <w:rsid w:val="00BF370F"/>
    <w:rsid w:val="00BF39D9"/>
    <w:rsid w:val="00BF3C27"/>
    <w:rsid w:val="00BF458C"/>
    <w:rsid w:val="00C0030E"/>
    <w:rsid w:val="00C00462"/>
    <w:rsid w:val="00C0192F"/>
    <w:rsid w:val="00C01BE8"/>
    <w:rsid w:val="00C02B2E"/>
    <w:rsid w:val="00C05429"/>
    <w:rsid w:val="00C056E3"/>
    <w:rsid w:val="00C05CC5"/>
    <w:rsid w:val="00C06815"/>
    <w:rsid w:val="00C07387"/>
    <w:rsid w:val="00C07E7D"/>
    <w:rsid w:val="00C10149"/>
    <w:rsid w:val="00C1033D"/>
    <w:rsid w:val="00C1088A"/>
    <w:rsid w:val="00C109C5"/>
    <w:rsid w:val="00C12090"/>
    <w:rsid w:val="00C1299E"/>
    <w:rsid w:val="00C14EFA"/>
    <w:rsid w:val="00C15085"/>
    <w:rsid w:val="00C17C7D"/>
    <w:rsid w:val="00C2018C"/>
    <w:rsid w:val="00C20437"/>
    <w:rsid w:val="00C20AEB"/>
    <w:rsid w:val="00C2128E"/>
    <w:rsid w:val="00C22EFE"/>
    <w:rsid w:val="00C230E5"/>
    <w:rsid w:val="00C23470"/>
    <w:rsid w:val="00C24CAF"/>
    <w:rsid w:val="00C24E5F"/>
    <w:rsid w:val="00C2575A"/>
    <w:rsid w:val="00C27B8E"/>
    <w:rsid w:val="00C30321"/>
    <w:rsid w:val="00C31289"/>
    <w:rsid w:val="00C32C09"/>
    <w:rsid w:val="00C3431C"/>
    <w:rsid w:val="00C34903"/>
    <w:rsid w:val="00C36635"/>
    <w:rsid w:val="00C36804"/>
    <w:rsid w:val="00C36E6A"/>
    <w:rsid w:val="00C3722F"/>
    <w:rsid w:val="00C375B7"/>
    <w:rsid w:val="00C37BC7"/>
    <w:rsid w:val="00C402C6"/>
    <w:rsid w:val="00C406C3"/>
    <w:rsid w:val="00C41324"/>
    <w:rsid w:val="00C41380"/>
    <w:rsid w:val="00C41496"/>
    <w:rsid w:val="00C421D3"/>
    <w:rsid w:val="00C450E2"/>
    <w:rsid w:val="00C45AE9"/>
    <w:rsid w:val="00C4613D"/>
    <w:rsid w:val="00C46458"/>
    <w:rsid w:val="00C47DDB"/>
    <w:rsid w:val="00C51173"/>
    <w:rsid w:val="00C5410C"/>
    <w:rsid w:val="00C56F03"/>
    <w:rsid w:val="00C57107"/>
    <w:rsid w:val="00C57280"/>
    <w:rsid w:val="00C61578"/>
    <w:rsid w:val="00C619A7"/>
    <w:rsid w:val="00C62E36"/>
    <w:rsid w:val="00C630DA"/>
    <w:rsid w:val="00C63B46"/>
    <w:rsid w:val="00C63BEA"/>
    <w:rsid w:val="00C6468F"/>
    <w:rsid w:val="00C651BD"/>
    <w:rsid w:val="00C6531D"/>
    <w:rsid w:val="00C65F16"/>
    <w:rsid w:val="00C708C9"/>
    <w:rsid w:val="00C719A0"/>
    <w:rsid w:val="00C71ECA"/>
    <w:rsid w:val="00C7363D"/>
    <w:rsid w:val="00C7554C"/>
    <w:rsid w:val="00C758AE"/>
    <w:rsid w:val="00C75C51"/>
    <w:rsid w:val="00C762E4"/>
    <w:rsid w:val="00C779F9"/>
    <w:rsid w:val="00C8684D"/>
    <w:rsid w:val="00C9143A"/>
    <w:rsid w:val="00C92AD4"/>
    <w:rsid w:val="00C96511"/>
    <w:rsid w:val="00C96FC5"/>
    <w:rsid w:val="00CA0716"/>
    <w:rsid w:val="00CA233C"/>
    <w:rsid w:val="00CA3CC4"/>
    <w:rsid w:val="00CA3F89"/>
    <w:rsid w:val="00CA5203"/>
    <w:rsid w:val="00CA5395"/>
    <w:rsid w:val="00CA6613"/>
    <w:rsid w:val="00CA728F"/>
    <w:rsid w:val="00CB219B"/>
    <w:rsid w:val="00CB350F"/>
    <w:rsid w:val="00CC2163"/>
    <w:rsid w:val="00CC5F25"/>
    <w:rsid w:val="00CC6478"/>
    <w:rsid w:val="00CD3DD7"/>
    <w:rsid w:val="00CD4DB8"/>
    <w:rsid w:val="00CD5C3E"/>
    <w:rsid w:val="00CD6CAA"/>
    <w:rsid w:val="00CD76E2"/>
    <w:rsid w:val="00CE0315"/>
    <w:rsid w:val="00CE0C2D"/>
    <w:rsid w:val="00CE0DEF"/>
    <w:rsid w:val="00CE12FD"/>
    <w:rsid w:val="00CE3DBD"/>
    <w:rsid w:val="00CE583C"/>
    <w:rsid w:val="00CF04DA"/>
    <w:rsid w:val="00CF3B06"/>
    <w:rsid w:val="00CF3E5A"/>
    <w:rsid w:val="00CF755C"/>
    <w:rsid w:val="00D0267D"/>
    <w:rsid w:val="00D044B6"/>
    <w:rsid w:val="00D05592"/>
    <w:rsid w:val="00D06074"/>
    <w:rsid w:val="00D069A7"/>
    <w:rsid w:val="00D07825"/>
    <w:rsid w:val="00D13792"/>
    <w:rsid w:val="00D231AC"/>
    <w:rsid w:val="00D23464"/>
    <w:rsid w:val="00D23930"/>
    <w:rsid w:val="00D25864"/>
    <w:rsid w:val="00D25A8C"/>
    <w:rsid w:val="00D2670B"/>
    <w:rsid w:val="00D2683F"/>
    <w:rsid w:val="00D275E9"/>
    <w:rsid w:val="00D30973"/>
    <w:rsid w:val="00D33815"/>
    <w:rsid w:val="00D3590C"/>
    <w:rsid w:val="00D373C7"/>
    <w:rsid w:val="00D37760"/>
    <w:rsid w:val="00D428AA"/>
    <w:rsid w:val="00D43B1A"/>
    <w:rsid w:val="00D43DEE"/>
    <w:rsid w:val="00D44324"/>
    <w:rsid w:val="00D443B0"/>
    <w:rsid w:val="00D447E0"/>
    <w:rsid w:val="00D45259"/>
    <w:rsid w:val="00D47D2E"/>
    <w:rsid w:val="00D5360F"/>
    <w:rsid w:val="00D54203"/>
    <w:rsid w:val="00D56439"/>
    <w:rsid w:val="00D61383"/>
    <w:rsid w:val="00D61657"/>
    <w:rsid w:val="00D623A7"/>
    <w:rsid w:val="00D6337F"/>
    <w:rsid w:val="00D66135"/>
    <w:rsid w:val="00D66C1F"/>
    <w:rsid w:val="00D6742C"/>
    <w:rsid w:val="00D7433F"/>
    <w:rsid w:val="00D755A2"/>
    <w:rsid w:val="00D756FE"/>
    <w:rsid w:val="00D7703F"/>
    <w:rsid w:val="00D82B92"/>
    <w:rsid w:val="00D8481C"/>
    <w:rsid w:val="00D848FD"/>
    <w:rsid w:val="00D91483"/>
    <w:rsid w:val="00D93005"/>
    <w:rsid w:val="00D93E5E"/>
    <w:rsid w:val="00D9552E"/>
    <w:rsid w:val="00D959F9"/>
    <w:rsid w:val="00D96EB9"/>
    <w:rsid w:val="00DA0C29"/>
    <w:rsid w:val="00DA13A7"/>
    <w:rsid w:val="00DA1D4A"/>
    <w:rsid w:val="00DA28A9"/>
    <w:rsid w:val="00DA4B14"/>
    <w:rsid w:val="00DA7F6F"/>
    <w:rsid w:val="00DB048F"/>
    <w:rsid w:val="00DB0C07"/>
    <w:rsid w:val="00DB127C"/>
    <w:rsid w:val="00DB22EA"/>
    <w:rsid w:val="00DB2FA2"/>
    <w:rsid w:val="00DB302A"/>
    <w:rsid w:val="00DB5AFC"/>
    <w:rsid w:val="00DB7689"/>
    <w:rsid w:val="00DB7856"/>
    <w:rsid w:val="00DC0169"/>
    <w:rsid w:val="00DC0940"/>
    <w:rsid w:val="00DC42B1"/>
    <w:rsid w:val="00DC6542"/>
    <w:rsid w:val="00DC7719"/>
    <w:rsid w:val="00DD0D08"/>
    <w:rsid w:val="00DD10FD"/>
    <w:rsid w:val="00DD16FB"/>
    <w:rsid w:val="00DD3F3A"/>
    <w:rsid w:val="00DD7094"/>
    <w:rsid w:val="00DD794D"/>
    <w:rsid w:val="00DE12EE"/>
    <w:rsid w:val="00DE1B7C"/>
    <w:rsid w:val="00DE3511"/>
    <w:rsid w:val="00DE6392"/>
    <w:rsid w:val="00DE6816"/>
    <w:rsid w:val="00DE798C"/>
    <w:rsid w:val="00DF14A7"/>
    <w:rsid w:val="00DF28CE"/>
    <w:rsid w:val="00DF310A"/>
    <w:rsid w:val="00DF31AF"/>
    <w:rsid w:val="00DF570D"/>
    <w:rsid w:val="00DF5911"/>
    <w:rsid w:val="00DF601B"/>
    <w:rsid w:val="00DF6E3F"/>
    <w:rsid w:val="00E011AD"/>
    <w:rsid w:val="00E014F5"/>
    <w:rsid w:val="00E01CDA"/>
    <w:rsid w:val="00E027A6"/>
    <w:rsid w:val="00E02A3D"/>
    <w:rsid w:val="00E02DAA"/>
    <w:rsid w:val="00E03EB1"/>
    <w:rsid w:val="00E0580A"/>
    <w:rsid w:val="00E07CA2"/>
    <w:rsid w:val="00E11746"/>
    <w:rsid w:val="00E11BA7"/>
    <w:rsid w:val="00E2147B"/>
    <w:rsid w:val="00E231F7"/>
    <w:rsid w:val="00E246B8"/>
    <w:rsid w:val="00E2739E"/>
    <w:rsid w:val="00E303AA"/>
    <w:rsid w:val="00E30A61"/>
    <w:rsid w:val="00E31BDB"/>
    <w:rsid w:val="00E32212"/>
    <w:rsid w:val="00E324EF"/>
    <w:rsid w:val="00E3712A"/>
    <w:rsid w:val="00E373ED"/>
    <w:rsid w:val="00E37B1F"/>
    <w:rsid w:val="00E40511"/>
    <w:rsid w:val="00E40AE5"/>
    <w:rsid w:val="00E4202B"/>
    <w:rsid w:val="00E42860"/>
    <w:rsid w:val="00E444E3"/>
    <w:rsid w:val="00E44C7B"/>
    <w:rsid w:val="00E455EA"/>
    <w:rsid w:val="00E461BA"/>
    <w:rsid w:val="00E47FD0"/>
    <w:rsid w:val="00E52111"/>
    <w:rsid w:val="00E5258B"/>
    <w:rsid w:val="00E5426B"/>
    <w:rsid w:val="00E55269"/>
    <w:rsid w:val="00E5615C"/>
    <w:rsid w:val="00E61BCD"/>
    <w:rsid w:val="00E64176"/>
    <w:rsid w:val="00E65455"/>
    <w:rsid w:val="00E7101E"/>
    <w:rsid w:val="00E71119"/>
    <w:rsid w:val="00E714B0"/>
    <w:rsid w:val="00E808A3"/>
    <w:rsid w:val="00E812F8"/>
    <w:rsid w:val="00E82EC2"/>
    <w:rsid w:val="00E845BB"/>
    <w:rsid w:val="00E84CA8"/>
    <w:rsid w:val="00E85154"/>
    <w:rsid w:val="00E869D4"/>
    <w:rsid w:val="00E912D7"/>
    <w:rsid w:val="00E92E61"/>
    <w:rsid w:val="00E93301"/>
    <w:rsid w:val="00E9495D"/>
    <w:rsid w:val="00E94DE6"/>
    <w:rsid w:val="00E95464"/>
    <w:rsid w:val="00E95487"/>
    <w:rsid w:val="00E9574E"/>
    <w:rsid w:val="00E975D4"/>
    <w:rsid w:val="00EA53CD"/>
    <w:rsid w:val="00EA63D5"/>
    <w:rsid w:val="00EB182F"/>
    <w:rsid w:val="00EB221B"/>
    <w:rsid w:val="00EC00AF"/>
    <w:rsid w:val="00EC08BC"/>
    <w:rsid w:val="00EC2495"/>
    <w:rsid w:val="00EC3BBF"/>
    <w:rsid w:val="00EC4145"/>
    <w:rsid w:val="00EC5584"/>
    <w:rsid w:val="00ED21B1"/>
    <w:rsid w:val="00ED2319"/>
    <w:rsid w:val="00ED6CB7"/>
    <w:rsid w:val="00EE0A6A"/>
    <w:rsid w:val="00EE1989"/>
    <w:rsid w:val="00EE1D13"/>
    <w:rsid w:val="00EE3DC1"/>
    <w:rsid w:val="00EE4181"/>
    <w:rsid w:val="00EE48C1"/>
    <w:rsid w:val="00EF053A"/>
    <w:rsid w:val="00EF1AE1"/>
    <w:rsid w:val="00EF47BA"/>
    <w:rsid w:val="00EF6443"/>
    <w:rsid w:val="00F00280"/>
    <w:rsid w:val="00F00EA9"/>
    <w:rsid w:val="00F01F89"/>
    <w:rsid w:val="00F02289"/>
    <w:rsid w:val="00F03918"/>
    <w:rsid w:val="00F03E6A"/>
    <w:rsid w:val="00F10CE5"/>
    <w:rsid w:val="00F1296C"/>
    <w:rsid w:val="00F13A49"/>
    <w:rsid w:val="00F14B64"/>
    <w:rsid w:val="00F15B41"/>
    <w:rsid w:val="00F21FA5"/>
    <w:rsid w:val="00F2754A"/>
    <w:rsid w:val="00F2773E"/>
    <w:rsid w:val="00F31163"/>
    <w:rsid w:val="00F34194"/>
    <w:rsid w:val="00F35760"/>
    <w:rsid w:val="00F35DC3"/>
    <w:rsid w:val="00F36E37"/>
    <w:rsid w:val="00F51FF3"/>
    <w:rsid w:val="00F52094"/>
    <w:rsid w:val="00F535FB"/>
    <w:rsid w:val="00F54309"/>
    <w:rsid w:val="00F57F92"/>
    <w:rsid w:val="00F620A4"/>
    <w:rsid w:val="00F640AC"/>
    <w:rsid w:val="00F6410C"/>
    <w:rsid w:val="00F674C0"/>
    <w:rsid w:val="00F67F91"/>
    <w:rsid w:val="00F735CC"/>
    <w:rsid w:val="00F73E8B"/>
    <w:rsid w:val="00F73F01"/>
    <w:rsid w:val="00F74722"/>
    <w:rsid w:val="00F75A38"/>
    <w:rsid w:val="00F75F72"/>
    <w:rsid w:val="00F76999"/>
    <w:rsid w:val="00F8142A"/>
    <w:rsid w:val="00F82A8F"/>
    <w:rsid w:val="00F84DC9"/>
    <w:rsid w:val="00F85826"/>
    <w:rsid w:val="00F864DA"/>
    <w:rsid w:val="00F868AB"/>
    <w:rsid w:val="00F9038E"/>
    <w:rsid w:val="00F947B9"/>
    <w:rsid w:val="00F963F8"/>
    <w:rsid w:val="00F96611"/>
    <w:rsid w:val="00FA2C04"/>
    <w:rsid w:val="00FA5646"/>
    <w:rsid w:val="00FB02A9"/>
    <w:rsid w:val="00FB1223"/>
    <w:rsid w:val="00FB20FD"/>
    <w:rsid w:val="00FB5E54"/>
    <w:rsid w:val="00FB6C91"/>
    <w:rsid w:val="00FC187D"/>
    <w:rsid w:val="00FC1951"/>
    <w:rsid w:val="00FC3845"/>
    <w:rsid w:val="00FC5C9D"/>
    <w:rsid w:val="00FC633B"/>
    <w:rsid w:val="00FC6756"/>
    <w:rsid w:val="00FC7DB2"/>
    <w:rsid w:val="00FD009C"/>
    <w:rsid w:val="00FD09FF"/>
    <w:rsid w:val="00FD4FC9"/>
    <w:rsid w:val="00FD5DF9"/>
    <w:rsid w:val="00FD7E11"/>
    <w:rsid w:val="00FE0538"/>
    <w:rsid w:val="00FE23E5"/>
    <w:rsid w:val="00FE456E"/>
    <w:rsid w:val="00FE4D52"/>
    <w:rsid w:val="00FE4FA8"/>
    <w:rsid w:val="00FE51BF"/>
    <w:rsid w:val="00FE6066"/>
    <w:rsid w:val="00FE6B96"/>
    <w:rsid w:val="00FF2818"/>
    <w:rsid w:val="00FF30D2"/>
    <w:rsid w:val="00FF41E4"/>
    <w:rsid w:val="00FF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727CB"/>
  <w15:chartTrackingRefBased/>
  <w15:docId w15:val="{01013574-5F4A-BE48-BE90-1F9ABD97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C9"/>
    <w:rPr>
      <w:rFonts w:eastAsiaTheme="minorEastAsia"/>
    </w:rPr>
  </w:style>
  <w:style w:type="paragraph" w:styleId="Heading1">
    <w:name w:val="heading 1"/>
    <w:basedOn w:val="Normal"/>
    <w:next w:val="Normal"/>
    <w:link w:val="Heading1Char"/>
    <w:uiPriority w:val="9"/>
    <w:qFormat/>
    <w:rsid w:val="0023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2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B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6F"/>
    <w:rPr>
      <w:rFonts w:eastAsiaTheme="majorEastAsia" w:cstheme="majorBidi"/>
      <w:color w:val="272727" w:themeColor="text1" w:themeTint="D8"/>
    </w:rPr>
  </w:style>
  <w:style w:type="paragraph" w:styleId="Title">
    <w:name w:val="Title"/>
    <w:basedOn w:val="Normal"/>
    <w:next w:val="Normal"/>
    <w:link w:val="TitleChar"/>
    <w:uiPriority w:val="10"/>
    <w:qFormat/>
    <w:rsid w:val="00232B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B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2B6F"/>
    <w:rPr>
      <w:rFonts w:eastAsiaTheme="minorEastAsia"/>
      <w:i/>
      <w:iCs/>
      <w:color w:val="404040" w:themeColor="text1" w:themeTint="BF"/>
    </w:rPr>
  </w:style>
  <w:style w:type="paragraph" w:styleId="ListParagraph">
    <w:name w:val="List Paragraph"/>
    <w:basedOn w:val="Normal"/>
    <w:uiPriority w:val="34"/>
    <w:qFormat/>
    <w:rsid w:val="00232B6F"/>
    <w:pPr>
      <w:ind w:left="720"/>
      <w:contextualSpacing/>
    </w:pPr>
  </w:style>
  <w:style w:type="character" w:styleId="IntenseEmphasis">
    <w:name w:val="Intense Emphasis"/>
    <w:basedOn w:val="DefaultParagraphFont"/>
    <w:uiPriority w:val="21"/>
    <w:qFormat/>
    <w:rsid w:val="00232B6F"/>
    <w:rPr>
      <w:i/>
      <w:iCs/>
      <w:color w:val="0F4761" w:themeColor="accent1" w:themeShade="BF"/>
    </w:rPr>
  </w:style>
  <w:style w:type="paragraph" w:styleId="IntenseQuote">
    <w:name w:val="Intense Quote"/>
    <w:basedOn w:val="Normal"/>
    <w:next w:val="Normal"/>
    <w:link w:val="IntenseQuoteChar"/>
    <w:uiPriority w:val="30"/>
    <w:qFormat/>
    <w:rsid w:val="0023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B6F"/>
    <w:rPr>
      <w:rFonts w:eastAsiaTheme="minorEastAsia"/>
      <w:i/>
      <w:iCs/>
      <w:color w:val="0F4761" w:themeColor="accent1" w:themeShade="BF"/>
    </w:rPr>
  </w:style>
  <w:style w:type="character" w:styleId="IntenseReference">
    <w:name w:val="Intense Reference"/>
    <w:basedOn w:val="DefaultParagraphFont"/>
    <w:uiPriority w:val="32"/>
    <w:qFormat/>
    <w:rsid w:val="00232B6F"/>
    <w:rPr>
      <w:b/>
      <w:bCs/>
      <w:smallCaps/>
      <w:color w:val="0F4761" w:themeColor="accent1" w:themeShade="BF"/>
      <w:spacing w:val="5"/>
    </w:rPr>
  </w:style>
  <w:style w:type="paragraph" w:styleId="NormalWeb">
    <w:name w:val="Normal (Web)"/>
    <w:basedOn w:val="Normal"/>
    <w:uiPriority w:val="99"/>
    <w:semiHidden/>
    <w:unhideWhenUsed/>
    <w:rsid w:val="00740C9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0C9A"/>
    <w:rPr>
      <w:b/>
      <w:bCs/>
    </w:rPr>
  </w:style>
  <w:style w:type="character" w:styleId="Emphasis">
    <w:name w:val="Emphasis"/>
    <w:basedOn w:val="DefaultParagraphFont"/>
    <w:uiPriority w:val="20"/>
    <w:qFormat/>
    <w:rsid w:val="00740C9A"/>
    <w:rPr>
      <w:i/>
      <w:iCs/>
    </w:rPr>
  </w:style>
  <w:style w:type="character" w:styleId="CommentReference">
    <w:name w:val="annotation reference"/>
    <w:basedOn w:val="DefaultParagraphFont"/>
    <w:uiPriority w:val="99"/>
    <w:semiHidden/>
    <w:unhideWhenUsed/>
    <w:rsid w:val="003A7B17"/>
    <w:rPr>
      <w:sz w:val="16"/>
      <w:szCs w:val="16"/>
    </w:rPr>
  </w:style>
  <w:style w:type="paragraph" w:styleId="CommentText">
    <w:name w:val="annotation text"/>
    <w:basedOn w:val="Normal"/>
    <w:link w:val="CommentTextChar"/>
    <w:uiPriority w:val="99"/>
    <w:semiHidden/>
    <w:unhideWhenUsed/>
    <w:rsid w:val="003A7B17"/>
    <w:rPr>
      <w:sz w:val="20"/>
      <w:szCs w:val="20"/>
    </w:rPr>
  </w:style>
  <w:style w:type="character" w:customStyle="1" w:styleId="CommentTextChar">
    <w:name w:val="Comment Text Char"/>
    <w:basedOn w:val="DefaultParagraphFont"/>
    <w:link w:val="CommentText"/>
    <w:uiPriority w:val="99"/>
    <w:semiHidden/>
    <w:rsid w:val="003A7B1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A7B17"/>
    <w:rPr>
      <w:b/>
      <w:bCs/>
    </w:rPr>
  </w:style>
  <w:style w:type="character" w:customStyle="1" w:styleId="CommentSubjectChar">
    <w:name w:val="Comment Subject Char"/>
    <w:basedOn w:val="CommentTextChar"/>
    <w:link w:val="CommentSubject"/>
    <w:uiPriority w:val="99"/>
    <w:semiHidden/>
    <w:rsid w:val="003A7B17"/>
    <w:rPr>
      <w:rFonts w:eastAsiaTheme="minorEastAsia"/>
      <w:b/>
      <w:bCs/>
      <w:sz w:val="20"/>
      <w:szCs w:val="20"/>
    </w:rPr>
  </w:style>
  <w:style w:type="paragraph" w:styleId="Footer">
    <w:name w:val="footer"/>
    <w:basedOn w:val="Normal"/>
    <w:link w:val="FooterChar"/>
    <w:uiPriority w:val="99"/>
    <w:unhideWhenUsed/>
    <w:rsid w:val="00B66E47"/>
    <w:pPr>
      <w:tabs>
        <w:tab w:val="center" w:pos="4680"/>
        <w:tab w:val="right" w:pos="9360"/>
      </w:tabs>
    </w:pPr>
  </w:style>
  <w:style w:type="character" w:customStyle="1" w:styleId="FooterChar">
    <w:name w:val="Footer Char"/>
    <w:basedOn w:val="DefaultParagraphFont"/>
    <w:link w:val="Footer"/>
    <w:uiPriority w:val="99"/>
    <w:rsid w:val="00B66E47"/>
    <w:rPr>
      <w:rFonts w:eastAsiaTheme="minorEastAsia"/>
    </w:rPr>
  </w:style>
  <w:style w:type="character" w:styleId="PageNumber">
    <w:name w:val="page number"/>
    <w:basedOn w:val="DefaultParagraphFont"/>
    <w:uiPriority w:val="99"/>
    <w:semiHidden/>
    <w:unhideWhenUsed/>
    <w:rsid w:val="00B66E47"/>
  </w:style>
  <w:style w:type="paragraph" w:styleId="NoSpacing">
    <w:name w:val="No Spacing"/>
    <w:uiPriority w:val="1"/>
    <w:qFormat/>
    <w:rsid w:val="00F35760"/>
    <w:rPr>
      <w:rFonts w:eastAsiaTheme="minorEastAsia"/>
    </w:rPr>
  </w:style>
  <w:style w:type="paragraph" w:styleId="Header">
    <w:name w:val="header"/>
    <w:basedOn w:val="Normal"/>
    <w:link w:val="HeaderChar"/>
    <w:uiPriority w:val="99"/>
    <w:unhideWhenUsed/>
    <w:rsid w:val="00736102"/>
    <w:pPr>
      <w:tabs>
        <w:tab w:val="center" w:pos="4680"/>
        <w:tab w:val="right" w:pos="9360"/>
      </w:tabs>
    </w:pPr>
  </w:style>
  <w:style w:type="character" w:customStyle="1" w:styleId="HeaderChar">
    <w:name w:val="Header Char"/>
    <w:basedOn w:val="DefaultParagraphFont"/>
    <w:link w:val="Header"/>
    <w:uiPriority w:val="99"/>
    <w:rsid w:val="00736102"/>
    <w:rPr>
      <w:rFonts w:eastAsiaTheme="minorEastAsia"/>
    </w:rPr>
  </w:style>
  <w:style w:type="table" w:styleId="TableGrid">
    <w:name w:val="Table Grid"/>
    <w:basedOn w:val="TableNormal"/>
    <w:uiPriority w:val="39"/>
    <w:rsid w:val="00016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289"/>
    <w:rPr>
      <w:color w:val="467886" w:themeColor="hyperlink"/>
      <w:u w:val="single"/>
    </w:rPr>
  </w:style>
  <w:style w:type="character" w:styleId="UnresolvedMention">
    <w:name w:val="Unresolved Mention"/>
    <w:basedOn w:val="DefaultParagraphFont"/>
    <w:uiPriority w:val="99"/>
    <w:semiHidden/>
    <w:unhideWhenUsed/>
    <w:rsid w:val="00F02289"/>
    <w:rPr>
      <w:color w:val="605E5C"/>
      <w:shd w:val="clear" w:color="auto" w:fill="E1DFDD"/>
    </w:rPr>
  </w:style>
  <w:style w:type="paragraph" w:customStyle="1" w:styleId="PreformattedText">
    <w:name w:val="Preformatted Text"/>
    <w:basedOn w:val="Normal"/>
    <w:qFormat/>
    <w:rsid w:val="008238C4"/>
    <w:pPr>
      <w:widowControl w:val="0"/>
      <w:suppressAutoHyphens/>
    </w:pPr>
    <w:rPr>
      <w:rFonts w:ascii="Liberation Mono" w:eastAsia="NSimSun" w:hAnsi="Liberation Mono" w:cs="Liberation Mono"/>
      <w:kern w:val="0"/>
      <w:sz w:val="20"/>
      <w:szCs w:val="2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214/ss/117701381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s.gov/blog/addressing-rural-health-inequities-medicar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370/afm.54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36/bmjopen-2019-035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5D35F-4ABD-7143-85D8-8ABBFCC5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7793</Words>
  <Characters>44422</Characters>
  <Application>Microsoft Office Word</Application>
  <DocSecurity>0</DocSecurity>
  <Lines>370</Lines>
  <Paragraphs>104</Paragraphs>
  <ScaleCrop>false</ScaleCrop>
  <Company/>
  <LinksUpToDate>false</LinksUpToDate>
  <CharactersWithSpaces>52111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Guastaferro</dc:creator>
  <cp:keywords/>
  <dc:description/>
  <cp:lastModifiedBy>Chris Guastaferro</cp:lastModifiedBy>
  <cp:revision>11</cp:revision>
  <cp:lastPrinted>2025-08-14T21:05:00Z</cp:lastPrinted>
  <dcterms:created xsi:type="dcterms:W3CDTF">2025-08-15T23:03:00Z</dcterms:created>
  <dcterms:modified xsi:type="dcterms:W3CDTF">2025-08-16T00:56:00Z</dcterms:modified>
</cp:coreProperties>
</file>