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354D9" w14:textId="494E7758" w:rsidR="00E74A98" w:rsidRPr="002930F6" w:rsidRDefault="00E74A98" w:rsidP="000C01BF">
      <w:pPr>
        <w:ind w:left="-270" w:right="-360"/>
        <w:rPr>
          <w:rFonts w:ascii="Calibri" w:hAnsi="Calibri" w:cs="Calibri"/>
          <w:b/>
          <w:bCs/>
          <w:color w:val="215E99" w:themeColor="text2" w:themeTint="BF"/>
          <w:sz w:val="32"/>
          <w:szCs w:val="32"/>
        </w:rPr>
      </w:pPr>
      <w:r w:rsidRPr="002930F6">
        <w:rPr>
          <w:rFonts w:ascii="Calibri" w:hAnsi="Calibri" w:cs="Calibri"/>
          <w:b/>
          <w:bCs/>
          <w:color w:val="215E99" w:themeColor="text2" w:themeTint="BF"/>
          <w:sz w:val="32"/>
          <w:szCs w:val="32"/>
        </w:rPr>
        <w:t>Exponential Impact Patterns in Rural Healthcare Workforce Development: Evidence from the ReConnect Gap Year Fellowship</w:t>
      </w:r>
    </w:p>
    <w:p w14:paraId="69C195FC" w14:textId="77777777" w:rsidR="000C01BF" w:rsidRPr="000C01BF" w:rsidRDefault="000C01BF" w:rsidP="000C01BF">
      <w:pPr>
        <w:ind w:left="-360"/>
        <w:rPr>
          <w:rFonts w:ascii="Calibri" w:hAnsi="Calibri" w:cs="Calibri"/>
          <w:sz w:val="10"/>
          <w:szCs w:val="10"/>
        </w:rPr>
      </w:pPr>
    </w:p>
    <w:p w14:paraId="2F9E6C30" w14:textId="25D65B57" w:rsidR="00E74A98" w:rsidRPr="00E74A98" w:rsidRDefault="00597656" w:rsidP="000C01BF">
      <w:pPr>
        <w:ind w:left="-360"/>
        <w:rPr>
          <w:rFonts w:ascii="Calibri" w:hAnsi="Calibri" w:cs="Calibri"/>
          <w:sz w:val="22"/>
          <w:szCs w:val="22"/>
        </w:rPr>
      </w:pPr>
      <w:r w:rsidRPr="004E6315">
        <w:rPr>
          <w:rFonts w:ascii="Calibri" w:hAnsi="Calibri" w:cs="Calibri"/>
          <w:color w:val="3A3A3A" w:themeColor="background2" w:themeShade="40"/>
          <w:sz w:val="22"/>
          <w:szCs w:val="22"/>
        </w:rPr>
        <w:t xml:space="preserve"> </w:t>
      </w:r>
      <w:r w:rsidR="00E74A98" w:rsidRPr="004E6315">
        <w:rPr>
          <w:rFonts w:ascii="Calibri" w:hAnsi="Calibri" w:cs="Calibri"/>
          <w:color w:val="3A3A3A" w:themeColor="background2" w:themeShade="40"/>
          <w:sz w:val="22"/>
          <w:szCs w:val="22"/>
        </w:rPr>
        <w:t xml:space="preserve"> </w:t>
      </w:r>
      <w:r w:rsidR="00832D75" w:rsidRPr="004E6315">
        <w:rPr>
          <w:rFonts w:ascii="Calibri" w:hAnsi="Calibri" w:cs="Calibri"/>
          <w:color w:val="3A3A3A" w:themeColor="background2" w:themeShade="40"/>
          <w:sz w:val="18"/>
          <w:szCs w:val="18"/>
        </w:rPr>
        <w:t>Chris</w:t>
      </w:r>
      <w:r w:rsidR="000C01BF" w:rsidRPr="004E6315">
        <w:rPr>
          <w:rFonts w:ascii="Calibri" w:hAnsi="Calibri" w:cs="Calibri"/>
          <w:color w:val="3A3A3A" w:themeColor="background2" w:themeShade="40"/>
          <w:sz w:val="18"/>
          <w:szCs w:val="18"/>
        </w:rPr>
        <w:t>topher J. Guastaferro, MAODC | Aug 2025</w:t>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t xml:space="preserve">                             Full paper (GitHub)</w:t>
      </w:r>
    </w:p>
    <w:p w14:paraId="14F3B3A8" w14:textId="77777777" w:rsidR="000C01BF" w:rsidRDefault="000C01BF" w:rsidP="008E1714">
      <w:pPr>
        <w:spacing w:line="276" w:lineRule="auto"/>
        <w:ind w:left="-270" w:right="-650"/>
        <w:rPr>
          <w:rFonts w:ascii="Calibri" w:hAnsi="Calibri" w:cs="Calibri"/>
          <w:b/>
          <w:bCs/>
          <w:sz w:val="26"/>
          <w:szCs w:val="26"/>
        </w:rPr>
      </w:pPr>
    </w:p>
    <w:p w14:paraId="765B746B" w14:textId="07A9B790" w:rsidR="00674D6B" w:rsidRPr="0079629C" w:rsidRDefault="00674D6B" w:rsidP="008E1714">
      <w:pPr>
        <w:spacing w:line="276" w:lineRule="auto"/>
        <w:ind w:left="-270" w:right="-650"/>
        <w:rPr>
          <w:rFonts w:ascii="Calibri" w:hAnsi="Calibri" w:cs="Calibri"/>
          <w:b/>
          <w:bCs/>
          <w:color w:val="215E99" w:themeColor="text2" w:themeTint="BF"/>
          <w:sz w:val="26"/>
          <w:szCs w:val="26"/>
        </w:rPr>
      </w:pPr>
      <w:r w:rsidRPr="0079629C">
        <w:rPr>
          <w:rFonts w:ascii="Calibri" w:hAnsi="Calibri" w:cs="Calibri"/>
          <w:b/>
          <w:bCs/>
          <w:color w:val="215E99" w:themeColor="text2" w:themeTint="BF"/>
          <w:sz w:val="26"/>
          <w:szCs w:val="26"/>
        </w:rPr>
        <w:t>Executive Summary</w:t>
      </w:r>
    </w:p>
    <w:p w14:paraId="4B6FA8BD" w14:textId="77777777" w:rsidR="00CF3A83" w:rsidRPr="00CF3A83" w:rsidRDefault="00CF3A83" w:rsidP="00CF3A83">
      <w:pPr>
        <w:ind w:left="-270" w:right="-450"/>
        <w:rPr>
          <w:rFonts w:ascii="Calibri" w:hAnsi="Calibri" w:cs="Calibri"/>
          <w:sz w:val="22"/>
          <w:szCs w:val="22"/>
        </w:rPr>
      </w:pPr>
      <w:r w:rsidRPr="00CF3A83">
        <w:rPr>
          <w:rFonts w:ascii="Calibri" w:hAnsi="Calibri" w:cs="Calibri"/>
          <w:sz w:val="22"/>
          <w:szCs w:val="22"/>
        </w:rPr>
        <w:t xml:space="preserve">Rural workforce shortages persist despite decades of well-intended interventions. This mixed-methods study of the ReConnect Gap Year Fellowship (Area Health Education Center of Southwest Oregon with Aviva Health) examines whether small, purposeful touchpoints in three domains- community integration, mentorship, and clinical experience- produce exponential rather than linear gains in rural practice commitment. Polynomial models explained more variance than linear models (R² 0.318 vs. 0.245, p = 0.028), with an inflection around 6.2 touchpoints. Community integration emerged as the strongest leverage point, and high-quality touchpoints amplified effects. Interpreting this cautiously, these preliminary findings (n = 20, single-site) suggest that programs may achieve outsized gains by sequencing and elevating specific high-quality touchpoints, especially early community integration, rather than simply adding hours. </w:t>
      </w:r>
    </w:p>
    <w:p w14:paraId="641BE94A" w14:textId="63E827CF" w:rsidR="00E74A98" w:rsidRPr="00E74A98" w:rsidRDefault="00C24307" w:rsidP="00E74A98">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856999">
        <w:rPr>
          <w:rFonts w:ascii="Calibri" w:hAnsi="Calibri" w:cs="Calibri"/>
          <w:sz w:val="22"/>
          <w:szCs w:val="22"/>
        </w:rPr>
        <w:t xml:space="preserve">    </w:t>
      </w:r>
    </w:p>
    <w:p w14:paraId="7706031C" w14:textId="1C668E1D" w:rsidR="0048052F" w:rsidRPr="00B9699B" w:rsidRDefault="00F36E02" w:rsidP="008E1714">
      <w:pPr>
        <w:spacing w:line="276" w:lineRule="auto"/>
        <w:ind w:left="-270"/>
        <w:rPr>
          <w:rFonts w:ascii="Calibri" w:hAnsi="Calibri" w:cs="Calibri"/>
          <w:b/>
          <w:bCs/>
          <w:sz w:val="26"/>
          <w:szCs w:val="26"/>
        </w:rPr>
      </w:pPr>
      <w:r w:rsidRPr="0079629C">
        <w:rPr>
          <w:rFonts w:ascii="Calibri" w:hAnsi="Calibri" w:cs="Calibri"/>
          <w:noProof/>
          <w:color w:val="215E99" w:themeColor="text2" w:themeTint="BF"/>
          <w:sz w:val="26"/>
          <w:szCs w:val="26"/>
        </w:rPr>
        <w:drawing>
          <wp:anchor distT="0" distB="0" distL="114300" distR="114300" simplePos="0" relativeHeight="251660288" behindDoc="0" locked="0" layoutInCell="1" allowOverlap="1" wp14:anchorId="4053DA0F" wp14:editId="0A7C8BD7">
            <wp:simplePos x="0" y="0"/>
            <wp:positionH relativeFrom="column">
              <wp:posOffset>3176905</wp:posOffset>
            </wp:positionH>
            <wp:positionV relativeFrom="paragraph">
              <wp:posOffset>71967</wp:posOffset>
            </wp:positionV>
            <wp:extent cx="3187065" cy="1425575"/>
            <wp:effectExtent l="0" t="0" r="0" b="0"/>
            <wp:wrapSquare wrapText="bothSides"/>
            <wp:docPr id="2136209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09484" name="Picture 21362094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7065" cy="1425575"/>
                    </a:xfrm>
                    <a:prstGeom prst="rect">
                      <a:avLst/>
                    </a:prstGeom>
                  </pic:spPr>
                </pic:pic>
              </a:graphicData>
            </a:graphic>
            <wp14:sizeRelH relativeFrom="page">
              <wp14:pctWidth>0</wp14:pctWidth>
            </wp14:sizeRelH>
            <wp14:sizeRelV relativeFrom="page">
              <wp14:pctHeight>0</wp14:pctHeight>
            </wp14:sizeRelV>
          </wp:anchor>
        </w:drawing>
      </w:r>
      <w:r w:rsidR="00E74A98" w:rsidRPr="0079629C">
        <w:rPr>
          <w:rFonts w:ascii="Calibri" w:hAnsi="Calibri" w:cs="Calibri"/>
          <w:b/>
          <w:bCs/>
          <w:color w:val="215E99" w:themeColor="text2" w:themeTint="BF"/>
          <w:sz w:val="26"/>
          <w:szCs w:val="26"/>
        </w:rPr>
        <w:t xml:space="preserve">Context and </w:t>
      </w:r>
      <w:r w:rsidR="0048052F" w:rsidRPr="0079629C">
        <w:rPr>
          <w:rFonts w:ascii="Calibri" w:hAnsi="Calibri" w:cs="Calibri"/>
          <w:b/>
          <w:bCs/>
          <w:color w:val="215E99" w:themeColor="text2" w:themeTint="BF"/>
          <w:sz w:val="26"/>
          <w:szCs w:val="26"/>
        </w:rPr>
        <w:t>P</w:t>
      </w:r>
      <w:r w:rsidR="00E74A98" w:rsidRPr="0079629C">
        <w:rPr>
          <w:rFonts w:ascii="Calibri" w:hAnsi="Calibri" w:cs="Calibri"/>
          <w:b/>
          <w:bCs/>
          <w:color w:val="215E99" w:themeColor="text2" w:themeTint="BF"/>
          <w:sz w:val="26"/>
          <w:szCs w:val="26"/>
        </w:rPr>
        <w:t>urpose</w:t>
      </w:r>
      <w:r w:rsidR="00E74A98" w:rsidRPr="00B9699B">
        <w:rPr>
          <w:rFonts w:ascii="Calibri" w:hAnsi="Calibri" w:cs="Calibri"/>
          <w:b/>
          <w:bCs/>
          <w:sz w:val="26"/>
          <w:szCs w:val="26"/>
        </w:rPr>
        <w:t xml:space="preserve"> </w:t>
      </w:r>
    </w:p>
    <w:p w14:paraId="7A776CB3" w14:textId="09729D0A" w:rsidR="00594164" w:rsidRPr="00594164" w:rsidRDefault="00AD031A" w:rsidP="00594164">
      <w:pPr>
        <w:ind w:left="-270" w:right="4590"/>
        <w:rPr>
          <w:rFonts w:ascii="Calibri" w:hAnsi="Calibri" w:cs="Calibri"/>
          <w:noProof/>
          <w:sz w:val="22"/>
          <w:szCs w:val="22"/>
        </w:rPr>
      </w:pPr>
      <w:r>
        <w:rPr>
          <w:rFonts w:ascii="Calibri" w:hAnsi="Calibri" w:cs="Calibri"/>
          <w:noProof/>
          <w:sz w:val="22"/>
          <w:szCs w:val="22"/>
        </w:rPr>
        <w:drawing>
          <wp:anchor distT="0" distB="0" distL="114300" distR="114300" simplePos="0" relativeHeight="251659264" behindDoc="0" locked="0" layoutInCell="1" allowOverlap="1" wp14:anchorId="5F6AB9A1" wp14:editId="6BDCB287">
            <wp:simplePos x="0" y="0"/>
            <wp:positionH relativeFrom="column">
              <wp:posOffset>3171825</wp:posOffset>
            </wp:positionH>
            <wp:positionV relativeFrom="paragraph">
              <wp:posOffset>1698625</wp:posOffset>
            </wp:positionV>
            <wp:extent cx="3199130" cy="951865"/>
            <wp:effectExtent l="0" t="0" r="1270" b="635"/>
            <wp:wrapSquare wrapText="bothSides"/>
            <wp:docPr id="1221531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31118" name="Picture 12215311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9130" cy="95186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sz w:val="22"/>
          <w:szCs w:val="22"/>
        </w:rPr>
        <w:drawing>
          <wp:anchor distT="0" distB="0" distL="114300" distR="114300" simplePos="0" relativeHeight="251664384" behindDoc="0" locked="0" layoutInCell="1" allowOverlap="1" wp14:anchorId="0005D360" wp14:editId="5EAE894A">
            <wp:simplePos x="0" y="0"/>
            <wp:positionH relativeFrom="column">
              <wp:posOffset>3173307</wp:posOffset>
            </wp:positionH>
            <wp:positionV relativeFrom="paragraph">
              <wp:posOffset>1554480</wp:posOffset>
            </wp:positionV>
            <wp:extent cx="2224405" cy="143510"/>
            <wp:effectExtent l="0" t="0" r="0" b="0"/>
            <wp:wrapSquare wrapText="bothSides"/>
            <wp:docPr id="9897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37" name="Picture 98978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4405" cy="143510"/>
                    </a:xfrm>
                    <a:prstGeom prst="rect">
                      <a:avLst/>
                    </a:prstGeom>
                  </pic:spPr>
                </pic:pic>
              </a:graphicData>
            </a:graphic>
            <wp14:sizeRelH relativeFrom="page">
              <wp14:pctWidth>0</wp14:pctWidth>
            </wp14:sizeRelH>
            <wp14:sizeRelV relativeFrom="page">
              <wp14:pctHeight>0</wp14:pctHeight>
            </wp14:sizeRelV>
          </wp:anchor>
        </w:drawing>
      </w:r>
      <w:r w:rsidR="00F36E02" w:rsidRPr="00065EEF">
        <w:rPr>
          <w:b/>
          <w:bCs/>
          <w:noProof/>
        </w:rPr>
        <w:drawing>
          <wp:anchor distT="0" distB="0" distL="114300" distR="114300" simplePos="0" relativeHeight="251662336" behindDoc="0" locked="0" layoutInCell="1" allowOverlap="1" wp14:anchorId="7CE7C801" wp14:editId="3D87D15F">
            <wp:simplePos x="0" y="0"/>
            <wp:positionH relativeFrom="column">
              <wp:posOffset>3164840</wp:posOffset>
            </wp:positionH>
            <wp:positionV relativeFrom="paragraph">
              <wp:posOffset>3030855</wp:posOffset>
            </wp:positionV>
            <wp:extent cx="3175000" cy="720090"/>
            <wp:effectExtent l="0" t="0" r="0" b="3810"/>
            <wp:wrapSquare wrapText="bothSides"/>
            <wp:docPr id="1260754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49284" name="Picture 16703492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5000" cy="720090"/>
                    </a:xfrm>
                    <a:prstGeom prst="rect">
                      <a:avLst/>
                    </a:prstGeom>
                  </pic:spPr>
                </pic:pic>
              </a:graphicData>
            </a:graphic>
            <wp14:sizeRelH relativeFrom="page">
              <wp14:pctWidth>0</wp14:pctWidth>
            </wp14:sizeRelH>
            <wp14:sizeRelV relativeFrom="page">
              <wp14:pctHeight>0</wp14:pctHeight>
            </wp14:sizeRelV>
          </wp:anchor>
        </w:drawing>
      </w:r>
      <w:r w:rsidR="00594164" w:rsidRPr="00594164">
        <w:rPr>
          <w:rFonts w:ascii="Calibri" w:hAnsi="Calibri" w:cs="Calibri"/>
          <w:noProof/>
          <w:sz w:val="22"/>
          <w:szCs w:val="22"/>
        </w:rPr>
        <w:t>The ReConnect Gap Year Fellowship provides pre-health students in rural southwest Oregon with medical scribing and Medical Assistant opportunities, structured mentorship, and community integration experiences in RUCA 4–10 settings (Roseburg and surrounding communities). The study investigates whether compounding touchpoint mechanisms within these leverage points generate exponential gains in rural practice commitment and how programs might optimize design and resource allocation to improve intern-to-employee conversion in rural healthcare.</w:t>
      </w:r>
    </w:p>
    <w:p w14:paraId="5887BBCF" w14:textId="6DFFFE96" w:rsidR="00E74A98" w:rsidRPr="00E74A98" w:rsidRDefault="00E74A98" w:rsidP="00594164">
      <w:pPr>
        <w:ind w:left="-270" w:right="4590"/>
        <w:rPr>
          <w:rFonts w:ascii="Calibri" w:hAnsi="Calibri" w:cs="Calibri"/>
          <w:sz w:val="22"/>
          <w:szCs w:val="22"/>
        </w:rPr>
      </w:pPr>
      <w:r w:rsidRPr="00E74A98">
        <w:rPr>
          <w:rFonts w:ascii="Calibri" w:hAnsi="Calibri" w:cs="Calibri"/>
          <w:sz w:val="22"/>
          <w:szCs w:val="22"/>
        </w:rPr>
        <w:t> </w:t>
      </w:r>
    </w:p>
    <w:p w14:paraId="6A3CD2D5" w14:textId="1C5EFE9B" w:rsidR="00E74A98" w:rsidRPr="0079629C" w:rsidRDefault="00E74A98" w:rsidP="00997A81">
      <w:pPr>
        <w:spacing w:line="276" w:lineRule="auto"/>
        <w:ind w:left="-270"/>
        <w:rPr>
          <w:rFonts w:ascii="Calibri" w:hAnsi="Calibri" w:cs="Calibri"/>
          <w:b/>
          <w:bCs/>
          <w:color w:val="215E99" w:themeColor="text2" w:themeTint="BF"/>
          <w:sz w:val="26"/>
          <w:szCs w:val="26"/>
        </w:rPr>
      </w:pPr>
      <w:r w:rsidRPr="0079629C">
        <w:rPr>
          <w:rFonts w:ascii="Calibri" w:hAnsi="Calibri" w:cs="Calibri"/>
          <w:b/>
          <w:bCs/>
          <w:color w:val="215E99" w:themeColor="text2" w:themeTint="BF"/>
          <w:sz w:val="26"/>
          <w:szCs w:val="26"/>
        </w:rPr>
        <w:t xml:space="preserve">Methods at a </w:t>
      </w:r>
      <w:r w:rsidR="0048052F" w:rsidRPr="0079629C">
        <w:rPr>
          <w:rFonts w:ascii="Calibri" w:hAnsi="Calibri" w:cs="Calibri"/>
          <w:b/>
          <w:bCs/>
          <w:color w:val="215E99" w:themeColor="text2" w:themeTint="BF"/>
          <w:sz w:val="26"/>
          <w:szCs w:val="26"/>
        </w:rPr>
        <w:t>G</w:t>
      </w:r>
      <w:r w:rsidRPr="0079629C">
        <w:rPr>
          <w:rFonts w:ascii="Calibri" w:hAnsi="Calibri" w:cs="Calibri"/>
          <w:b/>
          <w:bCs/>
          <w:color w:val="215E99" w:themeColor="text2" w:themeTint="BF"/>
          <w:sz w:val="26"/>
          <w:szCs w:val="26"/>
        </w:rPr>
        <w:t>lance</w:t>
      </w:r>
    </w:p>
    <w:p w14:paraId="40E77891" w14:textId="16C2E0D2" w:rsidR="00C24307" w:rsidRDefault="00E74A98" w:rsidP="00E62DC4">
      <w:pPr>
        <w:pStyle w:val="ListParagraph"/>
        <w:ind w:left="-270" w:right="4860"/>
        <w:rPr>
          <w:rFonts w:ascii="Calibri" w:hAnsi="Calibri" w:cs="Calibri"/>
          <w:sz w:val="22"/>
          <w:szCs w:val="22"/>
        </w:rPr>
      </w:pPr>
      <w:r w:rsidRPr="00D4791A">
        <w:rPr>
          <w:rFonts w:ascii="Calibri" w:hAnsi="Calibri" w:cs="Calibri"/>
          <w:b/>
          <w:bCs/>
          <w:i/>
          <w:iCs/>
          <w:color w:val="404040" w:themeColor="text1" w:themeTint="BF"/>
          <w:sz w:val="22"/>
          <w:szCs w:val="22"/>
        </w:rPr>
        <w:t>Design:</w:t>
      </w:r>
      <w:r w:rsidRPr="00D4791A">
        <w:rPr>
          <w:rFonts w:ascii="Calibri" w:hAnsi="Calibri" w:cs="Calibri"/>
          <w:color w:val="404040" w:themeColor="text1" w:themeTint="BF"/>
          <w:sz w:val="22"/>
          <w:szCs w:val="22"/>
        </w:rPr>
        <w:t xml:space="preserve"> </w:t>
      </w:r>
      <w:r w:rsidRPr="00AC0BF3">
        <w:rPr>
          <w:rFonts w:ascii="Calibri" w:hAnsi="Calibri" w:cs="Calibri"/>
          <w:sz w:val="22"/>
          <w:szCs w:val="22"/>
        </w:rPr>
        <w:t>Mixed-methods analysis of existing survey data and program documentation, with IRB approval</w:t>
      </w:r>
      <w:r w:rsidR="00DE6875">
        <w:rPr>
          <w:rFonts w:ascii="Calibri" w:hAnsi="Calibri" w:cs="Calibri"/>
          <w:sz w:val="22"/>
          <w:szCs w:val="22"/>
        </w:rPr>
        <w:t>.</w:t>
      </w:r>
    </w:p>
    <w:p w14:paraId="4E49DCAC" w14:textId="1E350F71" w:rsidR="006159E0" w:rsidRPr="006159E0" w:rsidRDefault="006159E0" w:rsidP="00E62DC4">
      <w:pPr>
        <w:ind w:left="-270" w:right="4860"/>
        <w:rPr>
          <w:rFonts w:ascii="Calibri" w:hAnsi="Calibri" w:cs="Calibri"/>
          <w:sz w:val="10"/>
          <w:szCs w:val="10"/>
        </w:rPr>
      </w:pPr>
    </w:p>
    <w:p w14:paraId="7B613664" w14:textId="138FDF3E" w:rsidR="00C24307" w:rsidRDefault="002264C7" w:rsidP="00E62DC4">
      <w:pPr>
        <w:pStyle w:val="ListParagraph"/>
        <w:ind w:left="-270" w:right="4860"/>
        <w:rPr>
          <w:rFonts w:ascii="Calibri" w:hAnsi="Calibri" w:cs="Calibri"/>
          <w:sz w:val="22"/>
          <w:szCs w:val="22"/>
        </w:rPr>
      </w:pPr>
      <w:r w:rsidRPr="00D4791A">
        <w:rPr>
          <w:rFonts w:ascii="Calibri" w:hAnsi="Calibri" w:cs="Calibri"/>
          <w:i/>
          <w:iCs/>
          <w:noProof/>
          <w:color w:val="404040" w:themeColor="text1" w:themeTint="BF"/>
          <w:sz w:val="22"/>
          <w:szCs w:val="22"/>
        </w:rPr>
        <w:drawing>
          <wp:anchor distT="0" distB="0" distL="114300" distR="114300" simplePos="0" relativeHeight="251663360" behindDoc="0" locked="0" layoutInCell="1" allowOverlap="1" wp14:anchorId="3BE840BF" wp14:editId="6E09C1CB">
            <wp:simplePos x="0" y="0"/>
            <wp:positionH relativeFrom="column">
              <wp:posOffset>3164840</wp:posOffset>
            </wp:positionH>
            <wp:positionV relativeFrom="paragraph">
              <wp:posOffset>22001</wp:posOffset>
            </wp:positionV>
            <wp:extent cx="1176655" cy="112395"/>
            <wp:effectExtent l="0" t="0" r="4445" b="1905"/>
            <wp:wrapSquare wrapText="bothSides"/>
            <wp:docPr id="1993318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18263" name="Picture 19933182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6655" cy="112395"/>
                    </a:xfrm>
                    <a:prstGeom prst="rect">
                      <a:avLst/>
                    </a:prstGeom>
                  </pic:spPr>
                </pic:pic>
              </a:graphicData>
            </a:graphic>
            <wp14:sizeRelH relativeFrom="page">
              <wp14:pctWidth>0</wp14:pctWidth>
            </wp14:sizeRelH>
            <wp14:sizeRelV relativeFrom="page">
              <wp14:pctHeight>0</wp14:pctHeight>
            </wp14:sizeRelV>
          </wp:anchor>
        </w:drawing>
      </w:r>
      <w:r w:rsidR="00E74A98" w:rsidRPr="00D4791A">
        <w:rPr>
          <w:rFonts w:ascii="Calibri" w:hAnsi="Calibri" w:cs="Calibri"/>
          <w:b/>
          <w:bCs/>
          <w:i/>
          <w:iCs/>
          <w:color w:val="404040" w:themeColor="text1" w:themeTint="BF"/>
          <w:sz w:val="22"/>
          <w:szCs w:val="22"/>
        </w:rPr>
        <w:t>Sample:</w:t>
      </w:r>
      <w:r w:rsidR="00E74A98" w:rsidRPr="00D4791A">
        <w:rPr>
          <w:rFonts w:ascii="Calibri" w:hAnsi="Calibri" w:cs="Calibri"/>
          <w:color w:val="404040" w:themeColor="text1" w:themeTint="BF"/>
          <w:sz w:val="22"/>
          <w:szCs w:val="22"/>
        </w:rPr>
        <w:t xml:space="preserve"> </w:t>
      </w:r>
      <w:r w:rsidR="00E74A98" w:rsidRPr="00C24307">
        <w:rPr>
          <w:rFonts w:ascii="Calibri" w:hAnsi="Calibri" w:cs="Calibri"/>
          <w:sz w:val="22"/>
          <w:szCs w:val="22"/>
        </w:rPr>
        <w:t>20 ReConnect Fellows across 2017–2024; average lifetime rural residence 54</w:t>
      </w:r>
      <w:r w:rsidR="006A6530">
        <w:rPr>
          <w:rFonts w:ascii="Calibri" w:hAnsi="Calibri" w:cs="Calibri"/>
          <w:sz w:val="22"/>
          <w:szCs w:val="22"/>
        </w:rPr>
        <w:t>%</w:t>
      </w:r>
      <w:r w:rsidR="00E74A98" w:rsidRPr="00C24307">
        <w:rPr>
          <w:rFonts w:ascii="Calibri" w:hAnsi="Calibri" w:cs="Calibri"/>
          <w:sz w:val="22"/>
          <w:szCs w:val="22"/>
        </w:rPr>
        <w:t xml:space="preserve">; participants included current fellows, medical students, residents, and practicing physicians in rural Oregon.  </w:t>
      </w:r>
    </w:p>
    <w:p w14:paraId="087F21D8" w14:textId="77777777" w:rsidR="006159E0" w:rsidRPr="006159E0" w:rsidRDefault="006159E0" w:rsidP="00E62DC4">
      <w:pPr>
        <w:ind w:left="-270" w:right="4860"/>
        <w:rPr>
          <w:rFonts w:ascii="Calibri" w:hAnsi="Calibri" w:cs="Calibri"/>
          <w:sz w:val="10"/>
          <w:szCs w:val="10"/>
        </w:rPr>
      </w:pPr>
    </w:p>
    <w:p w14:paraId="47D2D8C0" w14:textId="77777777" w:rsidR="00C24307" w:rsidRDefault="00E74A98" w:rsidP="00E62DC4">
      <w:pPr>
        <w:pStyle w:val="ListParagraph"/>
        <w:ind w:left="-270" w:right="180"/>
        <w:rPr>
          <w:rFonts w:ascii="Calibri" w:hAnsi="Calibri" w:cs="Calibri"/>
          <w:sz w:val="22"/>
          <w:szCs w:val="22"/>
        </w:rPr>
      </w:pPr>
      <w:r w:rsidRPr="00D4791A">
        <w:rPr>
          <w:rFonts w:ascii="Calibri" w:hAnsi="Calibri" w:cs="Calibri"/>
          <w:b/>
          <w:bCs/>
          <w:i/>
          <w:iCs/>
          <w:color w:val="404040" w:themeColor="text1" w:themeTint="BF"/>
          <w:sz w:val="22"/>
          <w:szCs w:val="22"/>
        </w:rPr>
        <w:t>Measures:</w:t>
      </w:r>
      <w:r w:rsidRPr="00D4791A">
        <w:rPr>
          <w:rFonts w:ascii="Calibri" w:hAnsi="Calibri" w:cs="Calibri"/>
          <w:color w:val="404040" w:themeColor="text1" w:themeTint="BF"/>
          <w:sz w:val="22"/>
          <w:szCs w:val="22"/>
        </w:rPr>
        <w:t xml:space="preserve"> </w:t>
      </w:r>
      <w:r w:rsidRPr="00C24307">
        <w:rPr>
          <w:rFonts w:ascii="Calibri" w:hAnsi="Calibri" w:cs="Calibri"/>
          <w:sz w:val="22"/>
          <w:szCs w:val="22"/>
        </w:rPr>
        <w:t xml:space="preserve">Rural practice commitment composite (3–30; α = 0.87); touchpoint frequency within three leverage points (community integration, mentorship, clinical); touchpoint quality (1–10); transformative indicators (aha moments, pattern recognition, lasting change).  </w:t>
      </w:r>
    </w:p>
    <w:p w14:paraId="1616E3E3" w14:textId="77777777" w:rsidR="006159E0" w:rsidRPr="006159E0" w:rsidRDefault="006159E0" w:rsidP="00E62DC4">
      <w:pPr>
        <w:ind w:left="-270" w:right="180"/>
        <w:rPr>
          <w:rFonts w:ascii="Calibri" w:hAnsi="Calibri" w:cs="Calibri"/>
          <w:sz w:val="10"/>
          <w:szCs w:val="10"/>
        </w:rPr>
      </w:pPr>
    </w:p>
    <w:p w14:paraId="0A14BE85" w14:textId="7C9A5599" w:rsidR="00E74A98" w:rsidRPr="00C24307" w:rsidRDefault="00E74A98" w:rsidP="00E62DC4">
      <w:pPr>
        <w:pStyle w:val="ListParagraph"/>
        <w:ind w:left="-270" w:right="180"/>
        <w:rPr>
          <w:rFonts w:ascii="Calibri" w:hAnsi="Calibri" w:cs="Calibri"/>
          <w:sz w:val="22"/>
          <w:szCs w:val="22"/>
        </w:rPr>
      </w:pPr>
      <w:r w:rsidRPr="00D4791A">
        <w:rPr>
          <w:rFonts w:ascii="Calibri" w:hAnsi="Calibri" w:cs="Calibri"/>
          <w:b/>
          <w:bCs/>
          <w:i/>
          <w:iCs/>
          <w:color w:val="404040" w:themeColor="text1" w:themeTint="BF"/>
          <w:sz w:val="22"/>
          <w:szCs w:val="22"/>
        </w:rPr>
        <w:t>Analysis:</w:t>
      </w:r>
      <w:r w:rsidRPr="00D4791A">
        <w:rPr>
          <w:rFonts w:ascii="Calibri" w:hAnsi="Calibri" w:cs="Calibri"/>
          <w:color w:val="404040" w:themeColor="text1" w:themeTint="BF"/>
          <w:sz w:val="22"/>
          <w:szCs w:val="22"/>
        </w:rPr>
        <w:t xml:space="preserve"> </w:t>
      </w:r>
      <w:r w:rsidRPr="00C24307">
        <w:rPr>
          <w:rFonts w:ascii="Calibri" w:hAnsi="Calibri" w:cs="Calibri"/>
          <w:sz w:val="22"/>
          <w:szCs w:val="22"/>
        </w:rPr>
        <w:t>Linear vs. polynomial regression with R² change and F-tests; changepoint threshold detection; Cohen’s f²; moderated regression for quality-by-frequency; synergy tests; 1,000-iteration bootstrap with BCa intervals; thematic analysis of open-ended responses. Software: R 4.3.2 with base, changepoint, boot. </w:t>
      </w:r>
    </w:p>
    <w:p w14:paraId="3154627B" w14:textId="35795092" w:rsidR="00E74A98" w:rsidRPr="00E74A98" w:rsidRDefault="00E74A98" w:rsidP="00AC0BF3">
      <w:pPr>
        <w:ind w:left="720" w:right="4210"/>
        <w:rPr>
          <w:rFonts w:ascii="Calibri" w:hAnsi="Calibri" w:cs="Calibri"/>
          <w:sz w:val="22"/>
          <w:szCs w:val="22"/>
        </w:rPr>
      </w:pPr>
      <w:r w:rsidRPr="00E74A98">
        <w:rPr>
          <w:rFonts w:ascii="Calibri" w:hAnsi="Calibri" w:cs="Calibri"/>
          <w:sz w:val="22"/>
          <w:szCs w:val="22"/>
        </w:rPr>
        <w:t xml:space="preserve"> </w:t>
      </w:r>
    </w:p>
    <w:p w14:paraId="0D52C647" w14:textId="4B2E1301" w:rsidR="00E74A98" w:rsidRPr="0079629C" w:rsidRDefault="00E74A98" w:rsidP="00997A81">
      <w:pPr>
        <w:spacing w:line="276" w:lineRule="auto"/>
        <w:ind w:left="-360"/>
        <w:rPr>
          <w:rFonts w:ascii="Calibri" w:hAnsi="Calibri" w:cs="Calibri"/>
          <w:b/>
          <w:bCs/>
          <w:color w:val="215E99" w:themeColor="text2" w:themeTint="BF"/>
          <w:sz w:val="26"/>
          <w:szCs w:val="26"/>
        </w:rPr>
      </w:pPr>
      <w:r w:rsidRPr="0079629C">
        <w:rPr>
          <w:rFonts w:ascii="Calibri" w:hAnsi="Calibri" w:cs="Calibri"/>
          <w:b/>
          <w:bCs/>
          <w:color w:val="215E99" w:themeColor="text2" w:themeTint="BF"/>
          <w:sz w:val="26"/>
          <w:szCs w:val="26"/>
        </w:rPr>
        <w:t xml:space="preserve">Key </w:t>
      </w:r>
      <w:r w:rsidR="0048052F" w:rsidRPr="0079629C">
        <w:rPr>
          <w:rFonts w:ascii="Calibri" w:hAnsi="Calibri" w:cs="Calibri"/>
          <w:b/>
          <w:bCs/>
          <w:color w:val="215E99" w:themeColor="text2" w:themeTint="BF"/>
          <w:sz w:val="26"/>
          <w:szCs w:val="26"/>
        </w:rPr>
        <w:t>F</w:t>
      </w:r>
      <w:r w:rsidRPr="0079629C">
        <w:rPr>
          <w:rFonts w:ascii="Calibri" w:hAnsi="Calibri" w:cs="Calibri"/>
          <w:b/>
          <w:bCs/>
          <w:color w:val="215E99" w:themeColor="text2" w:themeTint="BF"/>
          <w:sz w:val="26"/>
          <w:szCs w:val="26"/>
        </w:rPr>
        <w:t>indings</w:t>
      </w:r>
    </w:p>
    <w:p w14:paraId="6E1E04E7" w14:textId="3F0EEDBF" w:rsidR="00065EEF" w:rsidRPr="00063EB0" w:rsidRDefault="00E74A98" w:rsidP="00900A6A">
      <w:pPr>
        <w:pStyle w:val="ListParagraph"/>
        <w:numPr>
          <w:ilvl w:val="0"/>
          <w:numId w:val="9"/>
        </w:numPr>
        <w:ind w:left="0" w:right="-270" w:hanging="270"/>
        <w:rPr>
          <w:rFonts w:ascii="Calibri" w:hAnsi="Calibri" w:cs="Calibri"/>
          <w:b/>
          <w:bCs/>
          <w:color w:val="404040" w:themeColor="text1" w:themeTint="BF"/>
          <w:sz w:val="22"/>
          <w:szCs w:val="22"/>
        </w:rPr>
      </w:pPr>
      <w:r w:rsidRPr="00063EB0">
        <w:rPr>
          <w:rFonts w:ascii="Calibri" w:hAnsi="Calibri" w:cs="Calibri"/>
          <w:b/>
          <w:bCs/>
          <w:color w:val="404040" w:themeColor="text1" w:themeTint="BF"/>
          <w:sz w:val="22"/>
          <w:szCs w:val="22"/>
        </w:rPr>
        <w:t xml:space="preserve">Exponential </w:t>
      </w:r>
      <w:r w:rsidR="00065EEF" w:rsidRPr="00063EB0">
        <w:rPr>
          <w:rFonts w:ascii="Calibri" w:hAnsi="Calibri" w:cs="Calibri"/>
          <w:b/>
          <w:bCs/>
          <w:color w:val="404040" w:themeColor="text1" w:themeTint="BF"/>
          <w:sz w:val="22"/>
          <w:szCs w:val="22"/>
        </w:rPr>
        <w:t>P</w:t>
      </w:r>
      <w:r w:rsidRPr="00063EB0">
        <w:rPr>
          <w:rFonts w:ascii="Calibri" w:hAnsi="Calibri" w:cs="Calibri"/>
          <w:b/>
          <w:bCs/>
          <w:color w:val="404040" w:themeColor="text1" w:themeTint="BF"/>
          <w:sz w:val="22"/>
          <w:szCs w:val="22"/>
        </w:rPr>
        <w:t xml:space="preserve">attern and </w:t>
      </w:r>
      <w:r w:rsidR="00065EEF" w:rsidRPr="00063EB0">
        <w:rPr>
          <w:rFonts w:ascii="Calibri" w:hAnsi="Calibri" w:cs="Calibri"/>
          <w:b/>
          <w:bCs/>
          <w:color w:val="404040" w:themeColor="text1" w:themeTint="BF"/>
          <w:sz w:val="22"/>
          <w:szCs w:val="22"/>
        </w:rPr>
        <w:t>T</w:t>
      </w:r>
      <w:r w:rsidRPr="00063EB0">
        <w:rPr>
          <w:rFonts w:ascii="Calibri" w:hAnsi="Calibri" w:cs="Calibri"/>
          <w:b/>
          <w:bCs/>
          <w:color w:val="404040" w:themeColor="text1" w:themeTint="BF"/>
          <w:sz w:val="22"/>
          <w:szCs w:val="22"/>
        </w:rPr>
        <w:t xml:space="preserve">hreshold </w:t>
      </w:r>
    </w:p>
    <w:p w14:paraId="7AC367C7" w14:textId="53408AEA" w:rsidR="00C24307" w:rsidRDefault="00E74A98" w:rsidP="00900A6A">
      <w:pPr>
        <w:pStyle w:val="ListParagraph"/>
        <w:ind w:left="0" w:right="-270"/>
        <w:rPr>
          <w:rFonts w:ascii="Calibri" w:hAnsi="Calibri" w:cs="Calibri"/>
          <w:sz w:val="22"/>
          <w:szCs w:val="22"/>
        </w:rPr>
      </w:pPr>
      <w:r w:rsidRPr="00C24307">
        <w:rPr>
          <w:rFonts w:ascii="Calibri" w:hAnsi="Calibri" w:cs="Calibri"/>
          <w:sz w:val="22"/>
          <w:szCs w:val="22"/>
        </w:rPr>
        <w:t xml:space="preserve">Polynomial models outperformed linear models (R² 0.318 vs. 0.245; F = 3.85; p = 0.028). A critical inflection occurred at approximately 6.2 touchpoints. Across bootstrap samples, thresholds clustered </w:t>
      </w:r>
      <w:r w:rsidRPr="00C24307">
        <w:rPr>
          <w:rFonts w:ascii="Calibri" w:hAnsi="Calibri" w:cs="Calibri"/>
          <w:sz w:val="22"/>
          <w:szCs w:val="22"/>
        </w:rPr>
        <w:lastRenderedPageBreak/>
        <w:t xml:space="preserve">between 5.8 and 6.6, indicating pattern stability despite the small n. Interpreting this cautiously, programs may benefit when participants accumulate around six or more high-quality touchpoints per leverage point. </w:t>
      </w:r>
    </w:p>
    <w:p w14:paraId="2354A8DE" w14:textId="77777777" w:rsidR="00173394" w:rsidRPr="00173394" w:rsidRDefault="00173394" w:rsidP="00900A6A">
      <w:pPr>
        <w:pStyle w:val="ListParagraph"/>
        <w:ind w:left="0" w:right="-270"/>
        <w:rPr>
          <w:rFonts w:ascii="Calibri" w:hAnsi="Calibri" w:cs="Calibri"/>
          <w:sz w:val="10"/>
          <w:szCs w:val="10"/>
        </w:rPr>
      </w:pPr>
    </w:p>
    <w:p w14:paraId="31D7AEF8" w14:textId="1A0DA574" w:rsidR="00855293" w:rsidRPr="00063EB0" w:rsidRDefault="00E74A98" w:rsidP="00900A6A">
      <w:pPr>
        <w:pStyle w:val="ListParagraph"/>
        <w:numPr>
          <w:ilvl w:val="0"/>
          <w:numId w:val="9"/>
        </w:numPr>
        <w:ind w:left="0" w:right="-270" w:hanging="270"/>
        <w:rPr>
          <w:rFonts w:ascii="Calibri" w:hAnsi="Calibri" w:cs="Calibri"/>
          <w:b/>
          <w:bCs/>
          <w:color w:val="404040" w:themeColor="text1" w:themeTint="BF"/>
          <w:sz w:val="22"/>
          <w:szCs w:val="22"/>
        </w:rPr>
      </w:pPr>
      <w:r w:rsidRPr="00063EB0">
        <w:rPr>
          <w:rFonts w:ascii="Calibri" w:hAnsi="Calibri" w:cs="Calibri"/>
          <w:b/>
          <w:bCs/>
          <w:color w:val="404040" w:themeColor="text1" w:themeTint="BF"/>
          <w:sz w:val="22"/>
          <w:szCs w:val="22"/>
        </w:rPr>
        <w:t xml:space="preserve">Strongest </w:t>
      </w:r>
      <w:r w:rsidR="00855293" w:rsidRPr="00063EB0">
        <w:rPr>
          <w:rFonts w:ascii="Calibri" w:hAnsi="Calibri" w:cs="Calibri"/>
          <w:b/>
          <w:bCs/>
          <w:color w:val="404040" w:themeColor="text1" w:themeTint="BF"/>
          <w:sz w:val="22"/>
          <w:szCs w:val="22"/>
        </w:rPr>
        <w:t>L</w:t>
      </w:r>
      <w:r w:rsidRPr="00063EB0">
        <w:rPr>
          <w:rFonts w:ascii="Calibri" w:hAnsi="Calibri" w:cs="Calibri"/>
          <w:b/>
          <w:bCs/>
          <w:color w:val="404040" w:themeColor="text1" w:themeTint="BF"/>
          <w:sz w:val="22"/>
          <w:szCs w:val="22"/>
        </w:rPr>
        <w:t xml:space="preserve">everage </w:t>
      </w:r>
      <w:r w:rsidR="00855293" w:rsidRPr="00063EB0">
        <w:rPr>
          <w:rFonts w:ascii="Calibri" w:hAnsi="Calibri" w:cs="Calibri"/>
          <w:b/>
          <w:bCs/>
          <w:color w:val="404040" w:themeColor="text1" w:themeTint="BF"/>
          <w:sz w:val="22"/>
          <w:szCs w:val="22"/>
        </w:rPr>
        <w:t>P</w:t>
      </w:r>
      <w:r w:rsidRPr="00063EB0">
        <w:rPr>
          <w:rFonts w:ascii="Calibri" w:hAnsi="Calibri" w:cs="Calibri"/>
          <w:b/>
          <w:bCs/>
          <w:color w:val="404040" w:themeColor="text1" w:themeTint="BF"/>
          <w:sz w:val="22"/>
          <w:szCs w:val="22"/>
        </w:rPr>
        <w:t xml:space="preserve">oint </w:t>
      </w:r>
    </w:p>
    <w:p w14:paraId="4E499E0D" w14:textId="30A04F2C" w:rsidR="00173394" w:rsidRDefault="00E74A98" w:rsidP="00900A6A">
      <w:pPr>
        <w:pStyle w:val="ListParagraph"/>
        <w:ind w:left="0" w:right="-270"/>
        <w:rPr>
          <w:rFonts w:ascii="Calibri" w:hAnsi="Calibri" w:cs="Calibri"/>
          <w:sz w:val="22"/>
          <w:szCs w:val="22"/>
        </w:rPr>
      </w:pPr>
      <w:r w:rsidRPr="00C24307">
        <w:rPr>
          <w:rFonts w:ascii="Calibri" w:hAnsi="Calibri" w:cs="Calibri"/>
          <w:sz w:val="22"/>
          <w:szCs w:val="22"/>
        </w:rPr>
        <w:t xml:space="preserve">Community integration showed the strongest association with increased commitment (f² = 0.216), exceeding mentorship (f² = 0.128) and clinical experience (f² = 0.079). This reverses common assumptions that clinical exposure is the primary driver and suggests that authentic community connection is a disproportionately powerful mechanism.  </w:t>
      </w:r>
    </w:p>
    <w:p w14:paraId="4C28305A" w14:textId="77777777" w:rsidR="00173394" w:rsidRPr="00173394" w:rsidRDefault="00173394" w:rsidP="00900A6A">
      <w:pPr>
        <w:pStyle w:val="ListParagraph"/>
        <w:ind w:left="0" w:right="-270"/>
        <w:rPr>
          <w:rFonts w:ascii="Calibri" w:hAnsi="Calibri" w:cs="Calibri"/>
          <w:sz w:val="10"/>
          <w:szCs w:val="10"/>
        </w:rPr>
      </w:pPr>
    </w:p>
    <w:p w14:paraId="1CDC90B0" w14:textId="5BAE5A75" w:rsidR="00855293" w:rsidRPr="00063EB0" w:rsidRDefault="00E74A98" w:rsidP="00900A6A">
      <w:pPr>
        <w:pStyle w:val="ListParagraph"/>
        <w:numPr>
          <w:ilvl w:val="0"/>
          <w:numId w:val="9"/>
        </w:numPr>
        <w:ind w:left="0" w:right="-270" w:hanging="270"/>
        <w:rPr>
          <w:rFonts w:ascii="Calibri" w:hAnsi="Calibri" w:cs="Calibri"/>
          <w:b/>
          <w:bCs/>
          <w:color w:val="404040" w:themeColor="text1" w:themeTint="BF"/>
          <w:sz w:val="22"/>
          <w:szCs w:val="22"/>
        </w:rPr>
      </w:pPr>
      <w:r w:rsidRPr="00063EB0">
        <w:rPr>
          <w:rFonts w:ascii="Calibri" w:hAnsi="Calibri" w:cs="Calibri"/>
          <w:b/>
          <w:bCs/>
          <w:color w:val="404040" w:themeColor="text1" w:themeTint="BF"/>
          <w:sz w:val="22"/>
          <w:szCs w:val="22"/>
        </w:rPr>
        <w:t xml:space="preserve">Quality </w:t>
      </w:r>
      <w:r w:rsidR="00855293" w:rsidRPr="00063EB0">
        <w:rPr>
          <w:rFonts w:ascii="Calibri" w:hAnsi="Calibri" w:cs="Calibri"/>
          <w:b/>
          <w:bCs/>
          <w:color w:val="404040" w:themeColor="text1" w:themeTint="BF"/>
          <w:sz w:val="22"/>
          <w:szCs w:val="22"/>
        </w:rPr>
        <w:t>M</w:t>
      </w:r>
      <w:r w:rsidRPr="00063EB0">
        <w:rPr>
          <w:rFonts w:ascii="Calibri" w:hAnsi="Calibri" w:cs="Calibri"/>
          <w:b/>
          <w:bCs/>
          <w:color w:val="404040" w:themeColor="text1" w:themeTint="BF"/>
          <w:sz w:val="22"/>
          <w:szCs w:val="22"/>
        </w:rPr>
        <w:t xml:space="preserve">ultiplier and </w:t>
      </w:r>
      <w:r w:rsidR="00855293" w:rsidRPr="00063EB0">
        <w:rPr>
          <w:rFonts w:ascii="Calibri" w:hAnsi="Calibri" w:cs="Calibri"/>
          <w:b/>
          <w:bCs/>
          <w:color w:val="404040" w:themeColor="text1" w:themeTint="BF"/>
          <w:sz w:val="22"/>
          <w:szCs w:val="22"/>
        </w:rPr>
        <w:t>S</w:t>
      </w:r>
      <w:r w:rsidRPr="00063EB0">
        <w:rPr>
          <w:rFonts w:ascii="Calibri" w:hAnsi="Calibri" w:cs="Calibri"/>
          <w:b/>
          <w:bCs/>
          <w:color w:val="404040" w:themeColor="text1" w:themeTint="BF"/>
          <w:sz w:val="22"/>
          <w:szCs w:val="22"/>
        </w:rPr>
        <w:t>ynergy</w:t>
      </w:r>
    </w:p>
    <w:p w14:paraId="4A2593A0" w14:textId="1346C412" w:rsidR="00C24307" w:rsidRDefault="00E74A98" w:rsidP="00900A6A">
      <w:pPr>
        <w:pStyle w:val="ListParagraph"/>
        <w:ind w:left="0" w:right="-270"/>
        <w:rPr>
          <w:rFonts w:ascii="Calibri" w:hAnsi="Calibri" w:cs="Calibri"/>
          <w:sz w:val="22"/>
          <w:szCs w:val="22"/>
        </w:rPr>
      </w:pPr>
      <w:r w:rsidRPr="00C24307">
        <w:rPr>
          <w:rFonts w:ascii="Calibri" w:hAnsi="Calibri" w:cs="Calibri"/>
          <w:sz w:val="22"/>
          <w:szCs w:val="22"/>
        </w:rPr>
        <w:t xml:space="preserve">High-quality touchpoints (rating ≥ 7) amplified the effect of frequency with an estimated 2.67 times multiplier. When touchpoints spanned multiple leverage points, combined effects exceeded additive predictions by 85 percent, consistent with synergy. This implies that diversifying touchpoints across domains and elevating quality may unlock compounding gains.  </w:t>
      </w:r>
    </w:p>
    <w:p w14:paraId="640EB20B" w14:textId="77777777" w:rsidR="00173394" w:rsidRPr="00173394" w:rsidRDefault="00173394" w:rsidP="00900A6A">
      <w:pPr>
        <w:pStyle w:val="ListParagraph"/>
        <w:ind w:left="0" w:right="-270"/>
        <w:rPr>
          <w:rFonts w:ascii="Calibri" w:hAnsi="Calibri" w:cs="Calibri"/>
          <w:sz w:val="10"/>
          <w:szCs w:val="10"/>
        </w:rPr>
      </w:pPr>
    </w:p>
    <w:p w14:paraId="2D1F9482" w14:textId="68EF9D6E" w:rsidR="00173394" w:rsidRPr="00063EB0" w:rsidRDefault="00E74A98" w:rsidP="00900A6A">
      <w:pPr>
        <w:pStyle w:val="ListParagraph"/>
        <w:numPr>
          <w:ilvl w:val="0"/>
          <w:numId w:val="9"/>
        </w:numPr>
        <w:ind w:left="0" w:right="-270" w:hanging="270"/>
        <w:rPr>
          <w:rFonts w:ascii="Calibri" w:hAnsi="Calibri" w:cs="Calibri"/>
          <w:b/>
          <w:bCs/>
          <w:color w:val="404040" w:themeColor="text1" w:themeTint="BF"/>
          <w:sz w:val="22"/>
          <w:szCs w:val="22"/>
        </w:rPr>
      </w:pPr>
      <w:r w:rsidRPr="00063EB0">
        <w:rPr>
          <w:rFonts w:ascii="Calibri" w:hAnsi="Calibri" w:cs="Calibri"/>
          <w:b/>
          <w:bCs/>
          <w:color w:val="404040" w:themeColor="text1" w:themeTint="BF"/>
          <w:sz w:val="22"/>
          <w:szCs w:val="22"/>
        </w:rPr>
        <w:t xml:space="preserve">Framework and </w:t>
      </w:r>
      <w:r w:rsidR="00173394" w:rsidRPr="00063EB0">
        <w:rPr>
          <w:rFonts w:ascii="Calibri" w:hAnsi="Calibri" w:cs="Calibri"/>
          <w:b/>
          <w:bCs/>
          <w:color w:val="404040" w:themeColor="text1" w:themeTint="BF"/>
          <w:sz w:val="22"/>
          <w:szCs w:val="22"/>
        </w:rPr>
        <w:t>P</w:t>
      </w:r>
      <w:r w:rsidRPr="00063EB0">
        <w:rPr>
          <w:rFonts w:ascii="Calibri" w:hAnsi="Calibri" w:cs="Calibri"/>
          <w:b/>
          <w:bCs/>
          <w:color w:val="404040" w:themeColor="text1" w:themeTint="BF"/>
          <w:sz w:val="22"/>
          <w:szCs w:val="22"/>
        </w:rPr>
        <w:t xml:space="preserve">reliminary </w:t>
      </w:r>
      <w:r w:rsidR="00173394" w:rsidRPr="00063EB0">
        <w:rPr>
          <w:rFonts w:ascii="Calibri" w:hAnsi="Calibri" w:cs="Calibri"/>
          <w:b/>
          <w:bCs/>
          <w:color w:val="404040" w:themeColor="text1" w:themeTint="BF"/>
          <w:sz w:val="22"/>
          <w:szCs w:val="22"/>
        </w:rPr>
        <w:t>A</w:t>
      </w:r>
      <w:r w:rsidRPr="00063EB0">
        <w:rPr>
          <w:rFonts w:ascii="Calibri" w:hAnsi="Calibri" w:cs="Calibri"/>
          <w:b/>
          <w:bCs/>
          <w:color w:val="404040" w:themeColor="text1" w:themeTint="BF"/>
          <w:sz w:val="22"/>
          <w:szCs w:val="22"/>
        </w:rPr>
        <w:t xml:space="preserve">llocation </w:t>
      </w:r>
      <w:r w:rsidR="00173394" w:rsidRPr="00063EB0">
        <w:rPr>
          <w:rFonts w:ascii="Calibri" w:hAnsi="Calibri" w:cs="Calibri"/>
          <w:b/>
          <w:bCs/>
          <w:color w:val="404040" w:themeColor="text1" w:themeTint="BF"/>
          <w:sz w:val="22"/>
          <w:szCs w:val="22"/>
        </w:rPr>
        <w:t>G</w:t>
      </w:r>
      <w:r w:rsidRPr="00063EB0">
        <w:rPr>
          <w:rFonts w:ascii="Calibri" w:hAnsi="Calibri" w:cs="Calibri"/>
          <w:b/>
          <w:bCs/>
          <w:color w:val="404040" w:themeColor="text1" w:themeTint="BF"/>
          <w:sz w:val="22"/>
          <w:szCs w:val="22"/>
        </w:rPr>
        <w:t>uidance</w:t>
      </w:r>
    </w:p>
    <w:p w14:paraId="3B05FDFC" w14:textId="608017D8" w:rsidR="00E74A98" w:rsidRPr="00C24307" w:rsidRDefault="00E74A98" w:rsidP="00900A6A">
      <w:pPr>
        <w:pStyle w:val="ListParagraph"/>
        <w:ind w:left="0" w:right="-270"/>
        <w:rPr>
          <w:rFonts w:ascii="Calibri" w:hAnsi="Calibri" w:cs="Calibri"/>
          <w:sz w:val="22"/>
          <w:szCs w:val="22"/>
        </w:rPr>
      </w:pPr>
      <w:r w:rsidRPr="00C24307">
        <w:rPr>
          <w:rFonts w:ascii="Calibri" w:hAnsi="Calibri" w:cs="Calibri"/>
          <w:sz w:val="22"/>
          <w:szCs w:val="22"/>
        </w:rPr>
        <w:t xml:space="preserve">The Touchpoint Taxonomy Framework proposes a three-level structure (leverage points, subcategories, and quality dimensions) and suggests a preliminary resource distribution emphasizing community integration (51.2 percent), mentorship (30.4 percent), and clinical experience (18.4 percent). This is a starting point for local testing rather than a prescriptive rule.  </w:t>
      </w:r>
    </w:p>
    <w:p w14:paraId="4272BC66" w14:textId="77777777" w:rsidR="00E74A98" w:rsidRDefault="00E74A98" w:rsidP="00900A6A">
      <w:pPr>
        <w:ind w:left="-360" w:right="-270"/>
        <w:rPr>
          <w:rFonts w:ascii="Calibri" w:hAnsi="Calibri" w:cs="Calibri"/>
          <w:sz w:val="22"/>
          <w:szCs w:val="22"/>
        </w:rPr>
      </w:pPr>
    </w:p>
    <w:p w14:paraId="6FED8B7A" w14:textId="5C3A30C5" w:rsidR="00E74A98" w:rsidRPr="0079629C" w:rsidRDefault="00E74A98" w:rsidP="00997A81">
      <w:pPr>
        <w:spacing w:line="276" w:lineRule="auto"/>
        <w:ind w:left="-360" w:right="-270"/>
        <w:rPr>
          <w:rFonts w:ascii="Calibri" w:hAnsi="Calibri" w:cs="Calibri"/>
          <w:b/>
          <w:bCs/>
          <w:color w:val="215E99" w:themeColor="text2" w:themeTint="BF"/>
          <w:sz w:val="26"/>
          <w:szCs w:val="26"/>
        </w:rPr>
      </w:pPr>
      <w:r w:rsidRPr="0079629C">
        <w:rPr>
          <w:rFonts w:ascii="Calibri" w:hAnsi="Calibri" w:cs="Calibri"/>
          <w:b/>
          <w:bCs/>
          <w:color w:val="215E99" w:themeColor="text2" w:themeTint="BF"/>
          <w:sz w:val="26"/>
          <w:szCs w:val="26"/>
        </w:rPr>
        <w:t xml:space="preserve">Why </w:t>
      </w:r>
      <w:r w:rsidR="00900A6A" w:rsidRPr="0079629C">
        <w:rPr>
          <w:rFonts w:ascii="Calibri" w:hAnsi="Calibri" w:cs="Calibri"/>
          <w:b/>
          <w:bCs/>
          <w:color w:val="215E99" w:themeColor="text2" w:themeTint="BF"/>
          <w:sz w:val="26"/>
          <w:szCs w:val="26"/>
        </w:rPr>
        <w:t>I</w:t>
      </w:r>
      <w:r w:rsidRPr="0079629C">
        <w:rPr>
          <w:rFonts w:ascii="Calibri" w:hAnsi="Calibri" w:cs="Calibri"/>
          <w:b/>
          <w:bCs/>
          <w:color w:val="215E99" w:themeColor="text2" w:themeTint="BF"/>
          <w:sz w:val="26"/>
          <w:szCs w:val="26"/>
        </w:rPr>
        <w:t xml:space="preserve">t </w:t>
      </w:r>
      <w:r w:rsidR="00900A6A" w:rsidRPr="0079629C">
        <w:rPr>
          <w:rFonts w:ascii="Calibri" w:hAnsi="Calibri" w:cs="Calibri"/>
          <w:b/>
          <w:bCs/>
          <w:color w:val="215E99" w:themeColor="text2" w:themeTint="BF"/>
          <w:sz w:val="26"/>
          <w:szCs w:val="26"/>
        </w:rPr>
        <w:t>M</w:t>
      </w:r>
      <w:r w:rsidRPr="0079629C">
        <w:rPr>
          <w:rFonts w:ascii="Calibri" w:hAnsi="Calibri" w:cs="Calibri"/>
          <w:b/>
          <w:bCs/>
          <w:color w:val="215E99" w:themeColor="text2" w:themeTint="BF"/>
          <w:sz w:val="26"/>
          <w:szCs w:val="26"/>
        </w:rPr>
        <w:t xml:space="preserve">atters </w:t>
      </w:r>
      <w:r w:rsidR="00900A6A" w:rsidRPr="0079629C">
        <w:rPr>
          <w:rFonts w:ascii="Calibri" w:hAnsi="Calibri" w:cs="Calibri"/>
          <w:b/>
          <w:bCs/>
          <w:color w:val="215E99" w:themeColor="text2" w:themeTint="BF"/>
          <w:sz w:val="26"/>
          <w:szCs w:val="26"/>
        </w:rPr>
        <w:t>F</w:t>
      </w:r>
      <w:r w:rsidRPr="0079629C">
        <w:rPr>
          <w:rFonts w:ascii="Calibri" w:hAnsi="Calibri" w:cs="Calibri"/>
          <w:b/>
          <w:bCs/>
          <w:color w:val="215E99" w:themeColor="text2" w:themeTint="BF"/>
          <w:sz w:val="26"/>
          <w:szCs w:val="26"/>
        </w:rPr>
        <w:t xml:space="preserve">or </w:t>
      </w:r>
      <w:r w:rsidR="00900A6A" w:rsidRPr="0079629C">
        <w:rPr>
          <w:rFonts w:ascii="Calibri" w:hAnsi="Calibri" w:cs="Calibri"/>
          <w:b/>
          <w:bCs/>
          <w:color w:val="215E99" w:themeColor="text2" w:themeTint="BF"/>
          <w:sz w:val="26"/>
          <w:szCs w:val="26"/>
        </w:rPr>
        <w:t>P</w:t>
      </w:r>
      <w:r w:rsidRPr="0079629C">
        <w:rPr>
          <w:rFonts w:ascii="Calibri" w:hAnsi="Calibri" w:cs="Calibri"/>
          <w:b/>
          <w:bCs/>
          <w:color w:val="215E99" w:themeColor="text2" w:themeTint="BF"/>
          <w:sz w:val="26"/>
          <w:szCs w:val="26"/>
        </w:rPr>
        <w:t xml:space="preserve">ractitioners and </w:t>
      </w:r>
      <w:r w:rsidR="00900A6A" w:rsidRPr="0079629C">
        <w:rPr>
          <w:rFonts w:ascii="Calibri" w:hAnsi="Calibri" w:cs="Calibri"/>
          <w:b/>
          <w:bCs/>
          <w:color w:val="215E99" w:themeColor="text2" w:themeTint="BF"/>
          <w:sz w:val="26"/>
          <w:szCs w:val="26"/>
        </w:rPr>
        <w:t>F</w:t>
      </w:r>
      <w:r w:rsidRPr="0079629C">
        <w:rPr>
          <w:rFonts w:ascii="Calibri" w:hAnsi="Calibri" w:cs="Calibri"/>
          <w:b/>
          <w:bCs/>
          <w:color w:val="215E99" w:themeColor="text2" w:themeTint="BF"/>
          <w:sz w:val="26"/>
          <w:szCs w:val="26"/>
        </w:rPr>
        <w:t>unders</w:t>
      </w:r>
    </w:p>
    <w:p w14:paraId="506877EB" w14:textId="243DAF23" w:rsidR="006A6530" w:rsidRPr="00F73474" w:rsidRDefault="00E74A98" w:rsidP="00F73474">
      <w:pPr>
        <w:ind w:left="-270" w:right="-270"/>
        <w:rPr>
          <w:rFonts w:ascii="Calibri" w:hAnsi="Calibri" w:cs="Calibri"/>
          <w:sz w:val="22"/>
          <w:szCs w:val="22"/>
        </w:rPr>
      </w:pPr>
      <w:r w:rsidRPr="00F73474">
        <w:rPr>
          <w:rFonts w:ascii="Calibri" w:hAnsi="Calibri" w:cs="Calibri"/>
          <w:b/>
          <w:bCs/>
          <w:i/>
          <w:iCs/>
          <w:color w:val="404040" w:themeColor="text1" w:themeTint="BF"/>
          <w:sz w:val="22"/>
          <w:szCs w:val="22"/>
        </w:rPr>
        <w:t xml:space="preserve">Design over </w:t>
      </w:r>
      <w:r w:rsidR="00F73474" w:rsidRPr="00F73474">
        <w:rPr>
          <w:rFonts w:ascii="Calibri" w:hAnsi="Calibri" w:cs="Calibri"/>
          <w:b/>
          <w:bCs/>
          <w:i/>
          <w:iCs/>
          <w:color w:val="404040" w:themeColor="text1" w:themeTint="BF"/>
          <w:sz w:val="22"/>
          <w:szCs w:val="22"/>
        </w:rPr>
        <w:t>V</w:t>
      </w:r>
      <w:r w:rsidRPr="00F73474">
        <w:rPr>
          <w:rFonts w:ascii="Calibri" w:hAnsi="Calibri" w:cs="Calibri"/>
          <w:b/>
          <w:bCs/>
          <w:i/>
          <w:iCs/>
          <w:color w:val="404040" w:themeColor="text1" w:themeTint="BF"/>
          <w:sz w:val="22"/>
          <w:szCs w:val="22"/>
        </w:rPr>
        <w:t>olume:</w:t>
      </w:r>
      <w:r w:rsidRPr="00F73474">
        <w:rPr>
          <w:rFonts w:ascii="Calibri" w:hAnsi="Calibri" w:cs="Calibri"/>
          <w:color w:val="404040" w:themeColor="text1" w:themeTint="BF"/>
          <w:sz w:val="22"/>
          <w:szCs w:val="22"/>
        </w:rPr>
        <w:t xml:space="preserve"> </w:t>
      </w:r>
      <w:r w:rsidRPr="00F73474">
        <w:rPr>
          <w:rFonts w:ascii="Calibri" w:hAnsi="Calibri" w:cs="Calibri"/>
          <w:sz w:val="22"/>
          <w:szCs w:val="22"/>
        </w:rPr>
        <w:t>The data favor intentionally designed, high</w:t>
      </w:r>
      <w:r w:rsidRPr="00F73474">
        <w:rPr>
          <w:rFonts w:ascii="Calibri" w:hAnsi="Calibri" w:cs="Calibri"/>
          <w:sz w:val="22"/>
          <w:szCs w:val="22"/>
        </w:rPr>
        <w:noBreakHyphen/>
        <w:t>quality interactions over adding more hours. Quality and cross</w:t>
      </w:r>
      <w:r w:rsidRPr="00F73474">
        <w:rPr>
          <w:rFonts w:ascii="Calibri" w:hAnsi="Calibri" w:cs="Calibri"/>
          <w:sz w:val="22"/>
          <w:szCs w:val="22"/>
        </w:rPr>
        <w:noBreakHyphen/>
        <w:t>domain variety appear to compound impact. Program leaders can pilot sequence and quality upgrades without major new spending. </w:t>
      </w:r>
    </w:p>
    <w:p w14:paraId="04BEA2DD" w14:textId="77777777" w:rsidR="006A6530" w:rsidRPr="006A6530" w:rsidRDefault="006A6530" w:rsidP="00F73474">
      <w:pPr>
        <w:pStyle w:val="ListParagraph"/>
        <w:ind w:left="0" w:right="-270"/>
        <w:rPr>
          <w:rFonts w:ascii="Calibri" w:hAnsi="Calibri" w:cs="Calibri"/>
          <w:sz w:val="10"/>
          <w:szCs w:val="10"/>
        </w:rPr>
      </w:pPr>
    </w:p>
    <w:p w14:paraId="26F2C9CB" w14:textId="4E06C6AA" w:rsidR="00C24307" w:rsidRPr="00F73474" w:rsidRDefault="00E74A98" w:rsidP="00F73474">
      <w:pPr>
        <w:ind w:left="-270" w:right="-270"/>
        <w:rPr>
          <w:rFonts w:ascii="Calibri" w:hAnsi="Calibri" w:cs="Calibri"/>
          <w:sz w:val="22"/>
          <w:szCs w:val="22"/>
        </w:rPr>
      </w:pPr>
      <w:r w:rsidRPr="00F73474">
        <w:rPr>
          <w:rFonts w:ascii="Calibri" w:hAnsi="Calibri" w:cs="Calibri"/>
          <w:b/>
          <w:bCs/>
          <w:i/>
          <w:iCs/>
          <w:color w:val="404040" w:themeColor="text1" w:themeTint="BF"/>
          <w:sz w:val="22"/>
          <w:szCs w:val="22"/>
        </w:rPr>
        <w:t xml:space="preserve">Early </w:t>
      </w:r>
      <w:r w:rsidR="00F73474" w:rsidRPr="00F73474">
        <w:rPr>
          <w:rFonts w:ascii="Calibri" w:hAnsi="Calibri" w:cs="Calibri"/>
          <w:b/>
          <w:bCs/>
          <w:i/>
          <w:iCs/>
          <w:color w:val="404040" w:themeColor="text1" w:themeTint="BF"/>
          <w:sz w:val="22"/>
          <w:szCs w:val="22"/>
        </w:rPr>
        <w:t>C</w:t>
      </w:r>
      <w:r w:rsidRPr="00F73474">
        <w:rPr>
          <w:rFonts w:ascii="Calibri" w:hAnsi="Calibri" w:cs="Calibri"/>
          <w:b/>
          <w:bCs/>
          <w:i/>
          <w:iCs/>
          <w:color w:val="404040" w:themeColor="text1" w:themeTint="BF"/>
          <w:sz w:val="22"/>
          <w:szCs w:val="22"/>
        </w:rPr>
        <w:t xml:space="preserve">ommunity </w:t>
      </w:r>
      <w:r w:rsidR="00F73474" w:rsidRPr="00F73474">
        <w:rPr>
          <w:rFonts w:ascii="Calibri" w:hAnsi="Calibri" w:cs="Calibri"/>
          <w:b/>
          <w:bCs/>
          <w:i/>
          <w:iCs/>
          <w:color w:val="404040" w:themeColor="text1" w:themeTint="BF"/>
          <w:sz w:val="22"/>
          <w:szCs w:val="22"/>
        </w:rPr>
        <w:t>C</w:t>
      </w:r>
      <w:r w:rsidRPr="00F73474">
        <w:rPr>
          <w:rFonts w:ascii="Calibri" w:hAnsi="Calibri" w:cs="Calibri"/>
          <w:b/>
          <w:bCs/>
          <w:i/>
          <w:iCs/>
          <w:color w:val="404040" w:themeColor="text1" w:themeTint="BF"/>
          <w:sz w:val="22"/>
          <w:szCs w:val="22"/>
        </w:rPr>
        <w:t>onnection:</w:t>
      </w:r>
      <w:r w:rsidRPr="00F73474">
        <w:rPr>
          <w:rFonts w:ascii="Calibri" w:hAnsi="Calibri" w:cs="Calibri"/>
          <w:color w:val="404040" w:themeColor="text1" w:themeTint="BF"/>
          <w:sz w:val="22"/>
          <w:szCs w:val="22"/>
        </w:rPr>
        <w:t xml:space="preserve"> </w:t>
      </w:r>
      <w:r w:rsidRPr="00F73474">
        <w:rPr>
          <w:rFonts w:ascii="Calibri" w:hAnsi="Calibri" w:cs="Calibri"/>
          <w:sz w:val="22"/>
          <w:szCs w:val="22"/>
        </w:rPr>
        <w:t>Front</w:t>
      </w:r>
      <w:r w:rsidRPr="00F73474">
        <w:rPr>
          <w:rFonts w:ascii="Calibri" w:hAnsi="Calibri" w:cs="Calibri"/>
          <w:sz w:val="22"/>
          <w:szCs w:val="22"/>
        </w:rPr>
        <w:noBreakHyphen/>
        <w:t xml:space="preserve">load community integration to lay identity and meaning foundations that amplify later mentorship and clinical learning.  </w:t>
      </w:r>
    </w:p>
    <w:p w14:paraId="1B365F5F" w14:textId="77777777" w:rsidR="006A6530" w:rsidRPr="006A6530" w:rsidRDefault="006A6530" w:rsidP="00F73474">
      <w:pPr>
        <w:pStyle w:val="ListParagraph"/>
        <w:ind w:left="0" w:right="-270"/>
        <w:rPr>
          <w:rFonts w:ascii="Calibri" w:hAnsi="Calibri" w:cs="Calibri"/>
          <w:sz w:val="10"/>
          <w:szCs w:val="10"/>
        </w:rPr>
      </w:pPr>
    </w:p>
    <w:p w14:paraId="5EB24110" w14:textId="1D96DDF7" w:rsidR="00E74A98" w:rsidRPr="00F73474" w:rsidRDefault="00E74A98" w:rsidP="00F73474">
      <w:pPr>
        <w:ind w:left="-270" w:right="-270"/>
        <w:rPr>
          <w:rFonts w:ascii="Calibri" w:hAnsi="Calibri" w:cs="Calibri"/>
          <w:sz w:val="22"/>
          <w:szCs w:val="22"/>
        </w:rPr>
      </w:pPr>
      <w:r w:rsidRPr="00F73474">
        <w:rPr>
          <w:rFonts w:ascii="Calibri" w:hAnsi="Calibri" w:cs="Calibri"/>
          <w:b/>
          <w:bCs/>
          <w:i/>
          <w:iCs/>
          <w:color w:val="404040" w:themeColor="text1" w:themeTint="BF"/>
          <w:sz w:val="22"/>
          <w:szCs w:val="22"/>
        </w:rPr>
        <w:t xml:space="preserve">Funding and </w:t>
      </w:r>
      <w:r w:rsidR="00F73474" w:rsidRPr="00F73474">
        <w:rPr>
          <w:rFonts w:ascii="Calibri" w:hAnsi="Calibri" w:cs="Calibri"/>
          <w:b/>
          <w:bCs/>
          <w:i/>
          <w:iCs/>
          <w:color w:val="404040" w:themeColor="text1" w:themeTint="BF"/>
          <w:sz w:val="22"/>
          <w:szCs w:val="22"/>
        </w:rPr>
        <w:t>A</w:t>
      </w:r>
      <w:r w:rsidRPr="00F73474">
        <w:rPr>
          <w:rFonts w:ascii="Calibri" w:hAnsi="Calibri" w:cs="Calibri"/>
          <w:b/>
          <w:bCs/>
          <w:i/>
          <w:iCs/>
          <w:color w:val="404040" w:themeColor="text1" w:themeTint="BF"/>
          <w:sz w:val="22"/>
          <w:szCs w:val="22"/>
        </w:rPr>
        <w:t>ccreditation:</w:t>
      </w:r>
      <w:r w:rsidRPr="00F73474">
        <w:rPr>
          <w:rFonts w:ascii="Calibri" w:hAnsi="Calibri" w:cs="Calibri"/>
          <w:color w:val="404040" w:themeColor="text1" w:themeTint="BF"/>
          <w:sz w:val="22"/>
          <w:szCs w:val="22"/>
        </w:rPr>
        <w:t xml:space="preserve"> </w:t>
      </w:r>
      <w:r w:rsidRPr="00F73474">
        <w:rPr>
          <w:rFonts w:ascii="Calibri" w:hAnsi="Calibri" w:cs="Calibri"/>
          <w:sz w:val="22"/>
          <w:szCs w:val="22"/>
        </w:rPr>
        <w:t xml:space="preserve">Consider recognizing community integration as a primary educational component and evolve metrics from hours logged to transformation indicators consistent with threshold, social learning, and choice architecture mechanisms.  </w:t>
      </w:r>
    </w:p>
    <w:p w14:paraId="029F3758" w14:textId="603C1D24" w:rsidR="00E74A98" w:rsidRDefault="00E74A98" w:rsidP="00900A6A">
      <w:pPr>
        <w:ind w:left="-360" w:right="-270"/>
        <w:rPr>
          <w:rFonts w:ascii="Calibri" w:hAnsi="Calibri" w:cs="Calibri"/>
          <w:sz w:val="22"/>
          <w:szCs w:val="22"/>
        </w:rPr>
      </w:pPr>
    </w:p>
    <w:p w14:paraId="7776E364" w14:textId="40F9C987" w:rsidR="00E74A98" w:rsidRPr="0079629C" w:rsidRDefault="00E74A98" w:rsidP="00997A81">
      <w:pPr>
        <w:spacing w:line="276" w:lineRule="auto"/>
        <w:ind w:left="-360" w:right="-270"/>
        <w:rPr>
          <w:rFonts w:ascii="Calibri" w:hAnsi="Calibri" w:cs="Calibri"/>
          <w:b/>
          <w:bCs/>
          <w:color w:val="215E99" w:themeColor="text2" w:themeTint="BF"/>
          <w:sz w:val="26"/>
          <w:szCs w:val="26"/>
        </w:rPr>
      </w:pPr>
      <w:r w:rsidRPr="0079629C">
        <w:rPr>
          <w:rFonts w:ascii="Calibri" w:hAnsi="Calibri" w:cs="Calibri"/>
          <w:b/>
          <w:bCs/>
          <w:color w:val="215E99" w:themeColor="text2" w:themeTint="BF"/>
          <w:sz w:val="26"/>
          <w:szCs w:val="26"/>
        </w:rPr>
        <w:t xml:space="preserve">Practical </w:t>
      </w:r>
      <w:r w:rsidR="00900A6A" w:rsidRPr="0079629C">
        <w:rPr>
          <w:rFonts w:ascii="Calibri" w:hAnsi="Calibri" w:cs="Calibri"/>
          <w:b/>
          <w:bCs/>
          <w:color w:val="215E99" w:themeColor="text2" w:themeTint="BF"/>
          <w:sz w:val="26"/>
          <w:szCs w:val="26"/>
        </w:rPr>
        <w:t>I</w:t>
      </w:r>
      <w:r w:rsidRPr="0079629C">
        <w:rPr>
          <w:rFonts w:ascii="Calibri" w:hAnsi="Calibri" w:cs="Calibri"/>
          <w:b/>
          <w:bCs/>
          <w:color w:val="215E99" w:themeColor="text2" w:themeTint="BF"/>
          <w:sz w:val="26"/>
          <w:szCs w:val="26"/>
        </w:rPr>
        <w:t xml:space="preserve">mplementation </w:t>
      </w:r>
      <w:r w:rsidR="00900A6A" w:rsidRPr="0079629C">
        <w:rPr>
          <w:rFonts w:ascii="Calibri" w:hAnsi="Calibri" w:cs="Calibri"/>
          <w:b/>
          <w:bCs/>
          <w:color w:val="215E99" w:themeColor="text2" w:themeTint="BF"/>
          <w:sz w:val="26"/>
          <w:szCs w:val="26"/>
        </w:rPr>
        <w:t>G</w:t>
      </w:r>
      <w:r w:rsidRPr="0079629C">
        <w:rPr>
          <w:rFonts w:ascii="Calibri" w:hAnsi="Calibri" w:cs="Calibri"/>
          <w:b/>
          <w:bCs/>
          <w:color w:val="215E99" w:themeColor="text2" w:themeTint="BF"/>
          <w:sz w:val="26"/>
          <w:szCs w:val="26"/>
        </w:rPr>
        <w:t>uide</w:t>
      </w:r>
    </w:p>
    <w:p w14:paraId="77861618" w14:textId="77777777" w:rsidR="00C24307" w:rsidRDefault="00E74A98" w:rsidP="00900A6A">
      <w:pPr>
        <w:pStyle w:val="ListParagraph"/>
        <w:numPr>
          <w:ilvl w:val="0"/>
          <w:numId w:val="11"/>
        </w:numPr>
        <w:ind w:left="0" w:right="-270" w:hanging="270"/>
        <w:rPr>
          <w:rFonts w:ascii="Calibri" w:hAnsi="Calibri" w:cs="Calibri"/>
          <w:sz w:val="22"/>
          <w:szCs w:val="22"/>
        </w:rPr>
      </w:pPr>
      <w:r w:rsidRPr="00C24307">
        <w:rPr>
          <w:rFonts w:ascii="Calibri" w:hAnsi="Calibri" w:cs="Calibri"/>
          <w:sz w:val="22"/>
          <w:szCs w:val="22"/>
        </w:rPr>
        <w:t xml:space="preserve">Aim for approximately six or more high-quality touchpoints per leverage point, prioritizing community integration early. Track quality (≥ 7) as a design KPI, not just counts.  </w:t>
      </w:r>
    </w:p>
    <w:p w14:paraId="2AB4FB92" w14:textId="77777777" w:rsidR="006A6530" w:rsidRPr="006A6530" w:rsidRDefault="006A6530" w:rsidP="00900A6A">
      <w:pPr>
        <w:pStyle w:val="ListParagraph"/>
        <w:ind w:left="0" w:right="-270"/>
        <w:rPr>
          <w:rFonts w:ascii="Calibri" w:hAnsi="Calibri" w:cs="Calibri"/>
          <w:sz w:val="10"/>
          <w:szCs w:val="10"/>
        </w:rPr>
      </w:pPr>
    </w:p>
    <w:p w14:paraId="0A4DE7B9" w14:textId="77777777" w:rsidR="00C24307" w:rsidRDefault="00E74A98" w:rsidP="00900A6A">
      <w:pPr>
        <w:pStyle w:val="ListParagraph"/>
        <w:numPr>
          <w:ilvl w:val="0"/>
          <w:numId w:val="11"/>
        </w:numPr>
        <w:ind w:left="0" w:right="-270" w:hanging="270"/>
        <w:rPr>
          <w:rFonts w:ascii="Calibri" w:hAnsi="Calibri" w:cs="Calibri"/>
          <w:sz w:val="22"/>
          <w:szCs w:val="22"/>
        </w:rPr>
      </w:pPr>
      <w:r w:rsidRPr="00C24307">
        <w:rPr>
          <w:rFonts w:ascii="Calibri" w:hAnsi="Calibri" w:cs="Calibri"/>
          <w:sz w:val="22"/>
          <w:szCs w:val="22"/>
        </w:rPr>
        <w:t xml:space="preserve">Use the Touchpoint Taxonomy quality dimensions: intentionality, depth, authenticity, personalization, and frequency. Strengthen existing touchpoints before adding new ones.  </w:t>
      </w:r>
    </w:p>
    <w:p w14:paraId="077FDD8C" w14:textId="77777777" w:rsidR="006A6530" w:rsidRPr="006A6530" w:rsidRDefault="006A6530" w:rsidP="00900A6A">
      <w:pPr>
        <w:pStyle w:val="ListParagraph"/>
        <w:ind w:left="0" w:right="-270"/>
        <w:rPr>
          <w:rFonts w:ascii="Calibri" w:hAnsi="Calibri" w:cs="Calibri"/>
          <w:sz w:val="10"/>
          <w:szCs w:val="10"/>
        </w:rPr>
      </w:pPr>
    </w:p>
    <w:p w14:paraId="1B2B1FA0" w14:textId="08A0579D" w:rsidR="00E74A98" w:rsidRPr="00C24307" w:rsidRDefault="00E74A98" w:rsidP="00900A6A">
      <w:pPr>
        <w:pStyle w:val="ListParagraph"/>
        <w:numPr>
          <w:ilvl w:val="0"/>
          <w:numId w:val="11"/>
        </w:numPr>
        <w:ind w:left="0" w:right="-270" w:hanging="270"/>
        <w:rPr>
          <w:rFonts w:ascii="Calibri" w:hAnsi="Calibri" w:cs="Calibri"/>
          <w:sz w:val="22"/>
          <w:szCs w:val="22"/>
        </w:rPr>
      </w:pPr>
      <w:r w:rsidRPr="00C24307">
        <w:rPr>
          <w:rFonts w:ascii="Calibri" w:hAnsi="Calibri" w:cs="Calibri"/>
          <w:sz w:val="22"/>
          <w:szCs w:val="22"/>
        </w:rPr>
        <w:t>Pilot a preliminary resource split near 51 percent community, 30 percent mentorship, 18 percent clinical, then adjust to local context using rapid feedback cycles. </w:t>
      </w:r>
    </w:p>
    <w:p w14:paraId="625B351C" w14:textId="257BD871" w:rsidR="00E74A98" w:rsidRPr="00E74A98" w:rsidRDefault="00E74A98" w:rsidP="00900A6A">
      <w:pPr>
        <w:ind w:left="-360" w:right="-270"/>
        <w:rPr>
          <w:rFonts w:ascii="Calibri" w:hAnsi="Calibri" w:cs="Calibri"/>
          <w:sz w:val="22"/>
          <w:szCs w:val="22"/>
        </w:rPr>
      </w:pPr>
      <w:r w:rsidRPr="00E74A98">
        <w:rPr>
          <w:rFonts w:ascii="Calibri" w:hAnsi="Calibri" w:cs="Calibri"/>
          <w:sz w:val="22"/>
          <w:szCs w:val="22"/>
        </w:rPr>
        <w:t xml:space="preserve"> </w:t>
      </w:r>
    </w:p>
    <w:p w14:paraId="36E09680" w14:textId="77777777" w:rsidR="00674D6B" w:rsidRPr="0079629C" w:rsidRDefault="00E74A98" w:rsidP="00997A81">
      <w:pPr>
        <w:spacing w:line="276" w:lineRule="auto"/>
        <w:ind w:left="-360" w:right="-270"/>
        <w:rPr>
          <w:rFonts w:ascii="Calibri" w:hAnsi="Calibri" w:cs="Calibri"/>
          <w:b/>
          <w:bCs/>
          <w:color w:val="215E99" w:themeColor="text2" w:themeTint="BF"/>
          <w:sz w:val="26"/>
          <w:szCs w:val="26"/>
        </w:rPr>
      </w:pPr>
      <w:r w:rsidRPr="0079629C">
        <w:rPr>
          <w:rFonts w:ascii="Calibri" w:hAnsi="Calibri" w:cs="Calibri"/>
          <w:b/>
          <w:bCs/>
          <w:color w:val="215E99" w:themeColor="text2" w:themeTint="BF"/>
          <w:sz w:val="26"/>
          <w:szCs w:val="26"/>
        </w:rPr>
        <w:t xml:space="preserve">Limitations and </w:t>
      </w:r>
      <w:r w:rsidR="00674D6B" w:rsidRPr="0079629C">
        <w:rPr>
          <w:rFonts w:ascii="Calibri" w:hAnsi="Calibri" w:cs="Calibri"/>
          <w:b/>
          <w:bCs/>
          <w:color w:val="215E99" w:themeColor="text2" w:themeTint="BF"/>
          <w:sz w:val="26"/>
          <w:szCs w:val="26"/>
        </w:rPr>
        <w:t>C</w:t>
      </w:r>
      <w:r w:rsidRPr="0079629C">
        <w:rPr>
          <w:rFonts w:ascii="Calibri" w:hAnsi="Calibri" w:cs="Calibri"/>
          <w:b/>
          <w:bCs/>
          <w:color w:val="215E99" w:themeColor="text2" w:themeTint="BF"/>
          <w:sz w:val="26"/>
          <w:szCs w:val="26"/>
        </w:rPr>
        <w:t xml:space="preserve">autions </w:t>
      </w:r>
    </w:p>
    <w:p w14:paraId="254A7D02" w14:textId="0580BD08" w:rsidR="00E74A98" w:rsidRDefault="00E74A98" w:rsidP="00900A6A">
      <w:pPr>
        <w:ind w:left="-360" w:right="-270"/>
        <w:rPr>
          <w:rFonts w:ascii="Calibri" w:hAnsi="Calibri" w:cs="Calibri"/>
          <w:sz w:val="22"/>
          <w:szCs w:val="22"/>
        </w:rPr>
      </w:pPr>
      <w:r w:rsidRPr="00E74A98">
        <w:rPr>
          <w:rFonts w:ascii="Calibri" w:hAnsi="Calibri" w:cs="Calibri"/>
          <w:sz w:val="22"/>
          <w:szCs w:val="22"/>
        </w:rPr>
        <w:t>Findings are preliminary given the small sample (n = 20) and the single-site rural Oregon context. Although polynomial models outperformed linear ones and thresholds were stable in bootstrap tests, R² values remain modest, and self-selection plus retrospective reporting may bias estimates. Treat the threshold and allocation figures as hypotheses to test in larger, multi-site samples before using them as benchmarks. </w:t>
      </w:r>
    </w:p>
    <w:p w14:paraId="64AA33CD" w14:textId="13E17291" w:rsidR="00E74A98" w:rsidRDefault="00E74A98" w:rsidP="00900A6A">
      <w:pPr>
        <w:ind w:left="-360" w:right="-270"/>
        <w:rPr>
          <w:rFonts w:ascii="Calibri" w:hAnsi="Calibri" w:cs="Calibri"/>
          <w:sz w:val="22"/>
          <w:szCs w:val="22"/>
        </w:rPr>
      </w:pPr>
      <w:r w:rsidRPr="00E74A98">
        <w:rPr>
          <w:rFonts w:ascii="Calibri" w:hAnsi="Calibri" w:cs="Calibri"/>
          <w:sz w:val="22"/>
          <w:szCs w:val="22"/>
        </w:rPr>
        <w:t xml:space="preserve"> </w:t>
      </w:r>
    </w:p>
    <w:p w14:paraId="063FC670" w14:textId="3EDDF77D" w:rsidR="00674D6B" w:rsidRPr="0079629C" w:rsidRDefault="008B7C66" w:rsidP="00997A81">
      <w:pPr>
        <w:spacing w:line="276" w:lineRule="auto"/>
        <w:ind w:left="-360" w:right="-270"/>
        <w:rPr>
          <w:rFonts w:ascii="Calibri" w:hAnsi="Calibri" w:cs="Calibri"/>
          <w:b/>
          <w:bCs/>
          <w:color w:val="215E99" w:themeColor="text2" w:themeTint="BF"/>
        </w:rPr>
      </w:pPr>
      <w:r w:rsidRPr="0079629C">
        <w:rPr>
          <w:rFonts w:ascii="Calibri" w:hAnsi="Calibri" w:cs="Calibri"/>
          <w:b/>
          <w:bCs/>
          <w:color w:val="215E99" w:themeColor="text2" w:themeTint="BF"/>
        </w:rPr>
        <w:t xml:space="preserve">About the </w:t>
      </w:r>
      <w:r w:rsidR="00674D6B" w:rsidRPr="0079629C">
        <w:rPr>
          <w:rFonts w:ascii="Calibri" w:hAnsi="Calibri" w:cs="Calibri"/>
          <w:b/>
          <w:bCs/>
          <w:color w:val="215E99" w:themeColor="text2" w:themeTint="BF"/>
        </w:rPr>
        <w:t>S</w:t>
      </w:r>
      <w:r w:rsidRPr="0079629C">
        <w:rPr>
          <w:rFonts w:ascii="Calibri" w:hAnsi="Calibri" w:cs="Calibri"/>
          <w:b/>
          <w:bCs/>
          <w:color w:val="215E99" w:themeColor="text2" w:themeTint="BF"/>
        </w:rPr>
        <w:t xml:space="preserve">tudy and </w:t>
      </w:r>
      <w:r w:rsidR="00674D6B" w:rsidRPr="0079629C">
        <w:rPr>
          <w:rFonts w:ascii="Calibri" w:hAnsi="Calibri" w:cs="Calibri"/>
          <w:b/>
          <w:bCs/>
          <w:color w:val="215E99" w:themeColor="text2" w:themeTint="BF"/>
        </w:rPr>
        <w:t>A</w:t>
      </w:r>
      <w:r w:rsidRPr="0079629C">
        <w:rPr>
          <w:rFonts w:ascii="Calibri" w:hAnsi="Calibri" w:cs="Calibri"/>
          <w:b/>
          <w:bCs/>
          <w:color w:val="215E99" w:themeColor="text2" w:themeTint="BF"/>
        </w:rPr>
        <w:t xml:space="preserve">uthors </w:t>
      </w:r>
    </w:p>
    <w:p w14:paraId="4E88081A" w14:textId="65316F3D" w:rsidR="008B7C66" w:rsidRPr="00E74A98" w:rsidRDefault="008B7C66" w:rsidP="00900A6A">
      <w:pPr>
        <w:ind w:left="-360" w:right="-270"/>
        <w:rPr>
          <w:rFonts w:ascii="Calibri" w:hAnsi="Calibri" w:cs="Calibri"/>
          <w:sz w:val="22"/>
          <w:szCs w:val="22"/>
        </w:rPr>
      </w:pPr>
      <w:r w:rsidRPr="008B7C66">
        <w:rPr>
          <w:rFonts w:ascii="Calibri" w:hAnsi="Calibri" w:cs="Calibri"/>
          <w:sz w:val="22"/>
          <w:szCs w:val="22"/>
        </w:rPr>
        <w:t>Christopher J. Guastaferro, MAODC (Hawai‘i Pacific University), Christin M. Rutledge, MPH, MCHES (AHEC Southwest and Aviva Health), and Lacey L. Ferguson, M.Ed. (ReConnect Gap Year Fellowship, AHEC Southwest</w:t>
      </w:r>
      <w:r w:rsidR="006702C0">
        <w:rPr>
          <w:rFonts w:ascii="Calibri" w:hAnsi="Calibri" w:cs="Calibri"/>
          <w:sz w:val="22"/>
          <w:szCs w:val="22"/>
        </w:rPr>
        <w:t>,</w:t>
      </w:r>
      <w:r w:rsidRPr="008B7C66">
        <w:rPr>
          <w:rFonts w:ascii="Calibri" w:hAnsi="Calibri" w:cs="Calibri"/>
          <w:sz w:val="22"/>
          <w:szCs w:val="22"/>
        </w:rPr>
        <w:t xml:space="preserve"> and Aviva Health). Theoretical integration draws on Threshold Concept Theory, Social Learning Theory, and Nudge Theory to explain compounding mechanisms behind touchpoint effects.</w:t>
      </w:r>
    </w:p>
    <w:sectPr w:rsidR="008B7C66" w:rsidRPr="00E74A98" w:rsidSect="00B82759">
      <w:pgSz w:w="12220" w:h="15840"/>
      <w:pgMar w:top="819" w:right="1690" w:bottom="21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B2B99" w14:textId="77777777" w:rsidR="00012C8B" w:rsidRDefault="00012C8B" w:rsidP="00012C8B">
      <w:r>
        <w:separator/>
      </w:r>
    </w:p>
  </w:endnote>
  <w:endnote w:type="continuationSeparator" w:id="0">
    <w:p w14:paraId="0DA09EF5" w14:textId="77777777" w:rsidR="00012C8B" w:rsidRDefault="00012C8B" w:rsidP="0001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13C62" w14:textId="77777777" w:rsidR="00012C8B" w:rsidRDefault="00012C8B" w:rsidP="00012C8B">
      <w:r>
        <w:separator/>
      </w:r>
    </w:p>
  </w:footnote>
  <w:footnote w:type="continuationSeparator" w:id="0">
    <w:p w14:paraId="08BC59BE" w14:textId="77777777" w:rsidR="00012C8B" w:rsidRDefault="00012C8B" w:rsidP="00012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4184"/>
    <w:multiLevelType w:val="hybridMultilevel"/>
    <w:tmpl w:val="6F467026"/>
    <w:lvl w:ilvl="0" w:tplc="072EA8B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75BC1"/>
    <w:multiLevelType w:val="hybridMultilevel"/>
    <w:tmpl w:val="A17EF82C"/>
    <w:lvl w:ilvl="0" w:tplc="072EA8B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F86EFC"/>
    <w:multiLevelType w:val="multilevel"/>
    <w:tmpl w:val="FA1C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530F6"/>
    <w:multiLevelType w:val="multilevel"/>
    <w:tmpl w:val="2E3290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5E35AA3"/>
    <w:multiLevelType w:val="multilevel"/>
    <w:tmpl w:val="CB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73ECD"/>
    <w:multiLevelType w:val="multilevel"/>
    <w:tmpl w:val="1084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F2B3B"/>
    <w:multiLevelType w:val="multilevel"/>
    <w:tmpl w:val="6CD4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541D4"/>
    <w:multiLevelType w:val="hybridMultilevel"/>
    <w:tmpl w:val="F4ACEE48"/>
    <w:lvl w:ilvl="0" w:tplc="072EA8BC">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3E32C77"/>
    <w:multiLevelType w:val="hybridMultilevel"/>
    <w:tmpl w:val="76483F5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E574C9"/>
    <w:multiLevelType w:val="multilevel"/>
    <w:tmpl w:val="4596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B5397F"/>
    <w:multiLevelType w:val="multilevel"/>
    <w:tmpl w:val="F82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6122760">
    <w:abstractNumId w:val="3"/>
  </w:num>
  <w:num w:numId="2" w16cid:durableId="760613129">
    <w:abstractNumId w:val="5"/>
  </w:num>
  <w:num w:numId="3" w16cid:durableId="411893968">
    <w:abstractNumId w:val="9"/>
  </w:num>
  <w:num w:numId="4" w16cid:durableId="1446150009">
    <w:abstractNumId w:val="10"/>
  </w:num>
  <w:num w:numId="5" w16cid:durableId="182211729">
    <w:abstractNumId w:val="2"/>
  </w:num>
  <w:num w:numId="6" w16cid:durableId="572081483">
    <w:abstractNumId w:val="4"/>
  </w:num>
  <w:num w:numId="7" w16cid:durableId="1379160639">
    <w:abstractNumId w:val="6"/>
  </w:num>
  <w:num w:numId="8" w16cid:durableId="159857618">
    <w:abstractNumId w:val="7"/>
  </w:num>
  <w:num w:numId="9" w16cid:durableId="1091048643">
    <w:abstractNumId w:val="8"/>
  </w:num>
  <w:num w:numId="10" w16cid:durableId="623735605">
    <w:abstractNumId w:val="1"/>
  </w:num>
  <w:num w:numId="11" w16cid:durableId="180272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isplayBackgroundShape/>
  <w:mirrorMargin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98"/>
    <w:rsid w:val="0000085E"/>
    <w:rsid w:val="00012C8B"/>
    <w:rsid w:val="00020630"/>
    <w:rsid w:val="000430BE"/>
    <w:rsid w:val="000620F8"/>
    <w:rsid w:val="000621BD"/>
    <w:rsid w:val="00062C61"/>
    <w:rsid w:val="00063EB0"/>
    <w:rsid w:val="0006522B"/>
    <w:rsid w:val="00065EEF"/>
    <w:rsid w:val="00072260"/>
    <w:rsid w:val="00072765"/>
    <w:rsid w:val="00072B9E"/>
    <w:rsid w:val="00075DF2"/>
    <w:rsid w:val="000924BF"/>
    <w:rsid w:val="000A7390"/>
    <w:rsid w:val="000C01BF"/>
    <w:rsid w:val="000C03DA"/>
    <w:rsid w:val="000C122F"/>
    <w:rsid w:val="000C44F9"/>
    <w:rsid w:val="000C4A3C"/>
    <w:rsid w:val="000D4BE2"/>
    <w:rsid w:val="000E0BE7"/>
    <w:rsid w:val="00104DD8"/>
    <w:rsid w:val="00110532"/>
    <w:rsid w:val="00112135"/>
    <w:rsid w:val="00122DBC"/>
    <w:rsid w:val="00127E60"/>
    <w:rsid w:val="00130587"/>
    <w:rsid w:val="001333F7"/>
    <w:rsid w:val="0013622A"/>
    <w:rsid w:val="001410D6"/>
    <w:rsid w:val="00147635"/>
    <w:rsid w:val="00166CD1"/>
    <w:rsid w:val="00173394"/>
    <w:rsid w:val="001801DA"/>
    <w:rsid w:val="001A2C28"/>
    <w:rsid w:val="001A4252"/>
    <w:rsid w:val="001D04E7"/>
    <w:rsid w:val="001D5502"/>
    <w:rsid w:val="001E395E"/>
    <w:rsid w:val="001F5882"/>
    <w:rsid w:val="0020069B"/>
    <w:rsid w:val="002016C1"/>
    <w:rsid w:val="002075C4"/>
    <w:rsid w:val="00213461"/>
    <w:rsid w:val="00215ECA"/>
    <w:rsid w:val="00224E0D"/>
    <w:rsid w:val="002264C7"/>
    <w:rsid w:val="002432FB"/>
    <w:rsid w:val="00246B88"/>
    <w:rsid w:val="00252F6C"/>
    <w:rsid w:val="002531FA"/>
    <w:rsid w:val="002563A4"/>
    <w:rsid w:val="002667BE"/>
    <w:rsid w:val="00266CE9"/>
    <w:rsid w:val="002846CB"/>
    <w:rsid w:val="002930F6"/>
    <w:rsid w:val="002D11AD"/>
    <w:rsid w:val="002D54E8"/>
    <w:rsid w:val="002E05B4"/>
    <w:rsid w:val="00325203"/>
    <w:rsid w:val="00337BF2"/>
    <w:rsid w:val="00344567"/>
    <w:rsid w:val="00347356"/>
    <w:rsid w:val="00354A5A"/>
    <w:rsid w:val="00357802"/>
    <w:rsid w:val="00372631"/>
    <w:rsid w:val="003727A9"/>
    <w:rsid w:val="003821DF"/>
    <w:rsid w:val="00393F30"/>
    <w:rsid w:val="003B178B"/>
    <w:rsid w:val="003B3210"/>
    <w:rsid w:val="003B583E"/>
    <w:rsid w:val="003B726F"/>
    <w:rsid w:val="003B78A3"/>
    <w:rsid w:val="003C1B44"/>
    <w:rsid w:val="003F340A"/>
    <w:rsid w:val="00400FCE"/>
    <w:rsid w:val="004048FD"/>
    <w:rsid w:val="00406BB9"/>
    <w:rsid w:val="00414F84"/>
    <w:rsid w:val="00426A80"/>
    <w:rsid w:val="004271B3"/>
    <w:rsid w:val="00434E9C"/>
    <w:rsid w:val="00472258"/>
    <w:rsid w:val="0048052F"/>
    <w:rsid w:val="004838F5"/>
    <w:rsid w:val="0048473E"/>
    <w:rsid w:val="00487267"/>
    <w:rsid w:val="0049062D"/>
    <w:rsid w:val="00491CD3"/>
    <w:rsid w:val="00496426"/>
    <w:rsid w:val="004A4C37"/>
    <w:rsid w:val="004A6841"/>
    <w:rsid w:val="004C3901"/>
    <w:rsid w:val="004C4034"/>
    <w:rsid w:val="004E1E6E"/>
    <w:rsid w:val="004E6315"/>
    <w:rsid w:val="004E7993"/>
    <w:rsid w:val="004F5E83"/>
    <w:rsid w:val="0050504F"/>
    <w:rsid w:val="0051783C"/>
    <w:rsid w:val="005209C8"/>
    <w:rsid w:val="0053279E"/>
    <w:rsid w:val="00544902"/>
    <w:rsid w:val="005469BE"/>
    <w:rsid w:val="00551780"/>
    <w:rsid w:val="00554DDD"/>
    <w:rsid w:val="0056356B"/>
    <w:rsid w:val="00565A84"/>
    <w:rsid w:val="005727CA"/>
    <w:rsid w:val="005778A6"/>
    <w:rsid w:val="00584783"/>
    <w:rsid w:val="00594164"/>
    <w:rsid w:val="00597656"/>
    <w:rsid w:val="005A0056"/>
    <w:rsid w:val="005C0151"/>
    <w:rsid w:val="005C17B2"/>
    <w:rsid w:val="005C386B"/>
    <w:rsid w:val="005C57F4"/>
    <w:rsid w:val="005D573D"/>
    <w:rsid w:val="005E2AC6"/>
    <w:rsid w:val="005E686F"/>
    <w:rsid w:val="00604A05"/>
    <w:rsid w:val="00613855"/>
    <w:rsid w:val="006159E0"/>
    <w:rsid w:val="00616FED"/>
    <w:rsid w:val="006250DB"/>
    <w:rsid w:val="0063113E"/>
    <w:rsid w:val="00633A05"/>
    <w:rsid w:val="006367C1"/>
    <w:rsid w:val="00636FC3"/>
    <w:rsid w:val="00643AE0"/>
    <w:rsid w:val="00652C91"/>
    <w:rsid w:val="00660317"/>
    <w:rsid w:val="00662171"/>
    <w:rsid w:val="00667DE1"/>
    <w:rsid w:val="006702C0"/>
    <w:rsid w:val="00674D6B"/>
    <w:rsid w:val="00683188"/>
    <w:rsid w:val="0069063F"/>
    <w:rsid w:val="00693C29"/>
    <w:rsid w:val="006A6530"/>
    <w:rsid w:val="006B0CAC"/>
    <w:rsid w:val="006C0373"/>
    <w:rsid w:val="006D334E"/>
    <w:rsid w:val="006F2E8D"/>
    <w:rsid w:val="00701750"/>
    <w:rsid w:val="00726CB9"/>
    <w:rsid w:val="00730EC6"/>
    <w:rsid w:val="007350A7"/>
    <w:rsid w:val="0077604D"/>
    <w:rsid w:val="007853D6"/>
    <w:rsid w:val="0079629C"/>
    <w:rsid w:val="007A263D"/>
    <w:rsid w:val="007A5E39"/>
    <w:rsid w:val="007A7CBA"/>
    <w:rsid w:val="007C0BBA"/>
    <w:rsid w:val="007C3C34"/>
    <w:rsid w:val="007D7418"/>
    <w:rsid w:val="007E6D17"/>
    <w:rsid w:val="007F234D"/>
    <w:rsid w:val="00802431"/>
    <w:rsid w:val="00814B73"/>
    <w:rsid w:val="00822F87"/>
    <w:rsid w:val="00823A91"/>
    <w:rsid w:val="00832D75"/>
    <w:rsid w:val="008338AA"/>
    <w:rsid w:val="00840C68"/>
    <w:rsid w:val="008435B5"/>
    <w:rsid w:val="00845204"/>
    <w:rsid w:val="008537A4"/>
    <w:rsid w:val="00855293"/>
    <w:rsid w:val="00856999"/>
    <w:rsid w:val="00862C42"/>
    <w:rsid w:val="008648C3"/>
    <w:rsid w:val="00874519"/>
    <w:rsid w:val="008774D9"/>
    <w:rsid w:val="00896140"/>
    <w:rsid w:val="008B4F1A"/>
    <w:rsid w:val="008B7C66"/>
    <w:rsid w:val="008C3767"/>
    <w:rsid w:val="008C67B8"/>
    <w:rsid w:val="008D357B"/>
    <w:rsid w:val="008E1714"/>
    <w:rsid w:val="008F1A30"/>
    <w:rsid w:val="00900A6A"/>
    <w:rsid w:val="00904752"/>
    <w:rsid w:val="00922671"/>
    <w:rsid w:val="0093166F"/>
    <w:rsid w:val="00946DDC"/>
    <w:rsid w:val="009539FE"/>
    <w:rsid w:val="00955405"/>
    <w:rsid w:val="00955443"/>
    <w:rsid w:val="00981941"/>
    <w:rsid w:val="00982189"/>
    <w:rsid w:val="0098405B"/>
    <w:rsid w:val="00991AEE"/>
    <w:rsid w:val="00997A81"/>
    <w:rsid w:val="009C50AF"/>
    <w:rsid w:val="009E2A02"/>
    <w:rsid w:val="009E6954"/>
    <w:rsid w:val="009F3996"/>
    <w:rsid w:val="009F75AC"/>
    <w:rsid w:val="00A21758"/>
    <w:rsid w:val="00A22964"/>
    <w:rsid w:val="00A34B63"/>
    <w:rsid w:val="00A46DAF"/>
    <w:rsid w:val="00A5138A"/>
    <w:rsid w:val="00A515E4"/>
    <w:rsid w:val="00A618EE"/>
    <w:rsid w:val="00A63F6E"/>
    <w:rsid w:val="00A67D09"/>
    <w:rsid w:val="00A84D55"/>
    <w:rsid w:val="00A97C3C"/>
    <w:rsid w:val="00AB6247"/>
    <w:rsid w:val="00AC0BF3"/>
    <w:rsid w:val="00AC2393"/>
    <w:rsid w:val="00AC26D5"/>
    <w:rsid w:val="00AC3FF7"/>
    <w:rsid w:val="00AC5A51"/>
    <w:rsid w:val="00AC758B"/>
    <w:rsid w:val="00AD031A"/>
    <w:rsid w:val="00AE1424"/>
    <w:rsid w:val="00AE4291"/>
    <w:rsid w:val="00B07552"/>
    <w:rsid w:val="00B0792D"/>
    <w:rsid w:val="00B10BF0"/>
    <w:rsid w:val="00B14501"/>
    <w:rsid w:val="00B1472A"/>
    <w:rsid w:val="00B25A15"/>
    <w:rsid w:val="00B33F6D"/>
    <w:rsid w:val="00B37136"/>
    <w:rsid w:val="00B42CA0"/>
    <w:rsid w:val="00B42EAC"/>
    <w:rsid w:val="00B54F2B"/>
    <w:rsid w:val="00B5609E"/>
    <w:rsid w:val="00B62D6F"/>
    <w:rsid w:val="00B67109"/>
    <w:rsid w:val="00B82759"/>
    <w:rsid w:val="00B9699B"/>
    <w:rsid w:val="00BB0683"/>
    <w:rsid w:val="00BB3524"/>
    <w:rsid w:val="00BB402B"/>
    <w:rsid w:val="00BB411D"/>
    <w:rsid w:val="00BB4703"/>
    <w:rsid w:val="00BC35B0"/>
    <w:rsid w:val="00BD6F73"/>
    <w:rsid w:val="00BE1E07"/>
    <w:rsid w:val="00BE2A91"/>
    <w:rsid w:val="00BE77F1"/>
    <w:rsid w:val="00BF1E3A"/>
    <w:rsid w:val="00BF39D9"/>
    <w:rsid w:val="00C0030E"/>
    <w:rsid w:val="00C056E3"/>
    <w:rsid w:val="00C069FB"/>
    <w:rsid w:val="00C24307"/>
    <w:rsid w:val="00C2575A"/>
    <w:rsid w:val="00C36E6A"/>
    <w:rsid w:val="00C506A0"/>
    <w:rsid w:val="00C51037"/>
    <w:rsid w:val="00C61578"/>
    <w:rsid w:val="00C630DA"/>
    <w:rsid w:val="00C63B46"/>
    <w:rsid w:val="00C6468F"/>
    <w:rsid w:val="00C66DA1"/>
    <w:rsid w:val="00C762E4"/>
    <w:rsid w:val="00C8684D"/>
    <w:rsid w:val="00CC6478"/>
    <w:rsid w:val="00CE0DEF"/>
    <w:rsid w:val="00CE12FD"/>
    <w:rsid w:val="00CE3DBD"/>
    <w:rsid w:val="00CE4E8D"/>
    <w:rsid w:val="00CF3A83"/>
    <w:rsid w:val="00CF3E5A"/>
    <w:rsid w:val="00D0267D"/>
    <w:rsid w:val="00D13792"/>
    <w:rsid w:val="00D23464"/>
    <w:rsid w:val="00D23930"/>
    <w:rsid w:val="00D30973"/>
    <w:rsid w:val="00D33815"/>
    <w:rsid w:val="00D362B7"/>
    <w:rsid w:val="00D367BB"/>
    <w:rsid w:val="00D373C7"/>
    <w:rsid w:val="00D45259"/>
    <w:rsid w:val="00D453AC"/>
    <w:rsid w:val="00D4791A"/>
    <w:rsid w:val="00D5360F"/>
    <w:rsid w:val="00D61383"/>
    <w:rsid w:val="00D66135"/>
    <w:rsid w:val="00D6742C"/>
    <w:rsid w:val="00DA1D4A"/>
    <w:rsid w:val="00DC42B1"/>
    <w:rsid w:val="00DD7094"/>
    <w:rsid w:val="00DD794D"/>
    <w:rsid w:val="00DE18E3"/>
    <w:rsid w:val="00DE1B7C"/>
    <w:rsid w:val="00DE6875"/>
    <w:rsid w:val="00DF31AF"/>
    <w:rsid w:val="00E02CB0"/>
    <w:rsid w:val="00E0580A"/>
    <w:rsid w:val="00E07CA2"/>
    <w:rsid w:val="00E12D42"/>
    <w:rsid w:val="00E231F7"/>
    <w:rsid w:val="00E23849"/>
    <w:rsid w:val="00E303AA"/>
    <w:rsid w:val="00E3712A"/>
    <w:rsid w:val="00E373ED"/>
    <w:rsid w:val="00E52111"/>
    <w:rsid w:val="00E5615C"/>
    <w:rsid w:val="00E62DC4"/>
    <w:rsid w:val="00E74A98"/>
    <w:rsid w:val="00E92E61"/>
    <w:rsid w:val="00EB182F"/>
    <w:rsid w:val="00EC2495"/>
    <w:rsid w:val="00EC2A5D"/>
    <w:rsid w:val="00EC4145"/>
    <w:rsid w:val="00ED21B1"/>
    <w:rsid w:val="00EF053A"/>
    <w:rsid w:val="00EF1AE1"/>
    <w:rsid w:val="00F00280"/>
    <w:rsid w:val="00F01F89"/>
    <w:rsid w:val="00F073C5"/>
    <w:rsid w:val="00F1296C"/>
    <w:rsid w:val="00F13A49"/>
    <w:rsid w:val="00F36E02"/>
    <w:rsid w:val="00F516C1"/>
    <w:rsid w:val="00F640AC"/>
    <w:rsid w:val="00F6410C"/>
    <w:rsid w:val="00F73474"/>
    <w:rsid w:val="00F73E8B"/>
    <w:rsid w:val="00F74722"/>
    <w:rsid w:val="00F75F72"/>
    <w:rsid w:val="00F84DC9"/>
    <w:rsid w:val="00F906C5"/>
    <w:rsid w:val="00F96CC0"/>
    <w:rsid w:val="00FA0092"/>
    <w:rsid w:val="00FB5E54"/>
    <w:rsid w:val="00FC6756"/>
    <w:rsid w:val="00FF30D2"/>
    <w:rsid w:val="00FF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CEB25"/>
  <w15:chartTrackingRefBased/>
  <w15:docId w15:val="{1977451D-F74E-A946-BAE1-99B25348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E74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A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A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A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A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A98"/>
    <w:rPr>
      <w:rFonts w:eastAsiaTheme="majorEastAsia" w:cstheme="majorBidi"/>
      <w:color w:val="272727" w:themeColor="text1" w:themeTint="D8"/>
    </w:rPr>
  </w:style>
  <w:style w:type="paragraph" w:styleId="Title">
    <w:name w:val="Title"/>
    <w:basedOn w:val="Normal"/>
    <w:next w:val="Normal"/>
    <w:link w:val="TitleChar"/>
    <w:uiPriority w:val="10"/>
    <w:qFormat/>
    <w:rsid w:val="00E74A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A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A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4A98"/>
    <w:rPr>
      <w:rFonts w:eastAsiaTheme="minorEastAsia"/>
      <w:i/>
      <w:iCs/>
      <w:color w:val="404040" w:themeColor="text1" w:themeTint="BF"/>
    </w:rPr>
  </w:style>
  <w:style w:type="paragraph" w:styleId="ListParagraph">
    <w:name w:val="List Paragraph"/>
    <w:basedOn w:val="Normal"/>
    <w:uiPriority w:val="34"/>
    <w:qFormat/>
    <w:rsid w:val="00E74A98"/>
    <w:pPr>
      <w:ind w:left="720"/>
      <w:contextualSpacing/>
    </w:pPr>
  </w:style>
  <w:style w:type="character" w:styleId="IntenseEmphasis">
    <w:name w:val="Intense Emphasis"/>
    <w:basedOn w:val="DefaultParagraphFont"/>
    <w:uiPriority w:val="21"/>
    <w:qFormat/>
    <w:rsid w:val="00E74A98"/>
    <w:rPr>
      <w:i/>
      <w:iCs/>
      <w:color w:val="0F4761" w:themeColor="accent1" w:themeShade="BF"/>
    </w:rPr>
  </w:style>
  <w:style w:type="paragraph" w:styleId="IntenseQuote">
    <w:name w:val="Intense Quote"/>
    <w:basedOn w:val="Normal"/>
    <w:next w:val="Normal"/>
    <w:link w:val="IntenseQuoteChar"/>
    <w:uiPriority w:val="30"/>
    <w:qFormat/>
    <w:rsid w:val="00E74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A98"/>
    <w:rPr>
      <w:rFonts w:eastAsiaTheme="minorEastAsia"/>
      <w:i/>
      <w:iCs/>
      <w:color w:val="0F4761" w:themeColor="accent1" w:themeShade="BF"/>
    </w:rPr>
  </w:style>
  <w:style w:type="character" w:styleId="IntenseReference">
    <w:name w:val="Intense Reference"/>
    <w:basedOn w:val="DefaultParagraphFont"/>
    <w:uiPriority w:val="32"/>
    <w:qFormat/>
    <w:rsid w:val="00E74A98"/>
    <w:rPr>
      <w:b/>
      <w:bCs/>
      <w:smallCaps/>
      <w:color w:val="0F4761" w:themeColor="accent1" w:themeShade="BF"/>
      <w:spacing w:val="5"/>
    </w:rPr>
  </w:style>
  <w:style w:type="character" w:styleId="Hyperlink">
    <w:name w:val="Hyperlink"/>
    <w:basedOn w:val="DefaultParagraphFont"/>
    <w:uiPriority w:val="99"/>
    <w:unhideWhenUsed/>
    <w:rsid w:val="00E74A98"/>
    <w:rPr>
      <w:color w:val="467886" w:themeColor="hyperlink"/>
      <w:u w:val="single"/>
    </w:rPr>
  </w:style>
  <w:style w:type="character" w:styleId="UnresolvedMention">
    <w:name w:val="Unresolved Mention"/>
    <w:basedOn w:val="DefaultParagraphFont"/>
    <w:uiPriority w:val="99"/>
    <w:semiHidden/>
    <w:unhideWhenUsed/>
    <w:rsid w:val="00E74A98"/>
    <w:rPr>
      <w:color w:val="605E5C"/>
      <w:shd w:val="clear" w:color="auto" w:fill="E1DFDD"/>
    </w:rPr>
  </w:style>
  <w:style w:type="paragraph" w:styleId="Header">
    <w:name w:val="header"/>
    <w:basedOn w:val="Normal"/>
    <w:link w:val="HeaderChar"/>
    <w:uiPriority w:val="99"/>
    <w:unhideWhenUsed/>
    <w:rsid w:val="00012C8B"/>
    <w:pPr>
      <w:tabs>
        <w:tab w:val="center" w:pos="4680"/>
        <w:tab w:val="right" w:pos="9360"/>
      </w:tabs>
    </w:pPr>
  </w:style>
  <w:style w:type="character" w:customStyle="1" w:styleId="HeaderChar">
    <w:name w:val="Header Char"/>
    <w:basedOn w:val="DefaultParagraphFont"/>
    <w:link w:val="Header"/>
    <w:uiPriority w:val="99"/>
    <w:rsid w:val="00012C8B"/>
    <w:rPr>
      <w:rFonts w:eastAsiaTheme="minorEastAsia"/>
    </w:rPr>
  </w:style>
  <w:style w:type="paragraph" w:styleId="Footer">
    <w:name w:val="footer"/>
    <w:basedOn w:val="Normal"/>
    <w:link w:val="FooterChar"/>
    <w:uiPriority w:val="99"/>
    <w:unhideWhenUsed/>
    <w:rsid w:val="00012C8B"/>
    <w:pPr>
      <w:tabs>
        <w:tab w:val="center" w:pos="4680"/>
        <w:tab w:val="right" w:pos="9360"/>
      </w:tabs>
    </w:pPr>
  </w:style>
  <w:style w:type="character" w:customStyle="1" w:styleId="FooterChar">
    <w:name w:val="Footer Char"/>
    <w:basedOn w:val="DefaultParagraphFont"/>
    <w:link w:val="Footer"/>
    <w:uiPriority w:val="99"/>
    <w:rsid w:val="00012C8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Full paper (GitHub): https://github.com/yourorg/yourrepo/releases/tag/v1.0</dc:subject>
  <dc:creator>Chris Guastaferro</dc:creator>
  <cp:keywords/>
  <dc:description/>
  <cp:lastModifiedBy>Chris Guastaferro</cp:lastModifiedBy>
  <cp:revision>86</cp:revision>
  <cp:lastPrinted>2025-08-25T23:02:00Z</cp:lastPrinted>
  <dcterms:created xsi:type="dcterms:W3CDTF">2025-08-25T19:15:00Z</dcterms:created>
  <dcterms:modified xsi:type="dcterms:W3CDTF">2025-08-25T23:04:00Z</dcterms:modified>
</cp:coreProperties>
</file>