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ENTREGABLE 11</w:t>
        <w:br/>
        <w:t>MATRIZ NARRATIVA DEFINITIVA</w:t>
        <w:br/>
        <w:t>Especificación para la construcción de los contenidos de los 13 perfiles</w:t>
      </w:r>
    </w:p>
    <w:p>
      <w:pPr>
        <w:jc w:val="center"/>
      </w:pPr>
      <w:r>
        <w:rPr>
          <w:b/>
        </w:rPr>
        <w:t>Versión: 1.0</w:t>
        <w:br/>
      </w:r>
      <w:r>
        <w:t>Estado: Pendiente de desarrollo de contenidos</w:t>
        <w:br/>
        <w:t>Proyecto: DISC GESEM</w:t>
      </w:r>
    </w:p>
    <w:p>
      <w:pPr>
        <w:pStyle w:val="Heading2"/>
      </w:pPr>
      <w:r>
        <w:t>1. Objetivo</w:t>
      </w:r>
    </w:p>
    <w:p>
      <w:r>
        <w:t>Este documento constituye la base narrativa que alimentará el motor de generación automática de informes de DISC GESEM. Cada perfil dispondrá de un conjunto completo de textos específicos organizados según la arquitectura definida en el Entregable 10. El objetivo es garantizar una estructura homogénea, un mismo nivel de profundidad y una calidad narrativa consistente en todos los informes.</w:t>
      </w:r>
    </w:p>
    <w:p>
      <w:pPr>
        <w:pStyle w:val="Heading2"/>
      </w:pPr>
      <w:r>
        <w:t>2. Arquitectura de contenidos</w:t>
      </w:r>
    </w:p>
    <w:tbl>
      <w:tblPr>
        <w:tblStyle w:val="TableGrid"/>
        <w:tblW w:type="auto" w:w="0"/>
        <w:tblLook w:firstColumn="1" w:firstRow="1" w:lastColumn="0" w:lastRow="0" w:noHBand="0" w:noVBand="1" w:val="04A0"/>
      </w:tblPr>
      <w:tblGrid>
        <w:gridCol w:w="4320"/>
        <w:gridCol w:w="4320"/>
      </w:tblGrid>
      <w:tr>
        <w:tc>
          <w:tcPr>
            <w:tcW w:type="dxa" w:w="4320"/>
          </w:tcPr>
          <w:p>
            <w:r>
              <w:t>Bloque</w:t>
            </w:r>
          </w:p>
        </w:tc>
        <w:tc>
          <w:tcPr>
            <w:tcW w:type="dxa" w:w="4320"/>
          </w:tcPr>
          <w:p>
            <w:r>
              <w:t>Longitud recomendada</w:t>
            </w:r>
          </w:p>
        </w:tc>
      </w:tr>
      <w:tr>
        <w:tc>
          <w:tcPr>
            <w:tcW w:type="dxa" w:w="4320"/>
          </w:tcPr>
          <w:p>
            <w:r>
              <w:t>Tendencia predominante</w:t>
            </w:r>
          </w:p>
        </w:tc>
        <w:tc>
          <w:tcPr>
            <w:tcW w:type="dxa" w:w="4320"/>
          </w:tcPr>
          <w:p>
            <w:r>
              <w:t>180–250 palabras</w:t>
            </w:r>
          </w:p>
        </w:tc>
      </w:tr>
      <w:tr>
        <w:tc>
          <w:tcPr>
            <w:tcW w:type="dxa" w:w="4320"/>
          </w:tcPr>
          <w:p>
            <w:r>
              <w:t>Recursos predominantes</w:t>
            </w:r>
          </w:p>
        </w:tc>
        <w:tc>
          <w:tcPr>
            <w:tcW w:type="dxa" w:w="4320"/>
          </w:tcPr>
          <w:p>
            <w:r>
              <w:t>120–180 palabras</w:t>
            </w:r>
          </w:p>
        </w:tc>
      </w:tr>
      <w:tr>
        <w:tc>
          <w:tcPr>
            <w:tcW w:type="dxa" w:w="4320"/>
          </w:tcPr>
          <w:p>
            <w:r>
              <w:t>Aportación habitual</w:t>
            </w:r>
          </w:p>
        </w:tc>
        <w:tc>
          <w:tcPr>
            <w:tcW w:type="dxa" w:w="4320"/>
          </w:tcPr>
          <w:p>
            <w:r>
              <w:t>120–180 palabras</w:t>
            </w:r>
          </w:p>
        </w:tc>
      </w:tr>
      <w:tr>
        <w:tc>
          <w:tcPr>
            <w:tcW w:type="dxa" w:w="4320"/>
          </w:tcPr>
          <w:p>
            <w:r>
              <w:t>Lo que otros suelen valorar</w:t>
            </w:r>
          </w:p>
        </w:tc>
        <w:tc>
          <w:tcPr>
            <w:tcW w:type="dxa" w:w="4320"/>
          </w:tcPr>
          <w:p>
            <w:r>
              <w:t>100–150 palabras</w:t>
            </w:r>
          </w:p>
        </w:tc>
      </w:tr>
      <w:tr>
        <w:tc>
          <w:tcPr>
            <w:tcW w:type="dxa" w:w="4320"/>
          </w:tcPr>
          <w:p>
            <w:r>
              <w:t>Aspectos que merece la pena observar</w:t>
            </w:r>
          </w:p>
        </w:tc>
        <w:tc>
          <w:tcPr>
            <w:tcW w:type="dxa" w:w="4320"/>
          </w:tcPr>
          <w:p>
            <w:r>
              <w:t>120–180 palabras</w:t>
            </w:r>
          </w:p>
        </w:tc>
      </w:tr>
      <w:tr>
        <w:tc>
          <w:tcPr>
            <w:tcW w:type="dxa" w:w="4320"/>
          </w:tcPr>
          <w:p>
            <w:r>
              <w:t>Coordinación y colaboración</w:t>
            </w:r>
          </w:p>
        </w:tc>
        <w:tc>
          <w:tcPr>
            <w:tcW w:type="dxa" w:w="4320"/>
          </w:tcPr>
          <w:p>
            <w:r>
              <w:t>180–250 palabras</w:t>
            </w:r>
          </w:p>
        </w:tc>
      </w:tr>
      <w:tr>
        <w:tc>
          <w:tcPr>
            <w:tcW w:type="dxa" w:w="4320"/>
          </w:tcPr>
          <w:p>
            <w:r>
              <w:t>Contextos de mejor desempeño</w:t>
            </w:r>
          </w:p>
        </w:tc>
        <w:tc>
          <w:tcPr>
            <w:tcW w:type="dxa" w:w="4320"/>
          </w:tcPr>
          <w:p>
            <w:r>
              <w:t>120–180 palabras</w:t>
            </w:r>
          </w:p>
        </w:tc>
      </w:tr>
      <w:tr>
        <w:tc>
          <w:tcPr>
            <w:tcW w:type="dxa" w:w="4320"/>
          </w:tcPr>
          <w:p>
            <w:r>
              <w:t>Ampliación de repertorio</w:t>
            </w:r>
          </w:p>
        </w:tc>
        <w:tc>
          <w:tcPr>
            <w:tcW w:type="dxa" w:w="4320"/>
          </w:tcPr>
          <w:p>
            <w:r>
              <w:t>150–220 palabras</w:t>
            </w:r>
          </w:p>
        </w:tc>
      </w:tr>
      <w:tr>
        <w:tc>
          <w:tcPr>
            <w:tcW w:type="dxa" w:w="4320"/>
          </w:tcPr>
          <w:p>
            <w:r>
              <w:t>Preguntas para la reflexión</w:t>
            </w:r>
          </w:p>
        </w:tc>
        <w:tc>
          <w:tcPr>
            <w:tcW w:type="dxa" w:w="4320"/>
          </w:tcPr>
          <w:p>
            <w:r>
              <w:t>5 preguntas abiertas</w:t>
            </w:r>
          </w:p>
        </w:tc>
      </w:tr>
    </w:tbl>
    <w:p>
      <w:r>
        <w:t>Longitud estimada por perfil: entre 1.300 y 1.600 palabras.</w:t>
      </w:r>
    </w:p>
    <w:p>
      <w:pPr>
        <w:pStyle w:val="Heading2"/>
      </w:pPr>
      <w:r>
        <w:t>3. Perfiles incluidos</w:t>
      </w:r>
    </w:p>
    <w:p>
      <w:pPr>
        <w:pStyle w:val="ListBullet"/>
      </w:pPr>
      <w:r>
        <w:t>DI</w:t>
      </w:r>
    </w:p>
    <w:p>
      <w:pPr>
        <w:pStyle w:val="ListBullet"/>
      </w:pPr>
      <w:r>
        <w:t>ID</w:t>
      </w:r>
    </w:p>
    <w:p>
      <w:pPr>
        <w:pStyle w:val="ListBullet"/>
      </w:pPr>
      <w:r>
        <w:t>DC</w:t>
      </w:r>
    </w:p>
    <w:p>
      <w:pPr>
        <w:pStyle w:val="ListBullet"/>
      </w:pPr>
      <w:r>
        <w:t>CD</w:t>
      </w:r>
    </w:p>
    <w:p>
      <w:pPr>
        <w:pStyle w:val="ListBullet"/>
      </w:pPr>
      <w:r>
        <w:t>IS</w:t>
      </w:r>
    </w:p>
    <w:p>
      <w:pPr>
        <w:pStyle w:val="ListBullet"/>
      </w:pPr>
      <w:r>
        <w:t>SI</w:t>
      </w:r>
    </w:p>
    <w:p>
      <w:pPr>
        <w:pStyle w:val="ListBullet"/>
      </w:pPr>
      <w:r>
        <w:t>SC</w:t>
      </w:r>
    </w:p>
    <w:p>
      <w:pPr>
        <w:pStyle w:val="ListBullet"/>
      </w:pPr>
      <w:r>
        <w:t>CS</w:t>
      </w:r>
    </w:p>
    <w:p>
      <w:pPr>
        <w:pStyle w:val="ListBullet"/>
      </w:pPr>
      <w:r>
        <w:t>DS</w:t>
      </w:r>
    </w:p>
    <w:p>
      <w:pPr>
        <w:pStyle w:val="ListBullet"/>
      </w:pPr>
      <w:r>
        <w:t>SD</w:t>
      </w:r>
    </w:p>
    <w:p>
      <w:pPr>
        <w:pStyle w:val="ListBullet"/>
      </w:pPr>
      <w:r>
        <w:t>IC</w:t>
      </w:r>
    </w:p>
    <w:p>
      <w:pPr>
        <w:pStyle w:val="ListBullet"/>
      </w:pPr>
      <w:r>
        <w:t>CI</w:t>
      </w:r>
    </w:p>
    <w:p>
      <w:pPr>
        <w:pStyle w:val="ListBullet"/>
      </w:pPr>
      <w:r>
        <w:t>EQ</w:t>
      </w:r>
    </w:p>
    <w:p>
      <w:r>
        <w:t>La nomenclatura y el algoritmo de asignación se mantienen sin modificaciones respecto a la versión actual.</w:t>
      </w:r>
    </w:p>
    <w:p>
      <w:pPr>
        <w:pStyle w:val="Heading2"/>
      </w:pPr>
      <w:r>
        <w:t>4. Criterios de redacción</w:t>
      </w:r>
    </w:p>
    <w:p>
      <w:r>
        <w:t>• Mantener la fidelidad conceptual al modelo DISC original.</w:t>
        <w:br/>
        <w:t>• No incorporar interpretaciones psicológicas ajenas al modelo.</w:t>
        <w:br/>
        <w:t>• Adaptar el lenguaje a la narrativa GESEM centrada en comunicación, coordinación, colaboración y adaptación.</w:t>
        <w:br/>
        <w:t>• Garantizar homogeneidad en estructura, tono, longitud y profundidad entre los trece perfiles.</w:t>
      </w:r>
    </w:p>
    <w:p>
      <w:pPr>
        <w:pStyle w:val="Heading2"/>
      </w:pPr>
      <w:r>
        <w:t>5. Proceso de construcción</w:t>
      </w:r>
    </w:p>
    <w:p>
      <w:pPr>
        <w:pStyle w:val="ListNumber"/>
      </w:pPr>
      <w:r>
        <w:t>Revisión del informe DISC original.</w:t>
      </w:r>
    </w:p>
    <w:p>
      <w:pPr>
        <w:pStyle w:val="ListNumber"/>
      </w:pPr>
      <w:r>
        <w:t>Extracción de las ideas principales.</w:t>
      </w:r>
    </w:p>
    <w:p>
      <w:pPr>
        <w:pStyle w:val="ListNumber"/>
      </w:pPr>
      <w:r>
        <w:t>Clasificación de las ideas dentro de los nueve bloques definidos.</w:t>
      </w:r>
    </w:p>
    <w:p>
      <w:pPr>
        <w:pStyle w:val="ListNumber"/>
      </w:pPr>
      <w:r>
        <w:t>Adaptación del lenguaje a la narrativa GESEM.</w:t>
      </w:r>
    </w:p>
    <w:p>
      <w:pPr>
        <w:pStyle w:val="ListNumber"/>
      </w:pPr>
      <w:r>
        <w:t>Revisión cruzada con el resto de perfiles para asegurar consistencia.</w:t>
      </w:r>
    </w:p>
    <w:p>
      <w:pPr>
        <w:pStyle w:val="ListNumber"/>
      </w:pPr>
      <w:r>
        <w:t>Validación funcional antes de su incorporación al sistema.</w:t>
      </w:r>
    </w:p>
    <w:p>
      <w:pPr>
        <w:pStyle w:val="Heading2"/>
      </w:pPr>
      <w:r>
        <w:t>6. Formato de almacenamiento</w:t>
      </w:r>
    </w:p>
    <w:p>
      <w:r>
        <w:t>Cada bloque narrativo deberá almacenarse como una unidad independiente para facilitar futuras actualizaciones sin afectar al resto del perfil.</w:t>
        <w:br/>
        <w:br/>
        <w:t>Estructura lógica:</w:t>
        <w:br/>
        <w:br/>
        <w:t>Perfil → Bloque narrativo → Texto correspondiente</w:t>
        <w:br/>
      </w:r>
    </w:p>
    <w:p>
      <w:pPr>
        <w:pStyle w:val="Heading2"/>
      </w:pPr>
      <w:r>
        <w:t>7. Dependencias técnicas</w:t>
      </w:r>
    </w:p>
    <w:p>
      <w:r>
        <w:t>El motor de generación únicamente deberá recibir:</w:t>
        <w:br/>
        <w:br/>
        <w:t>• Perfil obtenido</w:t>
        <w:br/>
        <w:t>• Identificador del bloque</w:t>
        <w:br/>
        <w:t>• Texto correspondiente</w:t>
        <w:br/>
        <w:br/>
        <w:t>Toda la lógica narrativa permanecerá desacoplada del algoritmo de cálculo.</w:t>
      </w:r>
    </w:p>
    <w:p>
      <w:pPr>
        <w:pStyle w:val="Heading2"/>
      </w:pPr>
      <w:r>
        <w:t>8. Validación</w:t>
      </w:r>
    </w:p>
    <w:p>
      <w:pPr>
        <w:pStyle w:val="ListBullet"/>
      </w:pPr>
      <w:r>
        <w:t>Fidelidad conceptual al modelo DISC.</w:t>
      </w:r>
    </w:p>
    <w:p>
      <w:pPr>
        <w:pStyle w:val="ListBullet"/>
      </w:pPr>
      <w:r>
        <w:t>Coherencia con la narrativa GESEM.</w:t>
      </w:r>
    </w:p>
    <w:p>
      <w:pPr>
        <w:pStyle w:val="ListBullet"/>
      </w:pPr>
      <w:r>
        <w:t>Ausencia de etiquetas deterministas.</w:t>
      </w:r>
    </w:p>
    <w:p>
      <w:pPr>
        <w:pStyle w:val="ListBullet"/>
      </w:pPr>
      <w:r>
        <w:t>Claridad para cualquier participante.</w:t>
      </w:r>
    </w:p>
    <w:p>
      <w:pPr>
        <w:pStyle w:val="ListBullet"/>
      </w:pPr>
      <w:r>
        <w:t>Consistencia con el resto de perfiles.</w:t>
      </w:r>
    </w:p>
    <w:p>
      <w:pPr>
        <w:pStyle w:val="ListBullet"/>
      </w:pPr>
      <w:r>
        <w:t>Lenguaje inclusivo, profesional y comprensible.</w:t>
      </w:r>
    </w:p>
    <w:p>
      <w:pPr>
        <w:pStyle w:val="Heading2"/>
      </w:pPr>
      <w:r>
        <w:t>9. Resultado esperado</w:t>
      </w:r>
    </w:p>
    <w:p>
      <w:r>
        <w:t>La versión definitiva de este entregable dará lugar a una biblioteca de 117 bloques narrativos parametrizados:</w:t>
        <w:br/>
        <w:br/>
        <w:t>• 13 perfiles</w:t>
        <w:br/>
        <w:t>• 9 bloques por perfil</w:t>
        <w:br/>
        <w:t>• 117 textos independientes reutilizables por el motor de generación automática de informes.</w:t>
        <w:br/>
        <w:br/>
        <w:t>Esta biblioteca constituirá la base de datos narrativa oficial de DISC GESEM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