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ENTREGABLE 12</w:t>
        <w:br/>
        <w:t>MATRIZ MAESTRA DE CONOCIMIENTO</w:t>
        <w:br/>
        <w:t>DISC GESEM V1</w:t>
      </w:r>
    </w:p>
    <w:p>
      <w:pPr>
        <w:jc w:val="center"/>
      </w:pPr>
      <w:r>
        <w:rPr>
          <w:b/>
        </w:rPr>
        <w:t>Versión: 1.0</w:t>
        <w:br/>
      </w:r>
      <w:r>
        <w:t>Estado: Base de conocimiento</w:t>
        <w:br/>
        <w:t>Proyecto: DISC GESEM</w:t>
        <w:br/>
        <w:t>Destinatario: Desarrollo técnico, diseño instruccional y equipo de contenidos</w:t>
      </w:r>
    </w:p>
    <w:p>
      <w:pPr>
        <w:pStyle w:val="Heading2"/>
      </w:pPr>
      <w:r>
        <w:t>1. Finalidad</w:t>
      </w:r>
    </w:p>
    <w:p>
      <w:r>
        <w:t>Este documento define la estructura de conocimiento que servirá como fuente única de verdad para todos los contenidos de DISC GESEM. Antes de redactar los informes individuales, la plataforma o los materiales del taller, cada perfil deberá quedar sintetizado en esta matriz.</w:t>
      </w:r>
    </w:p>
    <w:p>
      <w:pPr>
        <w:pStyle w:val="Heading2"/>
      </w:pPr>
      <w:r>
        <w:t>2. Objetivos</w:t>
      </w:r>
    </w:p>
    <w:p>
      <w:pPr>
        <w:pStyle w:val="ListBullet"/>
      </w:pPr>
      <w:r>
        <w:t>Unificar el conocimiento de los 13 perfiles.</w:t>
      </w:r>
    </w:p>
    <w:p>
      <w:pPr>
        <w:pStyle w:val="ListBullet"/>
      </w:pPr>
      <w:r>
        <w:t>Evitar contradicciones entre informes, vídeos y talleres.</w:t>
      </w:r>
    </w:p>
    <w:p>
      <w:pPr>
        <w:pStyle w:val="ListBullet"/>
      </w:pPr>
      <w:r>
        <w:t>Facilitar la parametrización del contenido por parte del desarrollo técnico.</w:t>
      </w:r>
    </w:p>
    <w:p>
      <w:pPr>
        <w:pStyle w:val="ListBullet"/>
      </w:pPr>
      <w:r>
        <w:t>Servir como base para la Biblioteca Narrativa (Entregable 13).</w:t>
      </w:r>
    </w:p>
    <w:p>
      <w:pPr>
        <w:pStyle w:val="Heading2"/>
      </w:pPr>
      <w:r>
        <w:t>3. Aplicaciones</w:t>
      </w:r>
    </w:p>
    <w:p>
      <w:r>
        <w:t>La información contenida en esta matriz alimentará:</w:t>
        <w:br/>
        <w:t>• Informes individuales</w:t>
        <w:br/>
        <w:t>• Mapa de equipo</w:t>
        <w:br/>
        <w:t>• Plataforma</w:t>
        <w:br/>
        <w:t>• Guiones de vídeo</w:t>
        <w:br/>
        <w:t>• Materiales de facilitación</w:t>
        <w:br/>
        <w:t>• Evoluciones futuras del producto</w:t>
      </w:r>
    </w:p>
    <w:p>
      <w:pPr>
        <w:pStyle w:val="Heading2"/>
      </w:pPr>
      <w:r>
        <w:t>4. Ficha maestra de cada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Identificador del perfil (DI, ID, etc.).</w:t>
            </w:r>
          </w:p>
        </w:tc>
      </w:tr>
      <w:tr>
        <w:tc>
          <w:tcPr>
            <w:tcW w:type="dxa" w:w="4320"/>
          </w:tcPr>
          <w:p>
            <w:r>
              <w:t>Nombre interno</w:t>
            </w:r>
          </w:p>
        </w:tc>
        <w:tc>
          <w:tcPr>
            <w:tcW w:type="dxa" w:w="4320"/>
          </w:tcPr>
          <w:p>
            <w:r>
              <w:t>Denominación técnica del perfil.</w:t>
            </w:r>
          </w:p>
        </w:tc>
      </w:tr>
      <w:tr>
        <w:tc>
          <w:tcPr>
            <w:tcW w:type="dxa" w:w="4320"/>
          </w:tcPr>
          <w:p>
            <w:r>
              <w:t>Combinación DISC</w:t>
            </w:r>
          </w:p>
        </w:tc>
        <w:tc>
          <w:tcPr>
            <w:tcW w:type="dxa" w:w="4320"/>
          </w:tcPr>
          <w:p>
            <w:r>
              <w:t>Dominancias predominantes.</w:t>
            </w:r>
          </w:p>
        </w:tc>
      </w:tr>
      <w:tr>
        <w:tc>
          <w:tcPr>
            <w:tcW w:type="dxa" w:w="4320"/>
          </w:tcPr>
          <w:p>
            <w:r>
              <w:t>Tendencia principal</w:t>
            </w:r>
          </w:p>
        </w:tc>
        <w:tc>
          <w:tcPr>
            <w:tcW w:type="dxa" w:w="4320"/>
          </w:tcPr>
          <w:p>
            <w:r>
              <w:t>Síntesis de la forma habitual de actuar.</w:t>
            </w:r>
          </w:p>
        </w:tc>
      </w:tr>
      <w:tr>
        <w:tc>
          <w:tcPr>
            <w:tcW w:type="dxa" w:w="4320"/>
          </w:tcPr>
          <w:p>
            <w:r>
              <w:t>Recursos predominantes</w:t>
            </w:r>
          </w:p>
        </w:tc>
        <w:tc>
          <w:tcPr>
            <w:tcW w:type="dxa" w:w="4320"/>
          </w:tcPr>
          <w:p>
            <w:r>
              <w:t>Recursos que aparecen con mayor naturalidad.</w:t>
            </w:r>
          </w:p>
        </w:tc>
      </w:tr>
      <w:tr>
        <w:tc>
          <w:tcPr>
            <w:tcW w:type="dxa" w:w="4320"/>
          </w:tcPr>
          <w:p>
            <w:r>
              <w:t>Aportación habitual</w:t>
            </w:r>
          </w:p>
        </w:tc>
        <w:tc>
          <w:tcPr>
            <w:tcW w:type="dxa" w:w="4320"/>
          </w:tcPr>
          <w:p>
            <w:r>
              <w:t>Valor que suele aportar al equipo.</w:t>
            </w:r>
          </w:p>
        </w:tc>
      </w:tr>
      <w:tr>
        <w:tc>
          <w:tcPr>
            <w:tcW w:type="dxa" w:w="4320"/>
          </w:tcPr>
          <w:p>
            <w:r>
              <w:t>Lo que otros suelen valorar</w:t>
            </w:r>
          </w:p>
        </w:tc>
        <w:tc>
          <w:tcPr>
            <w:tcW w:type="dxa" w:w="4320"/>
          </w:tcPr>
          <w:p>
            <w:r>
              <w:t>Aspectos reconocidos por el entorno.</w:t>
            </w:r>
          </w:p>
        </w:tc>
      </w:tr>
      <w:tr>
        <w:tc>
          <w:tcPr>
            <w:tcW w:type="dxa" w:w="4320"/>
          </w:tcPr>
          <w:p>
            <w:r>
              <w:t>Riesgos de sobreutilización</w:t>
            </w:r>
          </w:p>
        </w:tc>
        <w:tc>
          <w:tcPr>
            <w:tcW w:type="dxa" w:w="4320"/>
          </w:tcPr>
          <w:p>
            <w:r>
              <w:t>Posibles excesos derivados del uso continuado del mismo repertorio.</w:t>
            </w:r>
          </w:p>
        </w:tc>
      </w:tr>
      <w:tr>
        <w:tc>
          <w:tcPr>
            <w:tcW w:type="dxa" w:w="4320"/>
          </w:tcPr>
          <w:p>
            <w:r>
              <w:t>Necesidades de coordinación</w:t>
            </w:r>
          </w:p>
        </w:tc>
        <w:tc>
          <w:tcPr>
            <w:tcW w:type="dxa" w:w="4320"/>
          </w:tcPr>
          <w:p>
            <w:r>
              <w:t>Qué suele necesitar de otras personas y qué pueden necesitar de él/ella.</w:t>
            </w:r>
          </w:p>
        </w:tc>
      </w:tr>
      <w:tr>
        <w:tc>
          <w:tcPr>
            <w:tcW w:type="dxa" w:w="4320"/>
          </w:tcPr>
          <w:p>
            <w:r>
              <w:t>Contextos de mejor desempeño</w:t>
            </w:r>
          </w:p>
        </w:tc>
        <w:tc>
          <w:tcPr>
            <w:tcW w:type="dxa" w:w="4320"/>
          </w:tcPr>
          <w:p>
            <w:r>
              <w:t>Situaciones donde suele desplegar mejor su potencial.</w:t>
            </w:r>
          </w:p>
        </w:tc>
      </w:tr>
      <w:tr>
        <w:tc>
          <w:tcPr>
            <w:tcW w:type="dxa" w:w="4320"/>
          </w:tcPr>
          <w:p>
            <w:r>
              <w:t>Recursos a ampliar</w:t>
            </w:r>
          </w:p>
        </w:tc>
        <w:tc>
          <w:tcPr>
            <w:tcW w:type="dxa" w:w="4320"/>
          </w:tcPr>
          <w:p>
            <w:r>
              <w:t>Capacidades que conviene desarrollar para ampliar el repertorio.</w:t>
            </w:r>
          </w:p>
        </w:tc>
      </w:tr>
      <w:tr>
        <w:tc>
          <w:tcPr>
            <w:tcW w:type="dxa" w:w="4320"/>
          </w:tcPr>
          <w:p>
            <w:r>
              <w:t>Preguntas clave</w:t>
            </w:r>
          </w:p>
        </w:tc>
        <w:tc>
          <w:tcPr>
            <w:tcW w:type="dxa" w:w="4320"/>
          </w:tcPr>
          <w:p>
            <w:r>
              <w:t>Preguntas de reflexión específicas del perfil.</w:t>
            </w:r>
          </w:p>
        </w:tc>
      </w:tr>
    </w:tbl>
    <w:p>
      <w:pPr>
        <w:pStyle w:val="Heading2"/>
      </w:pPr>
      <w:r>
        <w:t>5. Perfiles incluidos</w:t>
      </w:r>
    </w:p>
    <w:p>
      <w:pPr>
        <w:pStyle w:val="ListBullet"/>
      </w:pPr>
      <w:r>
        <w:t>DI</w:t>
      </w:r>
    </w:p>
    <w:p>
      <w:pPr>
        <w:pStyle w:val="ListBullet"/>
      </w:pPr>
      <w:r>
        <w:t>ID</w:t>
      </w:r>
    </w:p>
    <w:p>
      <w:pPr>
        <w:pStyle w:val="ListBullet"/>
      </w:pPr>
      <w:r>
        <w:t>DC</w:t>
      </w:r>
    </w:p>
    <w:p>
      <w:pPr>
        <w:pStyle w:val="ListBullet"/>
      </w:pPr>
      <w:r>
        <w:t>CD</w:t>
      </w:r>
    </w:p>
    <w:p>
      <w:pPr>
        <w:pStyle w:val="ListBullet"/>
      </w:pPr>
      <w:r>
        <w:t>IS</w:t>
      </w:r>
    </w:p>
    <w:p>
      <w:pPr>
        <w:pStyle w:val="ListBullet"/>
      </w:pPr>
      <w:r>
        <w:t>SI</w:t>
      </w:r>
    </w:p>
    <w:p>
      <w:pPr>
        <w:pStyle w:val="ListBullet"/>
      </w:pPr>
      <w:r>
        <w:t>SC</w:t>
      </w:r>
    </w:p>
    <w:p>
      <w:pPr>
        <w:pStyle w:val="ListBullet"/>
      </w:pPr>
      <w:r>
        <w:t>CS</w:t>
      </w:r>
    </w:p>
    <w:p>
      <w:pPr>
        <w:pStyle w:val="ListBullet"/>
      </w:pPr>
      <w:r>
        <w:t>DS</w:t>
      </w:r>
    </w:p>
    <w:p>
      <w:pPr>
        <w:pStyle w:val="ListBullet"/>
      </w:pPr>
      <w:r>
        <w:t>SD</w:t>
      </w:r>
    </w:p>
    <w:p>
      <w:pPr>
        <w:pStyle w:val="ListBullet"/>
      </w:pPr>
      <w:r>
        <w:t>IC</w:t>
      </w:r>
    </w:p>
    <w:p>
      <w:pPr>
        <w:pStyle w:val="ListBullet"/>
      </w:pPr>
      <w:r>
        <w:t>CI</w:t>
      </w:r>
    </w:p>
    <w:p>
      <w:pPr>
        <w:pStyle w:val="ListBullet"/>
      </w:pPr>
      <w:r>
        <w:t>EQ</w:t>
      </w:r>
    </w:p>
    <w:p>
      <w:pPr>
        <w:pStyle w:val="Heading2"/>
      </w:pPr>
      <w:r>
        <w:t>6. Flujo de construcción</w:t>
      </w:r>
    </w:p>
    <w:p>
      <w:pPr>
        <w:pStyle w:val="ListNumber"/>
      </w:pPr>
      <w:r>
        <w:t>Construcción de la ficha maestra del perfil.</w:t>
      </w:r>
    </w:p>
    <w:p>
      <w:pPr>
        <w:pStyle w:val="ListNumber"/>
      </w:pPr>
      <w:r>
        <w:t>Validación frente al modelo DISC original.</w:t>
      </w:r>
    </w:p>
    <w:p>
      <w:pPr>
        <w:pStyle w:val="ListNumber"/>
      </w:pPr>
      <w:r>
        <w:t>Adaptación a la narrativa DISC GESEM.</w:t>
      </w:r>
    </w:p>
    <w:p>
      <w:pPr>
        <w:pStyle w:val="ListNumber"/>
      </w:pPr>
      <w:r>
        <w:t>Generación de los nueve bloques narrativos.</w:t>
      </w:r>
    </w:p>
    <w:p>
      <w:pPr>
        <w:pStyle w:val="ListNumber"/>
      </w:pPr>
      <w:r>
        <w:t>Integración en la Biblioteca Narrativa.</w:t>
      </w:r>
    </w:p>
    <w:p>
      <w:pPr>
        <w:pStyle w:val="ListNumber"/>
      </w:pPr>
      <w:r>
        <w:t>Implementación en la plataforma.</w:t>
      </w:r>
    </w:p>
    <w:p>
      <w:pPr>
        <w:pStyle w:val="Heading2"/>
      </w:pPr>
      <w:r>
        <w:t>7. Relación con los siguientes entregables</w:t>
      </w:r>
    </w:p>
    <w:p>
      <w:r>
        <w:t>Esta matriz constituye la base para el Entregable 13 (Biblioteca Narrativa), el Entregable 14 (Motor de composición de informes) y el Entregable 15 (QA y validación). Ningún contenido narrativo deberá desarrollarse sin que la ficha maestra del perfil haya sido previamente validada.</w:t>
      </w:r>
    </w:p>
    <w:p>
      <w:pPr>
        <w:pStyle w:val="Heading2"/>
      </w:pPr>
      <w:r>
        <w:t>8. Criterios de calidad</w:t>
      </w:r>
    </w:p>
    <w:p>
      <w:pPr>
        <w:pStyle w:val="ListBullet"/>
      </w:pPr>
      <w:r>
        <w:t>Fidelidad al modelo DISC.</w:t>
      </w:r>
    </w:p>
    <w:p>
      <w:pPr>
        <w:pStyle w:val="ListBullet"/>
      </w:pPr>
      <w:r>
        <w:t>Coherencia con la filosofía GESEM.</w:t>
      </w:r>
    </w:p>
    <w:p>
      <w:pPr>
        <w:pStyle w:val="ListBullet"/>
      </w:pPr>
      <w:r>
        <w:t>Lenguaje no determinista.</w:t>
      </w:r>
    </w:p>
    <w:p>
      <w:pPr>
        <w:pStyle w:val="ListBullet"/>
      </w:pPr>
      <w:r>
        <w:t>Aplicación al contexto profesional.</w:t>
      </w:r>
    </w:p>
    <w:p>
      <w:pPr>
        <w:pStyle w:val="ListBullet"/>
      </w:pPr>
      <w:r>
        <w:t>Consistencia entre todos los perfiles.</w:t>
      </w:r>
    </w:p>
    <w:p>
      <w:pPr>
        <w:pStyle w:val="ListBullet"/>
      </w:pPr>
      <w:r>
        <w:t>Escalabilidad para futuras versiones.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