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ripsiHeading1"/>
        <w:spacing w:before="240" w:after="120"/>
        <w:jc w:val="center"/>
      </w:pPr>
      <w:r>
        <w:t>BAB IV</w:t>
      </w:r>
    </w:p>
    <w:p>
      <w:pPr>
        <w:pStyle w:val="SkripsiHeading1"/>
        <w:spacing w:after="480"/>
        <w:jc w:val="center"/>
      </w:pPr>
      <w:r>
        <w:t>HASIL DAN PEMBAHASAN</w:t>
      </w:r>
    </w:p>
    <w:p>
      <w:pPr>
        <w:pStyle w:val="SkripsiHeading2"/>
        <w:spacing w:before="240" w:after="240"/>
      </w:pPr>
      <w:r>
        <w:t>A. Definisi Masalah dan Penyelesaian</w:t>
      </w:r>
    </w:p>
    <w:p>
      <w:pPr>
        <w:spacing w:line="360" w:lineRule="auto" w:after="120"/>
        <w:ind w:firstLine="576"/>
        <w:jc w:val="both"/>
      </w:pPr>
      <w:r>
        <w:t>Penelitian ini didasarkan pada analisis kebutuhan sistem pada Praktik Mandiri Drg. Hj. Rini Sutarti. Sebelum diimplementasikannya aplikasi SiPaGi (Sistem Pakar Penyakit Gigi), proses konsultasi dan pemeriksaan awal pasien masih dilakukan sepenuhnya secara konvensional dan tatap muka langsung. Hal ini memunculkan beberapa batasan krusial, antara lain keterbatasan waktu operasional klinik, panjangnya antrean pasien yang ingin melakukan konsultasi dasar, serta kurangnya kesadaran mandiri dari pasien dalam mendeteksi gejala-gejala awal kerusakan gigi mereka. Sering kali, pasien baru mendatangi dokter gigi ketika kondisi penyakit gigi telah mencapai stadium lanjut yang membutuhkan tindakan medis intensif dan biaya yang relatif mahal.</w:t>
      </w:r>
    </w:p>
    <w:p>
      <w:pPr>
        <w:spacing w:line="360" w:lineRule="auto" w:after="240"/>
        <w:ind w:firstLine="576"/>
        <w:jc w:val="both"/>
      </w:pPr>
      <w:r>
        <w:t>Untuk mengatasi permasalahan tersebut, dirancanglah sebuah aplikasi sistem pakar yang bertujuan untuk menyediakan sarana diagnosa mandiri yang cepat, akurat, dan dapat diakses kapan saja oleh pasien. Sistem ini menggunakan metode penalaran maju (Forward Chaining) yang mengalirkan logika keputusan dari fakta-fakta gejala menuju kesimpulan diagnosa penyakit. Dengan adanya sistem pakar ini, diharapkan pasien dapat mengidentifikasi indikasi penyakit gigi yang dialami secara dini berdasarkan gejala-gejala yang dirasakan, sehingga tindakan pencegahan atau pengobatan lanjutan dapat dilakukan lebih cepat tanpa menunggu kondisi memburuk.</w:t>
      </w:r>
    </w:p>
    <w:p>
      <w:pPr>
        <w:pStyle w:val="SkripsiHeading2"/>
        <w:spacing w:before="120" w:after="120"/>
        <w:ind w:left="288"/>
      </w:pPr>
      <w:r>
        <w:t>1. Definisi Masalah</w:t>
      </w:r>
    </w:p>
    <w:p>
      <w:pPr>
        <w:spacing w:line="360" w:lineRule="auto" w:after="120"/>
        <w:ind w:firstLine="576" w:left="288"/>
        <w:jc w:val="both"/>
      </w:pPr>
      <w:r>
        <w:t>Secara terperinci, identifikasi masalah utama yang melatarbelakangi perancangan aplikasi ini dapat dikelompokkan menjadi beberapa poin penting sebagai berikut:</w:t>
      </w:r>
    </w:p>
    <w:p>
      <w:pPr>
        <w:pStyle w:val="ListBullet"/>
        <w:spacing w:line="360" w:lineRule="auto" w:after="80"/>
        <w:ind w:left="864"/>
        <w:jc w:val="both"/>
      </w:pPr>
      <w:r>
        <w:rPr>
          <w:b/>
        </w:rPr>
        <w:t xml:space="preserve">Keterbatasan Aksesibilitas Konsultasi Medis: </w:t>
      </w:r>
      <w:r>
        <w:t>Pasien yang mengalami keluhan ringan pada gigi sering kali enggan mendatangi klinik dokter gigi secara langsung karena kendala waktu operasional, jarak, atau keharusan mengantre dalam waktu lama hanya untuk mendapatkan informasi diagnosa awal.</w:t>
      </w:r>
    </w:p>
    <w:p>
      <w:pPr>
        <w:pStyle w:val="ListBullet"/>
        <w:spacing w:line="360" w:lineRule="auto" w:after="80"/>
        <w:ind w:left="864"/>
        <w:jc w:val="both"/>
      </w:pPr>
      <w:r>
        <w:rPr>
          <w:b/>
        </w:rPr>
        <w:t xml:space="preserve">Kurangnya Edukasi Dini Mengenai Kesehatan Gigi: </w:t>
      </w:r>
      <w:r>
        <w:t>Banyak masyarakat awam yang kesulitan membedakan gejala penyakit gigi biasa (seperti gigi sensitif biasa) dengan penyakit yang memerlukan penanganan saraf saluran akar (seperti pulpitis). Kurangnya pemahaman ini membuat keputusan medis pasien sering terlambat.</w:t>
      </w:r>
    </w:p>
    <w:p>
      <w:pPr>
        <w:pStyle w:val="ListBullet"/>
        <w:spacing w:line="360" w:lineRule="auto" w:after="80"/>
        <w:ind w:left="864"/>
        <w:jc w:val="both"/>
      </w:pPr>
      <w:r>
        <w:rPr>
          <w:b/>
        </w:rPr>
        <w:t xml:space="preserve">Beban Kerja Administrasi dan Dokter Gigi: </w:t>
      </w:r>
      <w:r>
        <w:t>Dokter gigi menghabiskan waktu yang cukup signifikan untuk menjelaskan berulang kali diagnosis dasar dan penanganan standar kepada pasien yang datang dengan keluhan umum. Hal ini mengurangi efisiensi pelayanan pada tindakan medis yang lebih darurat.</w:t>
      </w:r>
    </w:p>
    <w:p>
      <w:pPr>
        <w:pStyle w:val="ListBullet"/>
        <w:spacing w:line="360" w:lineRule="auto" w:after="80"/>
        <w:ind w:left="864"/>
        <w:jc w:val="both"/>
      </w:pPr>
      <w:r>
        <w:rPr>
          <w:b/>
        </w:rPr>
        <w:t xml:space="preserve">Pencatatan Riwayat Konsultasi yang Tidak Terstruktur: </w:t>
      </w:r>
      <w:r>
        <w:t>Pada sistem berjalan, belum tersedia dokumentasi digital yang mencatat histori keluhan gejala dan diagnosa pasien sebelum mereka masuk ke ruang tindakan. Pencatatan manual rawan hilang dan sulit untuk dilacak kembali guna memantau perkembangan kesehatan gigi pasien.</w:t>
      </w:r>
    </w:p>
    <w:p>
      <w:pPr>
        <w:pStyle w:val="SkripsiHeading2"/>
        <w:spacing w:before="240" w:after="120"/>
        <w:ind w:left="288"/>
      </w:pPr>
      <w:r>
        <w:t>2. Solusi Penyelesaian Masalah</w:t>
      </w:r>
    </w:p>
    <w:p>
      <w:pPr>
        <w:spacing w:line="360" w:lineRule="auto" w:after="120"/>
        <w:ind w:firstLine="576" w:left="288"/>
        <w:jc w:val="both"/>
      </w:pPr>
      <w:r>
        <w:t>Sebagai bentuk pemecahan masalah dari kendala-kendala di atas, dirancanglah sistem pakar SiPaGi dengan spesifikasi penyelesaian masalah sebagai berikut:</w:t>
      </w:r>
    </w:p>
    <w:p>
      <w:pPr>
        <w:pStyle w:val="ListBullet"/>
        <w:spacing w:line="360" w:lineRule="auto" w:after="80"/>
        <w:ind w:left="864"/>
        <w:jc w:val="both"/>
      </w:pPr>
      <w:r>
        <w:rPr>
          <w:b/>
        </w:rPr>
        <w:t xml:space="preserve">Implementasi Engine Forward Chaining: </w:t>
      </w:r>
      <w:r>
        <w:t>Sistem menyusun basis pengetahuan (knowledge base) yang bersumber dari pakar (Drg. Hj. Rini Sutarti) berupa 8 daftar penyakit gigi dan 25 gejala klinis. Relasi antara keduanya diwujudkan dalam 40 aturan logika IF-THEN. Mesin inferensi menelusuri keluhan gejala yang dipilih oleh pasien sebagai fakta awal (working memory) untuk ditarik kesimpulan menjadi penyakit gigi yang paling relevan.</w:t>
      </w:r>
    </w:p>
    <w:p>
      <w:pPr>
        <w:pStyle w:val="ListBullet"/>
        <w:spacing w:line="360" w:lineRule="auto" w:after="80"/>
        <w:ind w:left="864"/>
        <w:jc w:val="both"/>
      </w:pPr>
      <w:r>
        <w:rPr>
          <w:b/>
        </w:rPr>
        <w:t xml:space="preserve">Penghitungan Persentase Kecocokan Diagnosa: </w:t>
      </w:r>
      <w:r>
        <w:t>Sistem menghitung persentase kecocokan secara matematis berdasarkan jumlah gejala yang cocok dibagi dengan total gejala yang dipersyaratkan oleh suatu penyakit. Hal ini memberikan transparansi kepada pasien mengenai seberapa dekat keluhan mereka dengan profil klinis penyakit tertentu.</w:t>
      </w:r>
    </w:p>
    <w:p>
      <w:pPr>
        <w:pStyle w:val="ListBullet"/>
        <w:spacing w:line="360" w:lineRule="auto" w:after="80"/>
        <w:ind w:left="864"/>
        <w:jc w:val="both"/>
      </w:pPr>
      <w:r>
        <w:rPr>
          <w:b/>
        </w:rPr>
        <w:t xml:space="preserve">Penyediaan Halaman Riwayat Konsultasi Digital: </w:t>
      </w:r>
      <w:r>
        <w:t>Setiap sesi konsultasi yang dilakukan oleh pasien otomatis terekam ke dalam database MySQL, mencakup nama pasien, keluhan gejala yang dipilih, diagnosa penyakit utama yang dihasilkan, serta persentase kecocokan. Admin/klinik dapat memantau, mencari, dan menghapus riwayat tersebut melalui dashboard pengelolaan.</w:t>
      </w:r>
    </w:p>
    <w:p>
      <w:pPr>
        <w:pStyle w:val="ListBullet"/>
        <w:spacing w:line="360" w:lineRule="auto" w:after="80"/>
        <w:ind w:left="864"/>
        <w:jc w:val="both"/>
      </w:pPr>
      <w:r>
        <w:rPr>
          <w:b/>
        </w:rPr>
        <w:t xml:space="preserve">Optimasi Layout Ramah Cetak (Print-Friendly): </w:t>
      </w:r>
      <w:r>
        <w:t>Hasil konsultasi dirancang agar dapat diunduh dalam bentuk laporan PDF/cetak secara instan dengan tata letak yang bersih dan legibilitas tinggi. Laporan cetak ini dapat dibawa langsung oleh pasien sebagai rujukan awal ketika melakukan pemeriksaan fisik lanjutan di Praktik Mandiri Drg. Hj. Rini Sutarti.</w:t>
      </w:r>
    </w:p>
    <w:p>
      <w:pPr>
        <w:pStyle w:val="SkripsiHeading2"/>
        <w:spacing w:before="360" w:after="240"/>
      </w:pPr>
      <w:r>
        <w:t>B. Pembahasan Algoritma</w:t>
      </w:r>
    </w:p>
    <w:p>
      <w:pPr>
        <w:spacing w:line="360" w:lineRule="auto" w:after="120"/>
        <w:ind w:firstLine="576"/>
        <w:jc w:val="both"/>
      </w:pPr>
      <w:r>
        <w:t>Metode Forward Chaining merupakan metode pencarian maju yang dimulai dari pengumpulan fakta-fakta klinis (dalam hal ini adalah gejala penyakit gigi yang dirasakan oleh pasien) untuk kemudian diuji dengan aturan-aturan yang ada di dalam basis pengetahuan (knowledge base). Logika penalaran inferensi ini secara umum dinyatakan sebagai berikut:</w:t>
      </w:r>
    </w:p>
    <w:p>
      <w:pPr>
        <w:spacing w:before="120" w:after="120"/>
        <w:jc w:val="center"/>
      </w:pPr>
      <w:r>
        <w:rPr>
          <w:b/>
          <w:sz w:val="22"/>
        </w:rPr>
        <w:t>IF (Gejala_A AND Gejala_B AND ... Gejala_N) THEN (Penyakit_X)</w:t>
      </w:r>
    </w:p>
    <w:p>
      <w:pPr>
        <w:spacing w:line="360" w:lineRule="auto" w:after="240"/>
        <w:ind w:firstLine="576"/>
        <w:jc w:val="both"/>
      </w:pPr>
      <w:r>
        <w:t>Untuk memberikan penjelasan yang konkrit mengenai proses inferensi, di bawah ini dipaparkan simulasi penelusuran Forward Chaining pada aplikasi SiPaGi berdasarkan satu studi kasus pasien.</w:t>
      </w:r>
    </w:p>
    <w:p>
      <w:pPr>
        <w:pStyle w:val="SkripsiHeading2"/>
        <w:spacing w:before="120" w:after="120"/>
        <w:ind w:left="288"/>
      </w:pPr>
      <w:r>
        <w:t>1. Studi Kasus dan Fakta Awal (Working Memory)</w:t>
      </w:r>
    </w:p>
    <w:p>
      <w:pPr>
        <w:spacing w:line="360" w:lineRule="auto" w:after="120"/>
        <w:ind w:firstLine="576" w:left="288"/>
        <w:jc w:val="both"/>
      </w:pPr>
      <w:r>
        <w:t>Misalkan seorang pasien melakukan konsultasi mandiri di SiPaGi dan menginputkan keluhan berupa 4 gejala fisik. Gejala-gejala tersebut disimpan dalam Working Memory sistem sebagai fakta-fakta awal berikut:</w:t>
      </w:r>
    </w:p>
    <w:p>
      <w:pPr>
        <w:pStyle w:val="ListBullet"/>
        <w:spacing w:after="40"/>
        <w:ind w:left="864"/>
      </w:pPr>
      <w:r>
        <w:rPr>
          <w:b/>
        </w:rPr>
        <w:t xml:space="preserve">G003: </w:t>
      </w:r>
      <w:r>
        <w:t>Gigi terlihat berlubang atau berwarna kehitaman</w:t>
      </w:r>
    </w:p>
    <w:p>
      <w:pPr>
        <w:pStyle w:val="ListBullet"/>
        <w:spacing w:after="40"/>
        <w:ind w:left="864"/>
      </w:pPr>
      <w:r>
        <w:rPr>
          <w:b/>
        </w:rPr>
        <w:t xml:space="preserve">G005: </w:t>
      </w:r>
      <w:r>
        <w:t>Sensitivitas pada makanan/minuman dingin</w:t>
      </w:r>
    </w:p>
    <w:p>
      <w:pPr>
        <w:pStyle w:val="ListBullet"/>
        <w:spacing w:after="40"/>
        <w:ind w:left="864"/>
      </w:pPr>
      <w:r>
        <w:rPr>
          <w:b/>
        </w:rPr>
        <w:t xml:space="preserve">G006: </w:t>
      </w:r>
      <w:r>
        <w:t>Sensitivitas pada makanan/minuman manis atau asam</w:t>
      </w:r>
    </w:p>
    <w:p>
      <w:pPr>
        <w:pStyle w:val="ListBullet"/>
        <w:spacing w:after="40"/>
        <w:ind w:left="864"/>
      </w:pPr>
      <w:r>
        <w:rPr>
          <w:b/>
        </w:rPr>
        <w:t xml:space="preserve">G025: </w:t>
      </w:r>
      <w:r>
        <w:t>Nyeri hanya saat ada rangsangan (bukan spontan)</w:t>
      </w:r>
    </w:p>
    <w:p>
      <w:pPr>
        <w:pStyle w:val="SkripsiHeading2"/>
        <w:spacing w:before="240" w:after="120"/>
        <w:ind w:left="288"/>
      </w:pPr>
      <w:r>
        <w:t>2. Pencocokan Aturan dan Perhitungan Persentase</w:t>
      </w:r>
    </w:p>
    <w:p>
      <w:pPr>
        <w:spacing w:line="360" w:lineRule="auto" w:after="240"/>
        <w:ind w:firstLine="576" w:left="288"/>
        <w:jc w:val="both"/>
      </w:pPr>
      <w:r>
        <w:t>Mesin inferensi kemudian mencocokkan fakta awal di atas dengan aturan (rules) dari masing-masing 8 penyakit gigi. Rumus matematika yang digunakan untuk menghitung persentase kecocokan (K) adalah:</w:t>
      </w:r>
    </w:p>
    <w:p>
      <w:pPr>
        <w:spacing w:before="120" w:after="120"/>
        <w:jc w:val="center"/>
      </w:pPr>
      <w:r>
        <w:rPr>
          <w:b/>
        </w:rPr>
        <w:t>K = (Jumlah Gejala Cocok / Total Gejala Aturan) x 100%</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E0E0E0"/>
          <w:insideV w:val="none"/>
        </w:tblBorders>
      </w:tblPr>
      <w:tblGrid>
        <w:gridCol w:w="1380"/>
        <w:gridCol w:w="1380"/>
        <w:gridCol w:w="1380"/>
        <w:gridCol w:w="1380"/>
        <w:gridCol w:w="1380"/>
        <w:gridCol w:w="1380"/>
      </w:tblGrid>
      <w:tr>
        <w:tc>
          <w:tcPr>
            <w:tcW w:type="dxa" w:w="864"/>
            <w:shd w:fill="0EA5E9"/>
            <w:tcMar>
              <w:top w:w="120" w:type="dxa"/>
              <w:bottom w:w="120" w:type="dxa"/>
              <w:left w:w="100" w:type="dxa"/>
              <w:right w:w="100" w:type="dxa"/>
            </w:tcMar>
          </w:tcPr>
          <w:p>
            <w:pPr>
              <w:jc w:val="center"/>
            </w:pPr>
            <w:r>
              <w:rPr>
                <w:b/>
                <w:color w:val="FFFFFF"/>
                <w:sz w:val="20"/>
              </w:rPr>
              <w:t>Kode</w:t>
            </w:r>
          </w:p>
        </w:tc>
        <w:tc>
          <w:tcPr>
            <w:tcW w:type="dxa" w:w="2592"/>
            <w:shd w:fill="0EA5E9"/>
            <w:tcMar>
              <w:top w:w="120" w:type="dxa"/>
              <w:bottom w:w="120" w:type="dxa"/>
              <w:left w:w="100" w:type="dxa"/>
              <w:right w:w="100" w:type="dxa"/>
            </w:tcMar>
          </w:tcPr>
          <w:p>
            <w:pPr>
              <w:jc w:val="center"/>
            </w:pPr>
            <w:r>
              <w:rPr>
                <w:b/>
                <w:color w:val="FFFFFF"/>
                <w:sz w:val="20"/>
              </w:rPr>
              <w:t>Nama Penyakit</w:t>
            </w:r>
          </w:p>
        </w:tc>
        <w:tc>
          <w:tcPr>
            <w:tcW w:type="dxa" w:w="1872"/>
            <w:shd w:fill="0EA5E9"/>
            <w:tcMar>
              <w:top w:w="120" w:type="dxa"/>
              <w:bottom w:w="120" w:type="dxa"/>
              <w:left w:w="100" w:type="dxa"/>
              <w:right w:w="100" w:type="dxa"/>
            </w:tcMar>
          </w:tcPr>
          <w:p>
            <w:pPr>
              <w:jc w:val="center"/>
            </w:pPr>
            <w:r>
              <w:rPr>
                <w:b/>
                <w:color w:val="FFFFFF"/>
                <w:sz w:val="20"/>
              </w:rPr>
              <w:t>Gejala Aturan</w:t>
            </w:r>
          </w:p>
        </w:tc>
        <w:tc>
          <w:tcPr>
            <w:tcW w:type="dxa" w:w="1584"/>
            <w:shd w:fill="0EA5E9"/>
            <w:tcMar>
              <w:top w:w="120" w:type="dxa"/>
              <w:bottom w:w="120" w:type="dxa"/>
              <w:left w:w="100" w:type="dxa"/>
              <w:right w:w="100" w:type="dxa"/>
            </w:tcMar>
          </w:tcPr>
          <w:p>
            <w:pPr>
              <w:jc w:val="center"/>
            </w:pPr>
            <w:r>
              <w:rPr>
                <w:b/>
                <w:color w:val="FFFFFF"/>
                <w:sz w:val="20"/>
              </w:rPr>
              <w:t>Gejala Cocok</w:t>
            </w:r>
          </w:p>
        </w:tc>
        <w:tc>
          <w:tcPr>
            <w:tcW w:type="dxa" w:w="1872"/>
            <w:shd w:fill="0EA5E9"/>
            <w:tcMar>
              <w:top w:w="120" w:type="dxa"/>
              <w:bottom w:w="120" w:type="dxa"/>
              <w:left w:w="100" w:type="dxa"/>
              <w:right w:w="100" w:type="dxa"/>
            </w:tcMar>
          </w:tcPr>
          <w:p>
            <w:pPr>
              <w:jc w:val="center"/>
            </w:pPr>
            <w:r>
              <w:rPr>
                <w:b/>
                <w:color w:val="FFFFFF"/>
                <w:sz w:val="20"/>
              </w:rPr>
              <w:t>Hasil Perhitungan</w:t>
            </w:r>
          </w:p>
        </w:tc>
        <w:tc>
          <w:tcPr>
            <w:tcW w:type="dxa" w:w="1296"/>
            <w:shd w:fill="0EA5E9"/>
            <w:tcMar>
              <w:top w:w="120" w:type="dxa"/>
              <w:bottom w:w="120" w:type="dxa"/>
              <w:left w:w="100" w:type="dxa"/>
              <w:right w:w="100" w:type="dxa"/>
            </w:tcMar>
          </w:tcPr>
          <w:p>
            <w:pPr>
              <w:jc w:val="center"/>
            </w:pPr>
            <w:r>
              <w:rPr>
                <w:b/>
                <w:color w:val="FFFFFF"/>
                <w:sz w:val="20"/>
              </w:rPr>
              <w:t>Persentase</w:t>
            </w:r>
          </w:p>
        </w:tc>
      </w:tr>
      <w:tr>
        <w:tc>
          <w:tcPr>
            <w:tcW w:type="dxa" w:w="864"/>
            <w:vAlign w:val="center"/>
            <w:tcMar>
              <w:top w:w="100" w:type="dxa"/>
              <w:bottom w:w="100" w:type="dxa"/>
              <w:left w:w="100" w:type="dxa"/>
              <w:right w:w="100" w:type="dxa"/>
            </w:tcMar>
          </w:tcPr>
          <w:p>
            <w:pPr>
              <w:jc w:val="center"/>
            </w:pPr>
            <w:r>
              <w:rPr>
                <w:sz w:val="19"/>
              </w:rPr>
              <w:t>P001</w:t>
            </w:r>
          </w:p>
        </w:tc>
        <w:tc>
          <w:tcPr>
            <w:tcW w:type="dxa" w:w="2592"/>
            <w:vAlign w:val="center"/>
            <w:tcMar>
              <w:top w:w="100" w:type="dxa"/>
              <w:bottom w:w="100" w:type="dxa"/>
              <w:left w:w="100" w:type="dxa"/>
              <w:right w:w="100" w:type="dxa"/>
            </w:tcMar>
          </w:tcPr>
          <w:p>
            <w:pPr>
              <w:jc w:val="left"/>
            </w:pPr>
            <w:r>
              <w:rPr>
                <w:sz w:val="19"/>
              </w:rPr>
              <w:t>Karies Gigi</w:t>
            </w:r>
          </w:p>
        </w:tc>
        <w:tc>
          <w:tcPr>
            <w:tcW w:type="dxa" w:w="1872"/>
            <w:vAlign w:val="center"/>
            <w:tcMar>
              <w:top w:w="100" w:type="dxa"/>
              <w:bottom w:w="100" w:type="dxa"/>
              <w:left w:w="100" w:type="dxa"/>
              <w:right w:w="100" w:type="dxa"/>
            </w:tcMar>
          </w:tcPr>
          <w:p>
            <w:pPr>
              <w:jc w:val="left"/>
            </w:pPr>
            <w:r>
              <w:rPr>
                <w:sz w:val="19"/>
              </w:rPr>
              <w:t>G003, G005, G006, G023, G025</w:t>
            </w:r>
          </w:p>
        </w:tc>
        <w:tc>
          <w:tcPr>
            <w:tcW w:type="dxa" w:w="1584"/>
            <w:vAlign w:val="center"/>
            <w:tcMar>
              <w:top w:w="100" w:type="dxa"/>
              <w:bottom w:w="100" w:type="dxa"/>
              <w:left w:w="100" w:type="dxa"/>
              <w:right w:w="100" w:type="dxa"/>
            </w:tcMar>
          </w:tcPr>
          <w:p>
            <w:pPr>
              <w:jc w:val="left"/>
            </w:pPr>
            <w:r>
              <w:rPr>
                <w:sz w:val="19"/>
              </w:rPr>
              <w:t>G003, G005, G006, G025</w:t>
            </w:r>
          </w:p>
        </w:tc>
        <w:tc>
          <w:tcPr>
            <w:tcW w:type="dxa" w:w="1872"/>
            <w:vAlign w:val="center"/>
            <w:tcMar>
              <w:top w:w="100" w:type="dxa"/>
              <w:bottom w:w="100" w:type="dxa"/>
              <w:left w:w="100" w:type="dxa"/>
              <w:right w:w="100" w:type="dxa"/>
            </w:tcMar>
          </w:tcPr>
          <w:p>
            <w:pPr>
              <w:jc w:val="center"/>
            </w:pPr>
            <w:r>
              <w:rPr>
                <w:sz w:val="19"/>
              </w:rPr>
              <w:t>(4 / 5) x 100%</w:t>
            </w:r>
          </w:p>
        </w:tc>
        <w:tc>
          <w:tcPr>
            <w:tcW w:type="dxa" w:w="1296"/>
            <w:vAlign w:val="center"/>
            <w:tcMar>
              <w:top w:w="100" w:type="dxa"/>
              <w:bottom w:w="100" w:type="dxa"/>
              <w:left w:w="100" w:type="dxa"/>
              <w:right w:w="100" w:type="dxa"/>
            </w:tcMar>
          </w:tcPr>
          <w:p>
            <w:pPr>
              <w:jc w:val="center"/>
            </w:pPr>
            <w:r>
              <w:rPr>
                <w:sz w:val="19"/>
              </w:rPr>
              <w:t>80.00%</w:t>
            </w:r>
          </w:p>
        </w:tc>
      </w:tr>
      <w:tr>
        <w:tc>
          <w:tcPr>
            <w:tcW w:type="dxa" w:w="864"/>
            <w:vAlign w:val="center"/>
            <w:tcMar>
              <w:top w:w="100" w:type="dxa"/>
              <w:bottom w:w="100" w:type="dxa"/>
              <w:left w:w="100" w:type="dxa"/>
              <w:right w:w="100" w:type="dxa"/>
            </w:tcMar>
            <w:shd w:fill="F8FAFC"/>
          </w:tcPr>
          <w:p>
            <w:pPr>
              <w:jc w:val="center"/>
            </w:pPr>
            <w:r>
              <w:rPr>
                <w:sz w:val="19"/>
              </w:rPr>
              <w:t>P002</w:t>
            </w:r>
          </w:p>
        </w:tc>
        <w:tc>
          <w:tcPr>
            <w:tcW w:type="dxa" w:w="2592"/>
            <w:vAlign w:val="center"/>
            <w:tcMar>
              <w:top w:w="100" w:type="dxa"/>
              <w:bottom w:w="100" w:type="dxa"/>
              <w:left w:w="100" w:type="dxa"/>
              <w:right w:w="100" w:type="dxa"/>
            </w:tcMar>
            <w:shd w:fill="F8FAFC"/>
          </w:tcPr>
          <w:p>
            <w:pPr>
              <w:jc w:val="left"/>
            </w:pPr>
            <w:r>
              <w:rPr>
                <w:sz w:val="19"/>
              </w:rPr>
              <w:t>Pulpitis</w:t>
            </w:r>
          </w:p>
        </w:tc>
        <w:tc>
          <w:tcPr>
            <w:tcW w:type="dxa" w:w="1872"/>
            <w:vAlign w:val="center"/>
            <w:tcMar>
              <w:top w:w="100" w:type="dxa"/>
              <w:bottom w:w="100" w:type="dxa"/>
              <w:left w:w="100" w:type="dxa"/>
              <w:right w:w="100" w:type="dxa"/>
            </w:tcMar>
            <w:shd w:fill="F8FAFC"/>
          </w:tcPr>
          <w:p>
            <w:pPr>
              <w:jc w:val="left"/>
            </w:pPr>
            <w:r>
              <w:rPr>
                <w:sz w:val="19"/>
              </w:rPr>
              <w:t>G001, G004, G005, G015, G024</w:t>
            </w:r>
          </w:p>
        </w:tc>
        <w:tc>
          <w:tcPr>
            <w:tcW w:type="dxa" w:w="1584"/>
            <w:vAlign w:val="center"/>
            <w:tcMar>
              <w:top w:w="100" w:type="dxa"/>
              <w:bottom w:w="100" w:type="dxa"/>
              <w:left w:w="100" w:type="dxa"/>
              <w:right w:w="100" w:type="dxa"/>
            </w:tcMar>
            <w:shd w:fill="F8FAFC"/>
          </w:tcPr>
          <w:p>
            <w:pPr>
              <w:jc w:val="left"/>
            </w:pPr>
            <w:r>
              <w:rPr>
                <w:sz w:val="19"/>
              </w:rPr>
              <w:t>G005</w:t>
            </w:r>
          </w:p>
        </w:tc>
        <w:tc>
          <w:tcPr>
            <w:tcW w:type="dxa" w:w="1872"/>
            <w:vAlign w:val="center"/>
            <w:tcMar>
              <w:top w:w="100" w:type="dxa"/>
              <w:bottom w:w="100" w:type="dxa"/>
              <w:left w:w="100" w:type="dxa"/>
              <w:right w:w="100" w:type="dxa"/>
            </w:tcMar>
            <w:shd w:fill="F8FAFC"/>
          </w:tcPr>
          <w:p>
            <w:pPr>
              <w:jc w:val="center"/>
            </w:pPr>
            <w:r>
              <w:rPr>
                <w:sz w:val="19"/>
              </w:rPr>
              <w:t>(1 / 5) x 100%</w:t>
            </w:r>
          </w:p>
        </w:tc>
        <w:tc>
          <w:tcPr>
            <w:tcW w:type="dxa" w:w="1296"/>
            <w:vAlign w:val="center"/>
            <w:tcMar>
              <w:top w:w="100" w:type="dxa"/>
              <w:bottom w:w="100" w:type="dxa"/>
              <w:left w:w="100" w:type="dxa"/>
              <w:right w:w="100" w:type="dxa"/>
            </w:tcMar>
            <w:shd w:fill="F8FAFC"/>
          </w:tcPr>
          <w:p>
            <w:pPr>
              <w:jc w:val="center"/>
            </w:pPr>
            <w:r>
              <w:rPr>
                <w:sz w:val="19"/>
              </w:rPr>
              <w:t>20.00%</w:t>
            </w:r>
          </w:p>
        </w:tc>
      </w:tr>
      <w:tr>
        <w:tc>
          <w:tcPr>
            <w:tcW w:type="dxa" w:w="864"/>
            <w:vAlign w:val="center"/>
            <w:tcMar>
              <w:top w:w="100" w:type="dxa"/>
              <w:bottom w:w="100" w:type="dxa"/>
              <w:left w:w="100" w:type="dxa"/>
              <w:right w:w="100" w:type="dxa"/>
            </w:tcMar>
          </w:tcPr>
          <w:p>
            <w:pPr>
              <w:jc w:val="center"/>
            </w:pPr>
            <w:r>
              <w:rPr>
                <w:sz w:val="19"/>
              </w:rPr>
              <w:t>P003</w:t>
            </w:r>
          </w:p>
        </w:tc>
        <w:tc>
          <w:tcPr>
            <w:tcW w:type="dxa" w:w="2592"/>
            <w:vAlign w:val="center"/>
            <w:tcMar>
              <w:top w:w="100" w:type="dxa"/>
              <w:bottom w:w="100" w:type="dxa"/>
              <w:left w:w="100" w:type="dxa"/>
              <w:right w:w="100" w:type="dxa"/>
            </w:tcMar>
          </w:tcPr>
          <w:p>
            <w:pPr>
              <w:jc w:val="left"/>
            </w:pPr>
            <w:r>
              <w:rPr>
                <w:sz w:val="19"/>
              </w:rPr>
              <w:t>Periodontitis</w:t>
            </w:r>
          </w:p>
        </w:tc>
        <w:tc>
          <w:tcPr>
            <w:tcW w:type="dxa" w:w="1872"/>
            <w:vAlign w:val="center"/>
            <w:tcMar>
              <w:top w:w="100" w:type="dxa"/>
              <w:bottom w:w="100" w:type="dxa"/>
              <w:left w:w="100" w:type="dxa"/>
              <w:right w:w="100" w:type="dxa"/>
            </w:tcMar>
          </w:tcPr>
          <w:p>
            <w:pPr>
              <w:jc w:val="left"/>
            </w:pPr>
            <w:r>
              <w:rPr>
                <w:sz w:val="19"/>
              </w:rPr>
              <w:t>G007, G008, G009, G010, G011, G021, G022</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7</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P004</w:t>
            </w:r>
          </w:p>
        </w:tc>
        <w:tc>
          <w:tcPr>
            <w:tcW w:type="dxa" w:w="2592"/>
            <w:vAlign w:val="center"/>
            <w:tcMar>
              <w:top w:w="100" w:type="dxa"/>
              <w:bottom w:w="100" w:type="dxa"/>
              <w:left w:w="100" w:type="dxa"/>
              <w:right w:w="100" w:type="dxa"/>
            </w:tcMar>
            <w:shd w:fill="F8FAFC"/>
          </w:tcPr>
          <w:p>
            <w:pPr>
              <w:jc w:val="left"/>
            </w:pPr>
            <w:r>
              <w:rPr>
                <w:sz w:val="19"/>
              </w:rPr>
              <w:t>Gingivitis</w:t>
            </w:r>
          </w:p>
        </w:tc>
        <w:tc>
          <w:tcPr>
            <w:tcW w:type="dxa" w:w="1872"/>
            <w:vAlign w:val="center"/>
            <w:tcMar>
              <w:top w:w="100" w:type="dxa"/>
              <w:bottom w:w="100" w:type="dxa"/>
              <w:left w:w="100" w:type="dxa"/>
              <w:right w:w="100" w:type="dxa"/>
            </w:tcMar>
            <w:shd w:fill="F8FAFC"/>
          </w:tcPr>
          <w:p>
            <w:pPr>
              <w:jc w:val="left"/>
            </w:pPr>
            <w:r>
              <w:rPr>
                <w:sz w:val="19"/>
              </w:rPr>
              <w:t>G007, G008, G010, G021</w:t>
            </w:r>
          </w:p>
        </w:tc>
        <w:tc>
          <w:tcPr>
            <w:tcW w:type="dxa" w:w="1584"/>
            <w:vAlign w:val="center"/>
            <w:tcMar>
              <w:top w:w="100" w:type="dxa"/>
              <w:bottom w:w="100" w:type="dxa"/>
              <w:left w:w="100" w:type="dxa"/>
              <w:right w:w="100" w:type="dxa"/>
            </w:tcMar>
            <w:shd w:fill="F8FAFC"/>
          </w:tcPr>
          <w:p>
            <w:pPr>
              <w:jc w:val="left"/>
            </w:pPr>
            <w:r>
              <w:rPr>
                <w:sz w:val="19"/>
              </w:rPr>
              <w:t>-</w:t>
            </w:r>
          </w:p>
        </w:tc>
        <w:tc>
          <w:tcPr>
            <w:tcW w:type="dxa" w:w="1872"/>
            <w:vAlign w:val="center"/>
            <w:tcMar>
              <w:top w:w="100" w:type="dxa"/>
              <w:bottom w:w="100" w:type="dxa"/>
              <w:left w:w="100" w:type="dxa"/>
              <w:right w:w="100" w:type="dxa"/>
            </w:tcMar>
            <w:shd w:fill="F8FAFC"/>
          </w:tcPr>
          <w:p>
            <w:pPr>
              <w:jc w:val="center"/>
            </w:pPr>
            <w:r>
              <w:rPr>
                <w:sz w:val="19"/>
              </w:rPr>
              <w:t>0 / 4</w:t>
            </w:r>
          </w:p>
        </w:tc>
        <w:tc>
          <w:tcPr>
            <w:tcW w:type="dxa" w:w="1296"/>
            <w:vAlign w:val="center"/>
            <w:tcMar>
              <w:top w:w="100" w:type="dxa"/>
              <w:bottom w:w="100" w:type="dxa"/>
              <w:left w:w="100" w:type="dxa"/>
              <w:right w:w="100" w:type="dxa"/>
            </w:tcMar>
            <w:shd w:fill="F8FAFC"/>
          </w:tcPr>
          <w:p>
            <w:pPr>
              <w:jc w:val="center"/>
            </w:pPr>
            <w:r>
              <w:rPr>
                <w:sz w:val="19"/>
              </w:rPr>
              <w:t>0.00%</w:t>
            </w:r>
          </w:p>
        </w:tc>
      </w:tr>
      <w:tr>
        <w:tc>
          <w:tcPr>
            <w:tcW w:type="dxa" w:w="864"/>
            <w:vAlign w:val="center"/>
            <w:tcMar>
              <w:top w:w="100" w:type="dxa"/>
              <w:bottom w:w="100" w:type="dxa"/>
              <w:left w:w="100" w:type="dxa"/>
              <w:right w:w="100" w:type="dxa"/>
            </w:tcMar>
          </w:tcPr>
          <w:p>
            <w:pPr>
              <w:jc w:val="center"/>
            </w:pPr>
            <w:r>
              <w:rPr>
                <w:sz w:val="19"/>
              </w:rPr>
              <w:t>P005</w:t>
            </w:r>
          </w:p>
        </w:tc>
        <w:tc>
          <w:tcPr>
            <w:tcW w:type="dxa" w:w="2592"/>
            <w:vAlign w:val="center"/>
            <w:tcMar>
              <w:top w:w="100" w:type="dxa"/>
              <w:bottom w:w="100" w:type="dxa"/>
              <w:left w:w="100" w:type="dxa"/>
              <w:right w:w="100" w:type="dxa"/>
            </w:tcMar>
          </w:tcPr>
          <w:p>
            <w:pPr>
              <w:jc w:val="left"/>
            </w:pPr>
            <w:r>
              <w:rPr>
                <w:sz w:val="19"/>
              </w:rPr>
              <w:t>Abses Periapikal</w:t>
            </w:r>
          </w:p>
        </w:tc>
        <w:tc>
          <w:tcPr>
            <w:tcW w:type="dxa" w:w="1872"/>
            <w:vAlign w:val="center"/>
            <w:tcMar>
              <w:top w:w="100" w:type="dxa"/>
              <w:bottom w:w="100" w:type="dxa"/>
              <w:left w:w="100" w:type="dxa"/>
              <w:right w:w="100" w:type="dxa"/>
            </w:tcMar>
          </w:tcPr>
          <w:p>
            <w:pPr>
              <w:jc w:val="left"/>
            </w:pPr>
            <w:r>
              <w:rPr>
                <w:sz w:val="19"/>
              </w:rPr>
              <w:t>G001, G002, G012, G013, G014, G015</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6</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P006</w:t>
            </w:r>
          </w:p>
        </w:tc>
        <w:tc>
          <w:tcPr>
            <w:tcW w:type="dxa" w:w="2592"/>
            <w:vAlign w:val="center"/>
            <w:tcMar>
              <w:top w:w="100" w:type="dxa"/>
              <w:bottom w:w="100" w:type="dxa"/>
              <w:left w:w="100" w:type="dxa"/>
              <w:right w:w="100" w:type="dxa"/>
            </w:tcMar>
            <w:shd w:fill="F8FAFC"/>
          </w:tcPr>
          <w:p>
            <w:pPr>
              <w:jc w:val="left"/>
            </w:pPr>
            <w:r>
              <w:rPr>
                <w:sz w:val="19"/>
              </w:rPr>
              <w:t>Gigi Sensitif</w:t>
            </w:r>
          </w:p>
        </w:tc>
        <w:tc>
          <w:tcPr>
            <w:tcW w:type="dxa" w:w="1872"/>
            <w:vAlign w:val="center"/>
            <w:tcMar>
              <w:top w:w="100" w:type="dxa"/>
              <w:bottom w:w="100" w:type="dxa"/>
              <w:left w:w="100" w:type="dxa"/>
              <w:right w:w="100" w:type="dxa"/>
            </w:tcMar>
            <w:shd w:fill="F8FAFC"/>
          </w:tcPr>
          <w:p>
            <w:pPr>
              <w:jc w:val="left"/>
            </w:pPr>
            <w:r>
              <w:rPr>
                <w:sz w:val="19"/>
              </w:rPr>
              <w:t>G004, G005, G006, G022, G025</w:t>
            </w:r>
          </w:p>
        </w:tc>
        <w:tc>
          <w:tcPr>
            <w:tcW w:type="dxa" w:w="1584"/>
            <w:vAlign w:val="center"/>
            <w:tcMar>
              <w:top w:w="100" w:type="dxa"/>
              <w:bottom w:w="100" w:type="dxa"/>
              <w:left w:w="100" w:type="dxa"/>
              <w:right w:w="100" w:type="dxa"/>
            </w:tcMar>
            <w:shd w:fill="F8FAFC"/>
          </w:tcPr>
          <w:p>
            <w:pPr>
              <w:jc w:val="left"/>
            </w:pPr>
            <w:r>
              <w:rPr>
                <w:sz w:val="19"/>
              </w:rPr>
              <w:t>G005, G006, G025</w:t>
            </w:r>
          </w:p>
        </w:tc>
        <w:tc>
          <w:tcPr>
            <w:tcW w:type="dxa" w:w="1872"/>
            <w:vAlign w:val="center"/>
            <w:tcMar>
              <w:top w:w="100" w:type="dxa"/>
              <w:bottom w:w="100" w:type="dxa"/>
              <w:left w:w="100" w:type="dxa"/>
              <w:right w:w="100" w:type="dxa"/>
            </w:tcMar>
            <w:shd w:fill="F8FAFC"/>
          </w:tcPr>
          <w:p>
            <w:pPr>
              <w:jc w:val="center"/>
            </w:pPr>
            <w:r>
              <w:rPr>
                <w:sz w:val="19"/>
              </w:rPr>
              <w:t>(3 / 5) x 100%</w:t>
            </w:r>
          </w:p>
        </w:tc>
        <w:tc>
          <w:tcPr>
            <w:tcW w:type="dxa" w:w="1296"/>
            <w:vAlign w:val="center"/>
            <w:tcMar>
              <w:top w:w="100" w:type="dxa"/>
              <w:bottom w:w="100" w:type="dxa"/>
              <w:left w:w="100" w:type="dxa"/>
              <w:right w:w="100" w:type="dxa"/>
            </w:tcMar>
            <w:shd w:fill="F8FAFC"/>
          </w:tcPr>
          <w:p>
            <w:pPr>
              <w:jc w:val="center"/>
            </w:pPr>
            <w:r>
              <w:rPr>
                <w:sz w:val="19"/>
              </w:rPr>
              <w:t>60.00%</w:t>
            </w:r>
          </w:p>
        </w:tc>
      </w:tr>
      <w:tr>
        <w:tc>
          <w:tcPr>
            <w:tcW w:type="dxa" w:w="864"/>
            <w:vAlign w:val="center"/>
            <w:tcMar>
              <w:top w:w="100" w:type="dxa"/>
              <w:bottom w:w="100" w:type="dxa"/>
              <w:left w:w="100" w:type="dxa"/>
              <w:right w:w="100" w:type="dxa"/>
            </w:tcMar>
          </w:tcPr>
          <w:p>
            <w:pPr>
              <w:jc w:val="center"/>
            </w:pPr>
            <w:r>
              <w:rPr>
                <w:sz w:val="19"/>
              </w:rPr>
              <w:t>P007</w:t>
            </w:r>
          </w:p>
        </w:tc>
        <w:tc>
          <w:tcPr>
            <w:tcW w:type="dxa" w:w="2592"/>
            <w:vAlign w:val="center"/>
            <w:tcMar>
              <w:top w:w="100" w:type="dxa"/>
              <w:bottom w:w="100" w:type="dxa"/>
              <w:left w:w="100" w:type="dxa"/>
              <w:right w:w="100" w:type="dxa"/>
            </w:tcMar>
          </w:tcPr>
          <w:p>
            <w:pPr>
              <w:jc w:val="left"/>
            </w:pPr>
            <w:r>
              <w:rPr>
                <w:sz w:val="19"/>
              </w:rPr>
              <w:t>Sariawan</w:t>
            </w:r>
          </w:p>
        </w:tc>
        <w:tc>
          <w:tcPr>
            <w:tcW w:type="dxa" w:w="1872"/>
            <w:vAlign w:val="center"/>
            <w:tcMar>
              <w:top w:w="100" w:type="dxa"/>
              <w:bottom w:w="100" w:type="dxa"/>
              <w:left w:w="100" w:type="dxa"/>
              <w:right w:w="100" w:type="dxa"/>
            </w:tcMar>
          </w:tcPr>
          <w:p>
            <w:pPr>
              <w:jc w:val="left"/>
            </w:pPr>
            <w:r>
              <w:rPr>
                <w:sz w:val="19"/>
              </w:rPr>
              <w:t>G016, G017, G018</w:t>
            </w:r>
          </w:p>
        </w:tc>
        <w:tc>
          <w:tcPr>
            <w:tcW w:type="dxa" w:w="1584"/>
            <w:vAlign w:val="center"/>
            <w:tcMar>
              <w:top w:w="100" w:type="dxa"/>
              <w:bottom w:w="100" w:type="dxa"/>
              <w:left w:w="100" w:type="dxa"/>
              <w:right w:w="100" w:type="dxa"/>
            </w:tcMar>
          </w:tcPr>
          <w:p>
            <w:pPr>
              <w:jc w:val="left"/>
            </w:pPr>
            <w:r>
              <w:rPr>
                <w:sz w:val="19"/>
              </w:rPr>
              <w:t>-</w:t>
            </w:r>
          </w:p>
        </w:tc>
        <w:tc>
          <w:tcPr>
            <w:tcW w:type="dxa" w:w="1872"/>
            <w:vAlign w:val="center"/>
            <w:tcMar>
              <w:top w:w="100" w:type="dxa"/>
              <w:bottom w:w="100" w:type="dxa"/>
              <w:left w:w="100" w:type="dxa"/>
              <w:right w:w="100" w:type="dxa"/>
            </w:tcMar>
          </w:tcPr>
          <w:p>
            <w:pPr>
              <w:jc w:val="center"/>
            </w:pPr>
            <w:r>
              <w:rPr>
                <w:sz w:val="19"/>
              </w:rPr>
              <w:t>0 / 3</w:t>
            </w:r>
          </w:p>
        </w:tc>
        <w:tc>
          <w:tcPr>
            <w:tcW w:type="dxa" w:w="1296"/>
            <w:vAlign w:val="center"/>
            <w:tcMar>
              <w:top w:w="100" w:type="dxa"/>
              <w:bottom w:w="100" w:type="dxa"/>
              <w:left w:w="100" w:type="dxa"/>
              <w:right w:w="100" w:type="dxa"/>
            </w:tcMar>
          </w:tcPr>
          <w:p>
            <w:pPr>
              <w:jc w:val="center"/>
            </w:pPr>
            <w:r>
              <w:rPr>
                <w:sz w:val="19"/>
              </w:rPr>
              <w:t>0.00%</w:t>
            </w:r>
          </w:p>
        </w:tc>
      </w:tr>
      <w:tr>
        <w:tc>
          <w:tcPr>
            <w:tcW w:type="dxa" w:w="864"/>
            <w:vAlign w:val="center"/>
            <w:tcMar>
              <w:top w:w="100" w:type="dxa"/>
              <w:bottom w:w="100" w:type="dxa"/>
              <w:left w:w="100" w:type="dxa"/>
              <w:right w:w="100" w:type="dxa"/>
            </w:tcMar>
            <w:shd w:fill="F8FAFC"/>
          </w:tcPr>
          <w:p>
            <w:pPr>
              <w:jc w:val="center"/>
            </w:pPr>
            <w:r>
              <w:rPr>
                <w:sz w:val="19"/>
              </w:rPr>
              <w:t>P008</w:t>
            </w:r>
          </w:p>
        </w:tc>
        <w:tc>
          <w:tcPr>
            <w:tcW w:type="dxa" w:w="2592"/>
            <w:vAlign w:val="center"/>
            <w:tcMar>
              <w:top w:w="100" w:type="dxa"/>
              <w:bottom w:w="100" w:type="dxa"/>
              <w:left w:w="100" w:type="dxa"/>
              <w:right w:w="100" w:type="dxa"/>
            </w:tcMar>
            <w:shd w:fill="F8FAFC"/>
          </w:tcPr>
          <w:p>
            <w:pPr>
              <w:jc w:val="left"/>
            </w:pPr>
            <w:r>
              <w:rPr>
                <w:sz w:val="19"/>
              </w:rPr>
              <w:t>Fraktur Gigi</w:t>
            </w:r>
          </w:p>
        </w:tc>
        <w:tc>
          <w:tcPr>
            <w:tcW w:type="dxa" w:w="1872"/>
            <w:vAlign w:val="center"/>
            <w:tcMar>
              <w:top w:w="100" w:type="dxa"/>
              <w:bottom w:w="100" w:type="dxa"/>
              <w:left w:w="100" w:type="dxa"/>
              <w:right w:w="100" w:type="dxa"/>
            </w:tcMar>
            <w:shd w:fill="F8FAFC"/>
          </w:tcPr>
          <w:p>
            <w:pPr>
              <w:jc w:val="left"/>
            </w:pPr>
            <w:r>
              <w:rPr>
                <w:sz w:val="19"/>
              </w:rPr>
              <w:t>G002, G004, G005, G019, G020</w:t>
            </w:r>
          </w:p>
        </w:tc>
        <w:tc>
          <w:tcPr>
            <w:tcW w:type="dxa" w:w="1584"/>
            <w:vAlign w:val="center"/>
            <w:tcMar>
              <w:top w:w="100" w:type="dxa"/>
              <w:bottom w:w="100" w:type="dxa"/>
              <w:left w:w="100" w:type="dxa"/>
              <w:right w:w="100" w:type="dxa"/>
            </w:tcMar>
            <w:shd w:fill="F8FAFC"/>
          </w:tcPr>
          <w:p>
            <w:pPr>
              <w:jc w:val="left"/>
            </w:pPr>
            <w:r>
              <w:rPr>
                <w:sz w:val="19"/>
              </w:rPr>
              <w:t>G005</w:t>
            </w:r>
          </w:p>
        </w:tc>
        <w:tc>
          <w:tcPr>
            <w:tcW w:type="dxa" w:w="1872"/>
            <w:vAlign w:val="center"/>
            <w:tcMar>
              <w:top w:w="100" w:type="dxa"/>
              <w:bottom w:w="100" w:type="dxa"/>
              <w:left w:w="100" w:type="dxa"/>
              <w:right w:w="100" w:type="dxa"/>
            </w:tcMar>
            <w:shd w:fill="F8FAFC"/>
          </w:tcPr>
          <w:p>
            <w:pPr>
              <w:jc w:val="center"/>
            </w:pPr>
            <w:r>
              <w:rPr>
                <w:sz w:val="19"/>
              </w:rPr>
              <w:t>(1 / 5) x 100%</w:t>
            </w:r>
          </w:p>
        </w:tc>
        <w:tc>
          <w:tcPr>
            <w:tcW w:type="dxa" w:w="1296"/>
            <w:vAlign w:val="center"/>
            <w:tcMar>
              <w:top w:w="100" w:type="dxa"/>
              <w:bottom w:w="100" w:type="dxa"/>
              <w:left w:w="100" w:type="dxa"/>
              <w:right w:w="100" w:type="dxa"/>
            </w:tcMar>
            <w:shd w:fill="F8FAFC"/>
          </w:tcPr>
          <w:p>
            <w:pPr>
              <w:jc w:val="center"/>
            </w:pPr>
            <w:r>
              <w:rPr>
                <w:sz w:val="19"/>
              </w:rPr>
              <w:t>20.00%</w:t>
            </w:r>
          </w:p>
        </w:tc>
      </w:tr>
    </w:tbl>
    <w:p>
      <w:pPr>
        <w:spacing w:after="120"/>
      </w:pPr>
    </w:p>
    <w:p>
      <w:pPr>
        <w:spacing w:line="360" w:lineRule="auto" w:after="240"/>
        <w:ind w:firstLine="576" w:left="288"/>
        <w:jc w:val="both"/>
      </w:pPr>
      <w:r>
        <w:t>Berdasarkan tabel pencocokan di atas, sistem pakar mengurutkan penyakit dengan persentase kecocokan tertinggi sebagai diagnosa utama. Pada kasus ini, Karies Gigi (P001) menempati urutan pertama dengan persentase 80.00%, diikuti oleh Gigi Sensitif (P006) sebesar 60.00%, dan Pulpitis (P002) serta Fraktur Gigi (P008) masing-masing sebesar 20.00%. Hasil inilah yang kemudian disajikan kepada pasien di halaman hasil diagnosa dan disimpan dalam basis data riwayat.</w:t>
      </w:r>
    </w:p>
    <w:p>
      <w:pPr>
        <w:pStyle w:val="SkripsiHeading2"/>
        <w:spacing w:before="360" w:after="240"/>
      </w:pPr>
      <w:r>
        <w:t>C. Pemodelan Perangkat Lunak</w:t>
      </w:r>
    </w:p>
    <w:p>
      <w:pPr>
        <w:spacing w:line="360" w:lineRule="auto" w:after="120"/>
        <w:ind w:firstLine="576"/>
        <w:jc w:val="both"/>
      </w:pPr>
      <w:r>
        <w:t>Aplikasi SiPaGi dikembangkan menggunakan arsitektur web client-server. Server menggunakan bahasa pemrograman PHP yang bertugas memproses data masukan dan database MySQL untuk menyimpan data relational. Struktur tabel database yang dirancang untuk mendukung operasional sistem pakar ini meliputi:</w:t>
      </w:r>
    </w:p>
    <w:p>
      <w:pPr>
        <w:pStyle w:val="ListBullet"/>
        <w:spacing w:after="40"/>
        <w:ind w:left="864"/>
      </w:pPr>
      <w:r>
        <w:rPr>
          <w:b/>
        </w:rPr>
        <w:t xml:space="preserve">Tabel users: </w:t>
      </w:r>
      <w:r>
        <w:t>Menyimpan data otentikasi admin dan dokter gigi (id, nama, username, password, role, created_at).</w:t>
      </w:r>
    </w:p>
    <w:p>
      <w:pPr>
        <w:pStyle w:val="ListBullet"/>
        <w:spacing w:after="40"/>
        <w:ind w:left="864"/>
      </w:pPr>
      <w:r>
        <w:rPr>
          <w:b/>
        </w:rPr>
        <w:t xml:space="preserve">Tabel penyakit: </w:t>
      </w:r>
      <w:r>
        <w:t>Menyimpan kamus penyakit gigi (id, kode, nama, deskripsi, solusi, created_at).</w:t>
      </w:r>
    </w:p>
    <w:p>
      <w:pPr>
        <w:pStyle w:val="ListBullet"/>
        <w:spacing w:after="40"/>
        <w:ind w:left="864"/>
      </w:pPr>
      <w:r>
        <w:rPr>
          <w:b/>
        </w:rPr>
        <w:t xml:space="preserve">Tabel gejala: </w:t>
      </w:r>
      <w:r>
        <w:t>Menyimpan kamus gejala klinis gigi dan mulut (id, kode, nama, created_at).</w:t>
      </w:r>
    </w:p>
    <w:p>
      <w:pPr>
        <w:pStyle w:val="ListBullet"/>
        <w:spacing w:after="40"/>
        <w:ind w:left="864"/>
      </w:pPr>
      <w:r>
        <w:rPr>
          <w:b/>
        </w:rPr>
        <w:t xml:space="preserve">Tabel aturan: </w:t>
      </w:r>
      <w:r>
        <w:t>Menyimpan aturan logika relasional antara penyakit dan gejalanya (id, penyakit_id, gejala_id).</w:t>
      </w:r>
    </w:p>
    <w:p>
      <w:pPr>
        <w:pStyle w:val="ListBullet"/>
        <w:spacing w:after="40"/>
        <w:ind w:left="864"/>
      </w:pPr>
      <w:r>
        <w:rPr>
          <w:b/>
        </w:rPr>
        <w:t xml:space="preserve">Tabel konsultasi: </w:t>
      </w:r>
      <w:r>
        <w:t>Menyimpan data hasil akhir konsultasi pasien (id, user_id, nama_pasien, tanggal, hasil_diagnosa, persentase).</w:t>
      </w:r>
    </w:p>
    <w:p>
      <w:pPr>
        <w:pStyle w:val="ListBullet"/>
        <w:spacing w:after="40"/>
        <w:ind w:left="864"/>
      </w:pPr>
      <w:r>
        <w:rPr>
          <w:b/>
        </w:rPr>
        <w:t xml:space="preserve">Tabel konsultasi_gejala: </w:t>
      </w:r>
      <w:r>
        <w:t>Menyimpan detail gejala spesifik yang dipilih pasien pada suatu sesi konsultasi (id, konsultasi_id, gejala_id).</w:t>
      </w:r>
    </w:p>
    <w:p>
      <w:pPr>
        <w:spacing w:line="360" w:lineRule="auto" w:after="240"/>
        <w:ind w:firstLine="576"/>
        <w:jc w:val="both"/>
      </w:pPr>
      <w:r>
        <w:t>Logika pemrograman engine Forward Chaining dibungkus ke dalam class PHP 'ForwardChaining' yang terletak di file forward_chaining.php. Ketika data dikirimkan dari form konsultasi, engine akan memuat seluruh daftar penyakit, melakukan query SQL berparameter (Prepared Statements) untuk mengambil relasi aturan gejala masing-masing penyakit, mencocokkannya dengan fakta input menggunakan fungsi in_array(), menghitung nilai persentase, mengurutkan hasil berdasarkan nilai persentase tertinggi menggunakan usort(), dan menyimpannya ke tabel konsultasi.</w:t>
      </w:r>
    </w:p>
    <w:p>
      <w:pPr>
        <w:pStyle w:val="SkripsiHeading2"/>
        <w:spacing w:before="360" w:after="240"/>
      </w:pPr>
      <w:r>
        <w:t>D. Kelebihan dan Kelemahan Penelitian</w:t>
      </w:r>
    </w:p>
    <w:p>
      <w:pPr>
        <w:pStyle w:val="SkripsiHeading2"/>
        <w:spacing w:before="120" w:after="120"/>
        <w:ind w:left="288"/>
      </w:pPr>
      <w:r>
        <w:t>1. Kelebihan Penelitian</w:t>
      </w:r>
    </w:p>
    <w:p>
      <w:pPr>
        <w:pStyle w:val="ListBullet"/>
        <w:spacing w:after="80"/>
        <w:ind w:left="864"/>
      </w:pPr>
      <w:r>
        <w:rPr>
          <w:b/>
        </w:rPr>
        <w:t xml:space="preserve">Efisiensi Waktu dan Biaya: </w:t>
      </w:r>
      <w:r>
        <w:t>Memberikan diagnosa awal yang cepat (hitungan detik) secara gratis tanpa harus mengantre lama di klinik hanya untuk pemeriksaan dasar.</w:t>
      </w:r>
    </w:p>
    <w:p>
      <w:pPr>
        <w:pStyle w:val="ListBullet"/>
        <w:spacing w:after="80"/>
        <w:ind w:left="864"/>
      </w:pPr>
      <w:r>
        <w:rPr>
          <w:b/>
        </w:rPr>
        <w:t xml:space="preserve">Antarmuka Modern dan Responsif: </w:t>
      </w:r>
      <w:r>
        <w:t>Aplikasi dirancang dengan visual premium dark theme yang responsif, memudahkan diakses melalui perangkat komputer maupun smartphone secara nyaman.</w:t>
      </w:r>
    </w:p>
    <w:p>
      <w:pPr>
        <w:pStyle w:val="ListBullet"/>
        <w:spacing w:after="80"/>
        <w:ind w:left="864"/>
      </w:pPr>
      <w:r>
        <w:rPr>
          <w:b/>
        </w:rPr>
        <w:t xml:space="preserve">Fitur Pencetakan Rujukan Mandiri: </w:t>
      </w:r>
      <w:r>
        <w:t>Hasil diagnosa dapat dicetak langsung dalam tata letak dokumen formal yang rapi untuk dibawa saat konsultasi tatap muka.</w:t>
      </w:r>
    </w:p>
    <w:p>
      <w:pPr>
        <w:pStyle w:val="ListBullet"/>
        <w:spacing w:after="80"/>
        <w:ind w:left="864"/>
      </w:pPr>
      <w:r>
        <w:rPr>
          <w:b/>
        </w:rPr>
        <w:t xml:space="preserve">Keamanan Pengelolaan Data: </w:t>
      </w:r>
      <w:r>
        <w:t>Implementasi prepared statements pada query SQL meminimalkan celah kerentanan SQL Injection, dan password admin dienkripsi menggunakan algoritma bcrypt.</w:t>
      </w:r>
    </w:p>
    <w:p>
      <w:pPr>
        <w:pStyle w:val="SkripsiHeading2"/>
        <w:spacing w:before="240" w:after="120"/>
        <w:ind w:left="288"/>
      </w:pPr>
      <w:r>
        <w:t>2. Kelemahan Penelitian</w:t>
      </w:r>
    </w:p>
    <w:p>
      <w:pPr>
        <w:pStyle w:val="ListBullet"/>
        <w:spacing w:after="80"/>
        <w:ind w:left="864"/>
      </w:pPr>
      <w:r>
        <w:rPr>
          <w:b/>
        </w:rPr>
        <w:t xml:space="preserve">Diagnosa Bersifat Screening Awal: </w:t>
      </w:r>
      <w:r>
        <w:t>Sistem pakar tidak dapat menggantikan pemeriksaan fisik langsung oleh dokter gigi seperti rontgen gigi untuk mengetahui kedalaman lubang.</w:t>
      </w:r>
    </w:p>
    <w:p>
      <w:pPr>
        <w:pStyle w:val="ListBullet"/>
        <w:spacing w:after="80"/>
        <w:ind w:left="864"/>
      </w:pPr>
      <w:r>
        <w:rPr>
          <w:b/>
        </w:rPr>
        <w:t xml:space="preserve">Keterbatasan Input Informasi Medis: </w:t>
      </w:r>
      <w:r>
        <w:t>Penentuan diagnosa saat ini murni hanya berdasarkan checkbox keluhan gejala, tanpa didukung input multimedia (seperti foto visual kondisi gigi pasien).</w:t>
      </w:r>
    </w:p>
    <w:p>
      <w:pPr>
        <w:pStyle w:val="ListBullet"/>
        <w:spacing w:after="80"/>
        <w:ind w:left="864"/>
      </w:pPr>
      <w:r>
        <w:rPr>
          <w:b/>
        </w:rPr>
        <w:t xml:space="preserve">Ketergantungan Terhadap Kejujuran Pasien: </w:t>
      </w:r>
      <w:r>
        <w:t>Jika pasien salah memilih gejala atau tidak mengenali gejala yang mereka alami secara akurat, sistem akan menghasilkan persentase diagnosa yang kurang tepat.</w:t>
      </w:r>
    </w:p>
    <w:p>
      <w:r>
        <w:br w:type="page"/>
      </w:r>
    </w:p>
    <w:p>
      <w:pPr>
        <w:pStyle w:val="SkripsiHeading1"/>
        <w:spacing w:before="240" w:after="120"/>
        <w:jc w:val="center"/>
      </w:pPr>
      <w:r>
        <w:t>BAB V</w:t>
      </w:r>
    </w:p>
    <w:p>
      <w:pPr>
        <w:pStyle w:val="SkripsiHeading1"/>
        <w:spacing w:after="480"/>
        <w:jc w:val="center"/>
      </w:pPr>
      <w:r>
        <w:t>PENUTUP</w:t>
      </w:r>
    </w:p>
    <w:p>
      <w:pPr>
        <w:pStyle w:val="SkripsiHeading2"/>
        <w:spacing w:before="240" w:after="240"/>
      </w:pPr>
      <w:r>
        <w:t>A. Kesimpulan</w:t>
      </w:r>
    </w:p>
    <w:p>
      <w:pPr>
        <w:spacing w:line="360" w:lineRule="auto" w:after="120"/>
        <w:ind w:firstLine="576"/>
        <w:jc w:val="both"/>
      </w:pPr>
      <w:r>
        <w:t>Berdasarkan hasil analisis, perancangan, implementasi, dan pengujian yang telah dilakukan pada Sistem Pakar Penyakit Gigi (SiPaGi) menggunakan metode Forward Chaining di Praktik Mandiri Drg. Hj. Rini Sutarti, dapat ditarik beberapa kesimpulan sebagai berikut:</w:t>
      </w:r>
    </w:p>
    <w:p>
      <w:pPr>
        <w:pStyle w:val="ListNumber"/>
        <w:spacing w:line="360" w:lineRule="auto" w:after="80"/>
        <w:ind w:left="576"/>
        <w:jc w:val="both"/>
      </w:pPr>
      <w:r>
        <w:t>Aplikasi SiPaGi berhasil dikembangkan sebagai platform berbasis web yang memudahkan pasien dalam melakukan diagnosa awal mandiri penyakit gigi berdasarkan 25 keluhan gejala klinis.</w:t>
      </w:r>
    </w:p>
    <w:p>
      <w:pPr>
        <w:pStyle w:val="ListNumber"/>
        <w:spacing w:line="360" w:lineRule="auto" w:after="80"/>
        <w:ind w:left="576"/>
        <w:jc w:val="both"/>
      </w:pPr>
      <w:r>
        <w:t>Metode Forward Chaining terbukti sangat cocok diimplementasikan dalam sistem pakar ini untuk melakukan penelusuran maju dari sekumpulan fakta gejala klinis menuju kesimpulan diagnosa penyakit gigi dengan akurasi logika yang terstruktur sesuai basis pengetahuan pakar.</w:t>
      </w:r>
    </w:p>
    <w:p>
      <w:pPr>
        <w:pStyle w:val="ListNumber"/>
        <w:spacing w:line="360" w:lineRule="auto" w:after="80"/>
        <w:ind w:left="576"/>
        <w:jc w:val="both"/>
      </w:pPr>
      <w:r>
        <w:t>Sistem penghitungan persentase kecocokan memberikan gambaran tingkat kemiripan klinis yang objektif bagi pasien untuk memahami estimasi diagnosa penyakit.</w:t>
      </w:r>
    </w:p>
    <w:p>
      <w:pPr>
        <w:pStyle w:val="ListNumber"/>
        <w:spacing w:line="360" w:lineRule="auto" w:after="80"/>
        <w:ind w:left="576"/>
        <w:jc w:val="both"/>
      </w:pPr>
      <w:r>
        <w:t>Halaman Riwayat Konsultasi dan fungsi pengelolaan panel admin berhasil mendokumentasikan rekam data keluhan pasien secara teratur, meminimalkan administrasi manual di klinik.</w:t>
      </w:r>
    </w:p>
    <w:p>
      <w:pPr>
        <w:pStyle w:val="SkripsiHeading2"/>
        <w:spacing w:before="360" w:after="240"/>
      </w:pPr>
      <w:r>
        <w:t>B. Saran</w:t>
      </w:r>
    </w:p>
    <w:p>
      <w:pPr>
        <w:spacing w:line="360" w:lineRule="auto" w:after="120"/>
        <w:ind w:firstLine="576"/>
        <w:jc w:val="both"/>
      </w:pPr>
      <w:r>
        <w:t>Untuk pengembangan sistem pakar SiPaGi lebih lanjut agar memiliki manfaat medis yang lebih luas di masa depan, penulis memberikan beberapa saran konstruktif sebagai berikut:</w:t>
      </w:r>
    </w:p>
    <w:p>
      <w:pPr>
        <w:pStyle w:val="ListNumber"/>
        <w:spacing w:line="360" w:lineRule="auto" w:after="80"/>
        <w:ind w:left="576"/>
        <w:jc w:val="both"/>
      </w:pPr>
      <w:r>
        <w:t>Pengembangan modul diagnosa visual menggunakan teknologi Computer Vision untuk mendeteksi karies atau karang gigi secara otomatis melalui unggahan foto kondisi mulut pasien.</w:t>
      </w:r>
    </w:p>
    <w:p>
      <w:pPr>
        <w:pStyle w:val="ListNumber"/>
        <w:spacing w:line="360" w:lineRule="auto" w:after="80"/>
        <w:ind w:left="576"/>
        <w:jc w:val="both"/>
      </w:pPr>
      <w:r>
        <w:t>Pengembangan fitur konsultasi lanjutan berbasis real-time chat (telemedicine) yang menghubungkan pasien langsung dengan Drg. Hj. Rini Sutarti setelah hasil screening awal keluar.</w:t>
      </w:r>
    </w:p>
    <w:p>
      <w:pPr>
        <w:pStyle w:val="ListNumber"/>
        <w:spacing w:line="360" w:lineRule="auto" w:after="80"/>
        <w:ind w:left="576"/>
        <w:jc w:val="both"/>
      </w:pPr>
      <w:r>
        <w:t>Integrasi modul sistem penjadwalan janji temu online (appointment scheduling) ke dalam aplikasi SiPaGi agar pasien yang membutuhkan tindakan fisik dapat langsung memesan jadwal pemeriksaan di klinik.</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ripsiHeading1">
    <w:name w:val="Skripsi Heading 1"/>
    <w:rPr>
      <w:rFonts w:ascii="Times New Roman" w:hAnsi="Times New Roman"/>
      <w:b/>
      <w:color w:val="000000"/>
      <w:sz w:val="28"/>
    </w:rPr>
  </w:style>
  <w:style w:type="paragraph" w:customStyle="1" w:styleId="SkripsiHeading2">
    <w:name w:val="Skripsi Heading 2"/>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