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C90069"/>
          <w:sz w:val="17"/>
        </w:rPr>
        <w:t>BRIEFING EXECUTIVO • APRESENTAÇÃO PARA DIRETORIA</w:t>
      </w:r>
    </w:p>
    <w:p>
      <w:pPr>
        <w:spacing w:before="0" w:after="80"/>
      </w:pPr>
      <w:r>
        <w:rPr>
          <w:rFonts w:ascii="Calibri" w:hAnsi="Calibri"/>
          <w:b/>
          <w:color w:val="14213D"/>
          <w:sz w:val="44"/>
        </w:rPr>
        <w:t>Portal Executivo UniOdonto</w:t>
      </w:r>
    </w:p>
    <w:p>
      <w:pPr>
        <w:spacing w:before="0" w:after="200"/>
      </w:pPr>
      <w:r>
        <w:rPr>
          <w:rFonts w:ascii="Calibri" w:hAnsi="Calibri"/>
          <w:color w:val="46566F"/>
          <w:sz w:val="22"/>
        </w:rPr>
        <w:t>Uma visão integrada para transformar dados operacionais em decisões rápidas.</w:t>
      </w:r>
    </w:p>
    <w:p>
      <w:pPr>
        <w:spacing w:before="40" w:after="200"/>
        <w:pBdr>
          <w:bottom w:val="single" w:sz="20" w:space="1" w:color="C90069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DF1F8"/>
            <w:tcBorders>
              <w:top w:val="single" w:sz="12" w:space="0" w:color="C90069"/>
              <w:left w:val="single" w:sz="12" w:space="0" w:color="C90069"/>
              <w:bottom w:val="single" w:sz="12" w:space="0" w:color="C90069"/>
              <w:right w:val="single" w:sz="12" w:space="0" w:color="C90069"/>
              <w:insideH w:val="single" w:sz="12" w:space="0" w:color="C90069"/>
              <w:insideV w:val="single" w:sz="12" w:space="0" w:color="C9006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C90069"/>
                <w:sz w:val="17"/>
              </w:rPr>
              <w:t>MENSAGEM CENTRAL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color w:val="14213D"/>
                <w:sz w:val="22"/>
              </w:rPr>
              <w:t>O portal organiza o ciclo completo de gestão: acompanhar o período, entender desempenho, validar as entradas e agir com base em indicadores claros.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976"/>
            <w:shd w:fill="F5F7FA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718096"/>
                <w:sz w:val="15"/>
              </w:rPr>
              <w:t>UMA FONTE DE DECISÃO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8C0049"/>
                <w:sz w:val="30"/>
              </w:rPr>
              <w:t>4 telas conectadas</w:t>
            </w:r>
          </w:p>
        </w:tc>
        <w:tc>
          <w:tcPr>
            <w:tcW w:type="dxa" w:w="2976"/>
            <w:shd w:fill="F5F7FA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718096"/>
                <w:sz w:val="15"/>
              </w:rPr>
              <w:t>VISÃO EXECUTIVA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87F5B"/>
                <w:sz w:val="30"/>
              </w:rPr>
              <w:t>KPIs + alertas</w:t>
            </w:r>
          </w:p>
        </w:tc>
        <w:tc>
          <w:tcPr>
            <w:tcW w:type="dxa" w:w="2976"/>
            <w:shd w:fill="F5F7FA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718096"/>
                <w:sz w:val="15"/>
              </w:rPr>
              <w:t>CICLO DE GESTÃO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2E73D2"/>
                <w:sz w:val="30"/>
              </w:rPr>
              <w:t>Salvar • acompanhar • agir</w:t>
            </w:r>
          </w:p>
        </w:tc>
      </w:tr>
    </w:tbl>
    <w:p>
      <w:pPr>
        <w:spacing w:after="80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50992" cy="2804720"/>
            <wp:docPr id="1" name="Picture 1" descr="Visão geral do Dashboard — referência visual do ambiente UniOdonto." title="Portal Executivo UniOdon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15014a4-4659-466f-8b43-fea5a2a87b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280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718096"/>
          <w:sz w:val="16"/>
        </w:rPr>
        <w:t>Visão geral do Dashboard — referência visual do ambiente UniOdonto.</w:t>
      </w:r>
    </w:p>
    <w:p>
      <w:pPr>
        <w:spacing w:before="0" w:after="0" w:line="264" w:lineRule="auto"/>
      </w:pPr>
      <w:r>
        <w:rPr>
          <w:rFonts w:ascii="Calibri" w:hAnsi="Calibri"/>
          <w:b/>
          <w:color w:val="14213D"/>
          <w:sz w:val="20"/>
        </w:rPr>
        <w:t>Este material apresenta como os diretores podem usar o portal para ler o negócio em poucos minutos, acompanhar evolução e transformar desvios em decisões objetivas.</w:t>
      </w: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color w:val="C90069"/>
          <w:sz w:val="17"/>
        </w:rPr>
        <w:t>01 • LEITURA EXECUTIVA</w:t>
      </w:r>
    </w:p>
    <w:p>
      <w:pPr>
        <w:spacing w:before="0" w:after="80"/>
      </w:pPr>
      <w:r>
        <w:rPr>
          <w:rFonts w:ascii="Calibri" w:hAnsi="Calibri"/>
          <w:b/>
          <w:color w:val="14213D"/>
          <w:sz w:val="44"/>
        </w:rPr>
        <w:t>O que o diretor enxerga em 30 segundos</w:t>
      </w:r>
    </w:p>
    <w:p>
      <w:pPr>
        <w:spacing w:before="0" w:after="200"/>
      </w:pPr>
      <w:r>
        <w:rPr>
          <w:rFonts w:ascii="Calibri" w:hAnsi="Calibri"/>
          <w:color w:val="46566F"/>
          <w:sz w:val="22"/>
        </w:rPr>
        <w:t>A tela inicial reúne o estado do período e destaca o que merece atenção.</w:t>
      </w:r>
    </w:p>
    <w:p>
      <w:pPr>
        <w:spacing w:before="40" w:after="200"/>
        <w:pBdr>
          <w:bottom w:val="single" w:sz="20" w:space="1" w:color="C90069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976"/>
            <w:shd w:fill="F5F7FA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718096"/>
                <w:sz w:val="15"/>
              </w:rPr>
              <w:t>PERÍODO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8C0049"/>
                <w:sz w:val="30"/>
              </w:rPr>
              <w:t>Mês atual / Todos</w:t>
            </w:r>
          </w:p>
        </w:tc>
        <w:tc>
          <w:tcPr>
            <w:tcW w:type="dxa" w:w="2976"/>
            <w:shd w:fill="F5F7FA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718096"/>
                <w:sz w:val="15"/>
              </w:rPr>
              <w:t>ATUALIZAÇÃO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2E73D2"/>
                <w:sz w:val="30"/>
              </w:rPr>
              <w:t>Data e hora</w:t>
            </w:r>
          </w:p>
        </w:tc>
        <w:tc>
          <w:tcPr>
            <w:tcW w:type="dxa" w:w="2976"/>
            <w:shd w:fill="F5F7FA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718096"/>
                <w:sz w:val="15"/>
              </w:rPr>
              <w:t>SINCRONIZAÇÃO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87F5B"/>
                <w:sz w:val="30"/>
              </w:rPr>
              <w:t>Status visível</w:t>
            </w:r>
          </w:p>
        </w:tc>
      </w:tr>
    </w:tbl>
    <w:p>
      <w:pPr>
        <w:spacing w:after="80"/>
      </w:pPr>
    </w:p>
    <w:p>
      <w:pPr>
        <w:spacing w:before="0" w:after="140" w:line="264" w:lineRule="auto"/>
      </w:pPr>
      <w:r>
        <w:rPr>
          <w:rFonts w:ascii="Calibri" w:hAnsi="Calibri"/>
          <w:b w:val="0"/>
          <w:color w:val="46566F"/>
          <w:sz w:val="21"/>
        </w:rPr>
        <w:t>A leitura começa pelo contexto. Antes de interpretar qualquer número, confirme o período analisado, a última atualização e o status de sincronização. Isso evita comparar meses diferentes ou tratar estimativas como dados oficiais.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015"/>
            <w:shd w:fill="C9006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3744"/>
            <w:shd w:fill="C9006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Pergunta executiva</w:t>
            </w:r>
          </w:p>
        </w:tc>
        <w:tc>
          <w:tcPr>
            <w:tcW w:type="dxa" w:w="3168"/>
            <w:shd w:fill="C9006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Ação sugerida</w:t>
            </w:r>
          </w:p>
        </w:tc>
      </w:tr>
      <w:tr>
        <w:tc>
          <w:tcPr>
            <w:tcW w:type="dxa" w:w="3331"/>
            <w:shd w:fill="F5F7FA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4213D"/>
                <w:sz w:val="18"/>
              </w:rPr>
              <w:t>Beneficiários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4213D"/>
                <w:sz w:val="18"/>
              </w:rPr>
              <w:t>A base cresceu ou recuou?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4213D"/>
                <w:sz w:val="18"/>
              </w:rPr>
              <w:t>Confirmar entradas, cancelamentos e saldo.</w:t>
            </w:r>
          </w:p>
        </w:tc>
      </w:tr>
      <w:tr>
        <w:tc>
          <w:tcPr>
            <w:tcW w:type="dxa" w:w="3331"/>
            <w:shd w:fill="F5F7FA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4213D"/>
                <w:sz w:val="18"/>
              </w:rPr>
              <w:t>Investimento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4213D"/>
                <w:sz w:val="18"/>
              </w:rPr>
              <w:t>Onde o recurso está concentrado?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4213D"/>
                <w:sz w:val="18"/>
              </w:rPr>
              <w:t>Comparar canal, retorno e orçamento.</w:t>
            </w:r>
          </w:p>
        </w:tc>
      </w:tr>
      <w:tr>
        <w:tc>
          <w:tcPr>
            <w:tcW w:type="dxa" w:w="3331"/>
            <w:shd w:fill="F5F7FA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4213D"/>
                <w:sz w:val="18"/>
              </w:rPr>
              <w:t>ROI / ROAS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4213D"/>
                <w:sz w:val="18"/>
              </w:rPr>
              <w:t>O retorno está disponível e coerente?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4213D"/>
                <w:sz w:val="18"/>
              </w:rPr>
              <w:t>Se indisponível, evitar conclusão financeira.</w:t>
            </w:r>
          </w:p>
        </w:tc>
      </w:tr>
      <w:tr>
        <w:tc>
          <w:tcPr>
            <w:tcW w:type="dxa" w:w="3331"/>
            <w:shd w:fill="F5F7FA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4213D"/>
                <w:sz w:val="18"/>
              </w:rPr>
              <w:t>Vendas / NPS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4213D"/>
                <w:sz w:val="18"/>
              </w:rPr>
              <w:t>O resultado comercial acompanha a experiência?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4213D"/>
                <w:sz w:val="18"/>
              </w:rPr>
              <w:t>Priorizar gargalos de conversão e satisfação.</w:t>
            </w:r>
          </w:p>
        </w:tc>
      </w:tr>
    </w:tbl>
    <w:p>
      <w:pPr>
        <w:spacing w:after="80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74920" cy="2518802"/>
            <wp:docPr id="2" name="Picture 2" descr="Cards superiores: beneficiários, investimento, retorno e satisfação." title="Portal Executivo UniOdon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15014a4-4659-466f-8b43-fea5a2a87b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518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718096"/>
          <w:sz w:val="16"/>
        </w:rPr>
        <w:t>Cards superiores: beneficiários, investimento, retorno e satisfação.</w:t>
      </w: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color w:val="C90069"/>
          <w:sz w:val="17"/>
        </w:rPr>
        <w:t>02 • GOVERNANÇA DO DADO</w:t>
      </w:r>
    </w:p>
    <w:p>
      <w:pPr>
        <w:spacing w:before="0" w:after="80"/>
      </w:pPr>
      <w:r>
        <w:rPr>
          <w:rFonts w:ascii="Calibri" w:hAnsi="Calibri"/>
          <w:b/>
          <w:color w:val="14213D"/>
          <w:sz w:val="44"/>
        </w:rPr>
        <w:t>Como o dado percorre o sistema</w:t>
      </w:r>
    </w:p>
    <w:p>
      <w:pPr>
        <w:spacing w:before="0" w:after="200"/>
      </w:pPr>
      <w:r>
        <w:rPr>
          <w:rFonts w:ascii="Calibri" w:hAnsi="Calibri"/>
          <w:color w:val="46566F"/>
          <w:sz w:val="22"/>
        </w:rPr>
        <w:t>Uma jornada única entre entrada, validação, acompanhamento e decisão.</w:t>
      </w:r>
    </w:p>
    <w:p>
      <w:pPr>
        <w:spacing w:before="40" w:after="200"/>
        <w:pBdr>
          <w:bottom w:val="single" w:sz="20" w:space="1" w:color="C90069"/>
        </w:pBdr>
      </w:pPr>
    </w:p>
    <w:p>
      <w:pPr>
        <w:spacing w:before="0" w:after="140" w:line="264" w:lineRule="auto"/>
      </w:pPr>
      <w:r>
        <w:rPr>
          <w:rFonts w:ascii="Calibri" w:hAnsi="Calibri"/>
          <w:b w:val="0"/>
          <w:color w:val="46566F"/>
          <w:sz w:val="21"/>
        </w:rPr>
        <w:t>A tela Envio e Integração é o ponto de entrada gerencial. O usuário autorizado preenche os dados do mês, salva a competência e acompanha o retorno da sincronização. O Dashboard, a Visão Geral e os Relatórios devem consumir essa mesma competência, sem duplicar fórmulas nem criar números paralelos.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232"/>
            <w:shd w:fill="FDF1F8"/>
            <w:tcBorders>
              <w:top w:val="single" w:sz="14" w:space="0" w:color="C90069"/>
              <w:left w:val="single" w:sz="14" w:space="0" w:color="C90069"/>
              <w:bottom w:val="single" w:sz="14" w:space="0" w:color="C90069"/>
              <w:right w:val="single" w:sz="14" w:space="0" w:color="C90069"/>
              <w:insideH w:val="single" w:sz="14" w:space="0" w:color="C90069"/>
              <w:insideV w:val="single" w:sz="14" w:space="0" w:color="C90069"/>
            </w:tcBorders>
            <w:tcMar>
              <w:top w:w="160" w:type="dxa"/>
              <w:start w:w="130" w:type="dxa"/>
              <w:bottom w:w="160" w:type="dxa"/>
              <w:end w:w="130" w:type="dxa"/>
            </w:tcMar>
          </w:tcPr>
          <w:p>
            <w:pPr>
              <w:jc w:val="center"/>
            </w:pPr>
            <w:r/>
            <w:r>
              <w:rPr>
                <w:b/>
                <w:color w:val="C90069"/>
                <w:sz w:val="36"/>
              </w:rPr>
              <w:t>1</w:t>
            </w:r>
          </w:p>
          <w:p>
            <w:pPr>
              <w:spacing w:after="40"/>
              <w:jc w:val="center"/>
            </w:pPr>
            <w:r>
              <w:rPr>
                <w:b/>
                <w:color w:val="14213D"/>
                <w:sz w:val="20"/>
              </w:rPr>
              <w:t>Entrada</w:t>
            </w:r>
          </w:p>
          <w:p>
            <w:pPr>
              <w:spacing w:after="0"/>
              <w:jc w:val="center"/>
            </w:pPr>
            <w:r>
              <w:rPr>
                <w:color w:val="46566F"/>
                <w:sz w:val="16"/>
              </w:rPr>
              <w:t>Resumo, marketing, investimentos e evolução</w:t>
            </w:r>
          </w:p>
        </w:tc>
        <w:tc>
          <w:tcPr>
            <w:tcW w:type="dxa" w:w="2232"/>
            <w:shd w:fill="F5F7FA"/>
            <w:tcBorders>
              <w:top w:val="single" w:sz="14" w:space="0" w:color="2E73D2"/>
              <w:left w:val="single" w:sz="14" w:space="0" w:color="2E73D2"/>
              <w:bottom w:val="single" w:sz="14" w:space="0" w:color="2E73D2"/>
              <w:right w:val="single" w:sz="14" w:space="0" w:color="2E73D2"/>
              <w:insideH w:val="single" w:sz="14" w:space="0" w:color="2E73D2"/>
              <w:insideV w:val="single" w:sz="14" w:space="0" w:color="2E73D2"/>
            </w:tcBorders>
            <w:tcMar>
              <w:top w:w="160" w:type="dxa"/>
              <w:start w:w="130" w:type="dxa"/>
              <w:bottom w:w="160" w:type="dxa"/>
              <w:end w:w="130" w:type="dxa"/>
            </w:tcMar>
          </w:tcPr>
          <w:p>
            <w:pPr>
              <w:jc w:val="center"/>
            </w:pPr>
            <w:r/>
            <w:r>
              <w:rPr>
                <w:b/>
                <w:color w:val="2E73D2"/>
                <w:sz w:val="36"/>
              </w:rPr>
              <w:t>2</w:t>
            </w:r>
          </w:p>
          <w:p>
            <w:pPr>
              <w:spacing w:after="40"/>
              <w:jc w:val="center"/>
            </w:pPr>
            <w:r>
              <w:rPr>
                <w:b/>
                <w:color w:val="14213D"/>
                <w:sz w:val="20"/>
              </w:rPr>
              <w:t>Salvar</w:t>
            </w:r>
          </w:p>
          <w:p>
            <w:pPr>
              <w:spacing w:after="0"/>
              <w:jc w:val="center"/>
            </w:pPr>
            <w:r>
              <w:rPr>
                <w:color w:val="46566F"/>
                <w:sz w:val="16"/>
              </w:rPr>
              <w:t>Confirmação da competência</w:t>
            </w:r>
          </w:p>
        </w:tc>
        <w:tc>
          <w:tcPr>
            <w:tcW w:type="dxa" w:w="2232"/>
            <w:shd w:fill="F5F7FA"/>
            <w:tcBorders>
              <w:top w:val="single" w:sz="14" w:space="0" w:color="087F5B"/>
              <w:left w:val="single" w:sz="14" w:space="0" w:color="087F5B"/>
              <w:bottom w:val="single" w:sz="14" w:space="0" w:color="087F5B"/>
              <w:right w:val="single" w:sz="14" w:space="0" w:color="087F5B"/>
              <w:insideH w:val="single" w:sz="14" w:space="0" w:color="087F5B"/>
              <w:insideV w:val="single" w:sz="14" w:space="0" w:color="087F5B"/>
            </w:tcBorders>
            <w:tcMar>
              <w:top w:w="160" w:type="dxa"/>
              <w:start w:w="130" w:type="dxa"/>
              <w:bottom w:w="160" w:type="dxa"/>
              <w:end w:w="130" w:type="dxa"/>
            </w:tcMar>
          </w:tcPr>
          <w:p>
            <w:pPr>
              <w:jc w:val="center"/>
            </w:pPr>
            <w:r/>
            <w:r>
              <w:rPr>
                <w:b/>
                <w:color w:val="087F5B"/>
                <w:sz w:val="36"/>
              </w:rPr>
              <w:t>3</w:t>
            </w:r>
          </w:p>
          <w:p>
            <w:pPr>
              <w:spacing w:after="40"/>
              <w:jc w:val="center"/>
            </w:pPr>
            <w:r>
              <w:rPr>
                <w:b/>
                <w:color w:val="14213D"/>
                <w:sz w:val="20"/>
              </w:rPr>
              <w:t>Validar</w:t>
            </w:r>
          </w:p>
          <w:p>
            <w:pPr>
              <w:spacing w:after="0"/>
              <w:jc w:val="center"/>
            </w:pPr>
            <w:r>
              <w:rPr>
                <w:color w:val="46566F"/>
                <w:sz w:val="16"/>
              </w:rPr>
              <w:t>Status, última atualização e consistência</w:t>
            </w:r>
          </w:p>
        </w:tc>
        <w:tc>
          <w:tcPr>
            <w:tcW w:type="dxa" w:w="2232"/>
            <w:shd w:fill="FDF1F8"/>
            <w:tcBorders>
              <w:top w:val="single" w:sz="14" w:space="0" w:color="8C0049"/>
              <w:left w:val="single" w:sz="14" w:space="0" w:color="8C0049"/>
              <w:bottom w:val="single" w:sz="14" w:space="0" w:color="8C0049"/>
              <w:right w:val="single" w:sz="14" w:space="0" w:color="8C0049"/>
              <w:insideH w:val="single" w:sz="14" w:space="0" w:color="8C0049"/>
              <w:insideV w:val="single" w:sz="14" w:space="0" w:color="8C0049"/>
            </w:tcBorders>
            <w:tcMar>
              <w:top w:w="160" w:type="dxa"/>
              <w:start w:w="130" w:type="dxa"/>
              <w:bottom w:w="160" w:type="dxa"/>
              <w:end w:w="130" w:type="dxa"/>
            </w:tcMar>
          </w:tcPr>
          <w:p>
            <w:pPr>
              <w:jc w:val="center"/>
            </w:pPr>
            <w:r/>
            <w:r>
              <w:rPr>
                <w:b/>
                <w:color w:val="8C0049"/>
                <w:sz w:val="36"/>
              </w:rPr>
              <w:t>4</w:t>
            </w:r>
          </w:p>
          <w:p>
            <w:pPr>
              <w:spacing w:after="40"/>
              <w:jc w:val="center"/>
            </w:pPr>
            <w:r>
              <w:rPr>
                <w:b/>
                <w:color w:val="14213D"/>
                <w:sz w:val="20"/>
              </w:rPr>
              <w:t>Decidir</w:t>
            </w:r>
          </w:p>
          <w:p>
            <w:pPr>
              <w:spacing w:after="0"/>
              <w:jc w:val="center"/>
            </w:pPr>
            <w:r>
              <w:rPr>
                <w:color w:val="46566F"/>
                <w:sz w:val="16"/>
              </w:rPr>
              <w:t>Dashboard e relatórios para a diretoria</w:t>
            </w:r>
          </w:p>
        </w:tc>
      </w:tr>
    </w:tbl>
    <w:p>
      <w:pPr>
        <w:spacing w:after="160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331720" cy="3598959"/>
            <wp:docPr id="3" name="Picture 3" descr="Exemplo da tela de entrada de métricas de marketing." title="Portal Executivo UniOdon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6e9db29c-1bb7-4354-b8fb-c532014d081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3598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718096"/>
          <w:sz w:val="16"/>
        </w:rPr>
        <w:t>Exemplo da tela de entrada de métricas de marketing.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46566F"/>
          <w:sz w:val="21"/>
        </w:rPr>
        <w:t>A transparência operacional vem de quatro estados: dado real, estimado, indisponível e não calculável. Essa distinção protege a tomada de decisão e orienta o próximo preenchimento.</w:t>
      </w: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color w:val="C90069"/>
          <w:sz w:val="17"/>
        </w:rPr>
        <w:t>03 • DESEMPENHO E CRESCIMENTO</w:t>
      </w:r>
    </w:p>
    <w:p>
      <w:pPr>
        <w:spacing w:before="0" w:after="80"/>
      </w:pPr>
      <w:r>
        <w:rPr>
          <w:rFonts w:ascii="Calibri" w:hAnsi="Calibri"/>
          <w:b/>
          <w:color w:val="14213D"/>
          <w:sz w:val="44"/>
        </w:rPr>
        <w:t>Como ler marketing, funil, evolução e cidades</w:t>
      </w:r>
    </w:p>
    <w:p>
      <w:pPr>
        <w:spacing w:before="0" w:after="200"/>
      </w:pPr>
      <w:r>
        <w:rPr>
          <w:rFonts w:ascii="Calibri" w:hAnsi="Calibri"/>
          <w:color w:val="46566F"/>
          <w:sz w:val="22"/>
        </w:rPr>
        <w:t>Os indicadores contam uma história: investimento → tráfego → oportunidade → resultado.</w:t>
      </w:r>
    </w:p>
    <w:p>
      <w:pPr>
        <w:spacing w:before="40" w:after="200"/>
        <w:pBdr>
          <w:bottom w:val="single" w:sz="20" w:space="1" w:color="C90069"/>
        </w:pBdr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3063240" cy="2533847"/>
            <wp:docPr id="4" name="Picture 4" descr="Card de desempenho de marketing com funil e eficiência de campanha." title="Portal Executivo UniOdon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2949f5b-d1c5-4a24-a0f1-8fe38f20b21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2533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718096"/>
          <w:sz w:val="16"/>
        </w:rPr>
        <w:t>Card de desempenho de marketing com funil e eficiência de campanha.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728"/>
            <w:shd w:fill="C9006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Bloco</w:t>
            </w:r>
          </w:p>
        </w:tc>
        <w:tc>
          <w:tcPr>
            <w:tcW w:type="dxa" w:w="4320"/>
            <w:shd w:fill="C9006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 que mede</w:t>
            </w:r>
          </w:p>
        </w:tc>
        <w:tc>
          <w:tcPr>
            <w:tcW w:type="dxa" w:w="2880"/>
            <w:shd w:fill="C9006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Siglas essenciais</w:t>
            </w:r>
          </w:p>
        </w:tc>
      </w:tr>
      <w:tr>
        <w:tc>
          <w:tcPr>
            <w:tcW w:type="dxa" w:w="3331"/>
            <w:shd w:fill="F5F7FA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4213D"/>
                <w:sz w:val="18"/>
              </w:rPr>
              <w:t>Tráfego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4213D"/>
                <w:sz w:val="18"/>
              </w:rPr>
              <w:t>Alcance da campanha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4213D"/>
                <w:sz w:val="18"/>
              </w:rPr>
              <w:t>Impressões, alcance, cliques</w:t>
            </w:r>
          </w:p>
        </w:tc>
      </w:tr>
      <w:tr>
        <w:tc>
          <w:tcPr>
            <w:tcW w:type="dxa" w:w="3331"/>
            <w:shd w:fill="F5F7FA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4213D"/>
                <w:sz w:val="18"/>
              </w:rPr>
              <w:t>Eficiência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4213D"/>
                <w:sz w:val="18"/>
              </w:rPr>
              <w:t>Custo e taxa de resposta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4213D"/>
                <w:sz w:val="18"/>
              </w:rPr>
              <w:t>CTR, CPC, CPM, CPL</w:t>
            </w:r>
          </w:p>
        </w:tc>
      </w:tr>
      <w:tr>
        <w:tc>
          <w:tcPr>
            <w:tcW w:type="dxa" w:w="3331"/>
            <w:shd w:fill="F5F7FA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4213D"/>
                <w:sz w:val="18"/>
              </w:rPr>
              <w:t>Funil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4213D"/>
                <w:sz w:val="18"/>
              </w:rPr>
              <w:t>Avanço até o resultado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4213D"/>
                <w:sz w:val="18"/>
              </w:rPr>
              <w:t>Leads, agendamentos, vendas</w:t>
            </w:r>
          </w:p>
        </w:tc>
      </w:tr>
      <w:tr>
        <w:tc>
          <w:tcPr>
            <w:tcW w:type="dxa" w:w="3331"/>
            <w:shd w:fill="F5F7FA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4213D"/>
                <w:sz w:val="18"/>
              </w:rPr>
              <w:t>Base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4213D"/>
                <w:sz w:val="18"/>
              </w:rPr>
              <w:t>Movimento da carteira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4213D"/>
                <w:sz w:val="18"/>
              </w:rPr>
              <w:t>Entradas, cancelamentos, saldo</w:t>
            </w:r>
          </w:p>
        </w:tc>
      </w:tr>
      <w:tr>
        <w:tc>
          <w:tcPr>
            <w:tcW w:type="dxa" w:w="3331"/>
            <w:shd w:fill="F5F7FA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4213D"/>
                <w:sz w:val="18"/>
              </w:rPr>
              <w:t>Distribuição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4213D"/>
                <w:sz w:val="18"/>
              </w:rPr>
              <w:t>Onde está a carteira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4213D"/>
                <w:sz w:val="18"/>
              </w:rPr>
              <w:t>Cidades acompanhadas</w:t>
            </w:r>
          </w:p>
        </w:tc>
      </w:tr>
    </w:tbl>
    <w:p>
      <w:pPr>
        <w:spacing w:after="80"/>
      </w:pPr>
    </w:p>
    <w:p>
      <w:pPr>
        <w:spacing w:before="0" w:after="80" w:line="264" w:lineRule="auto"/>
      </w:pPr>
      <w:r>
        <w:rPr>
          <w:rFonts w:ascii="Calibri" w:hAnsi="Calibri"/>
          <w:b/>
          <w:color w:val="14213D"/>
          <w:sz w:val="21"/>
        </w:rPr>
        <w:t>Para diretores, a pergunta não é apenas quanto foi investido. É se o investimento gerou tráfego suficiente, oportunidades qualificadas e resultado comercial sustentável.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7E6"/>
            <w:tcBorders>
              <w:top w:val="single" w:sz="12" w:space="0" w:color="A15C00"/>
              <w:left w:val="single" w:sz="12" w:space="0" w:color="A15C00"/>
              <w:bottom w:val="single" w:sz="12" w:space="0" w:color="A15C00"/>
              <w:right w:val="single" w:sz="12" w:space="0" w:color="A15C00"/>
              <w:insideH w:val="single" w:sz="12" w:space="0" w:color="A15C00"/>
              <w:insideV w:val="single" w:sz="12" w:space="0" w:color="A15C00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A15C00"/>
                <w:sz w:val="17"/>
              </w:rPr>
              <w:t>LEITURA CORRETA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color w:val="14213D"/>
                <w:sz w:val="20"/>
              </w:rPr>
              <w:t>ROI e ROAS só devem orientar decisão quando a base de cálculo estiver completa e identificada. Quando faltar dado, o portal deve informar a indisponibilidade em vez de sugerir precisão falsa.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color w:val="C90069"/>
          <w:sz w:val="17"/>
        </w:rPr>
        <w:t>04 • CARTEIRA E TERRITÓRIO</w:t>
      </w:r>
    </w:p>
    <w:p>
      <w:pPr>
        <w:spacing w:before="0" w:after="80"/>
      </w:pPr>
      <w:r>
        <w:rPr>
          <w:rFonts w:ascii="Calibri" w:hAnsi="Calibri"/>
          <w:b/>
          <w:color w:val="14213D"/>
          <w:sz w:val="44"/>
        </w:rPr>
        <w:t>Cidades e evolução: onde a carteira muda</w:t>
      </w:r>
    </w:p>
    <w:p>
      <w:pPr>
        <w:spacing w:before="0" w:after="200"/>
      </w:pPr>
      <w:r>
        <w:rPr>
          <w:rFonts w:ascii="Calibri" w:hAnsi="Calibri"/>
          <w:color w:val="46566F"/>
          <w:sz w:val="22"/>
        </w:rPr>
        <w:t>Acompanhamento de entradas, cancelamentos e concentração por município.</w:t>
      </w:r>
    </w:p>
    <w:p>
      <w:pPr>
        <w:spacing w:before="40" w:after="200"/>
        <w:pBdr>
          <w:bottom w:val="single" w:sz="20" w:space="1" w:color="C90069"/>
        </w:pBdr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286000" cy="3286945"/>
            <wp:docPr id="5" name="Picture 5" descr="Exemplo visual do card Cidades, com distribuição e movimentação mensal." title="Portal Executivo UniOdon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ea6975c-29b0-43b7-abd7-e9fe7aee02d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86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718096"/>
          <w:sz w:val="16"/>
        </w:rPr>
        <w:t>Exemplo visual do card Cidades, com distribuição e movimentação mensal.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46566F"/>
          <w:sz w:val="21"/>
        </w:rPr>
        <w:t>A visão por cidades traduz o movimento da carteira para a operação: mostra onde entram novos beneficiários, onde os cancelamentos pressionam o saldo e qual município concentra maior participação.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976"/>
            <w:shd w:fill="F5F7FA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718096"/>
                <w:sz w:val="15"/>
              </w:rPr>
              <w:t>ENTRADAS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87F5B"/>
                <w:sz w:val="30"/>
              </w:rPr>
              <w:t>Novos beneficiários</w:t>
            </w:r>
          </w:p>
        </w:tc>
        <w:tc>
          <w:tcPr>
            <w:tcW w:type="dxa" w:w="2976"/>
            <w:shd w:fill="F5F7FA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718096"/>
                <w:sz w:val="15"/>
              </w:rPr>
              <w:t>CANCELAMENTOS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B4233D"/>
                <w:sz w:val="30"/>
              </w:rPr>
              <w:t>Motivos e volume</w:t>
            </w:r>
          </w:p>
        </w:tc>
        <w:tc>
          <w:tcPr>
            <w:tcW w:type="dxa" w:w="2976"/>
            <w:shd w:fill="F5F7FA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718096"/>
                <w:sz w:val="15"/>
              </w:rPr>
              <w:t>SALDO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87F5B"/>
                <w:sz w:val="30"/>
              </w:rPr>
              <w:t>Entradas − cancelamentos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232"/>
            <w:shd w:fill="C9006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Pergunta</w:t>
            </w:r>
          </w:p>
        </w:tc>
        <w:tc>
          <w:tcPr>
            <w:tcW w:type="dxa" w:w="3816"/>
            <w:shd w:fill="C9006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Leitura para a diretoria</w:t>
            </w:r>
          </w:p>
        </w:tc>
        <w:tc>
          <w:tcPr>
            <w:tcW w:type="dxa" w:w="2880"/>
            <w:shd w:fill="C9006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Próximo passo</w:t>
            </w:r>
          </w:p>
        </w:tc>
      </w:tr>
      <w:tr>
        <w:tc>
          <w:tcPr>
            <w:tcW w:type="dxa" w:w="3331"/>
            <w:shd w:fill="F5F7FA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4213D"/>
                <w:sz w:val="18"/>
              </w:rPr>
              <w:t>Qual cidade cresce?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4213D"/>
                <w:sz w:val="18"/>
              </w:rPr>
              <w:t>Maior entrada e saldo líquido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4213D"/>
                <w:sz w:val="18"/>
              </w:rPr>
              <w:t>Replicar iniciativas comerciais.</w:t>
            </w:r>
          </w:p>
        </w:tc>
      </w:tr>
      <w:tr>
        <w:tc>
          <w:tcPr>
            <w:tcW w:type="dxa" w:w="3331"/>
            <w:shd w:fill="F5F7FA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4213D"/>
                <w:sz w:val="18"/>
              </w:rPr>
              <w:t>Qual cidade perde base?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4213D"/>
                <w:sz w:val="18"/>
              </w:rPr>
              <w:t>Cancelamentos acima das entradas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4213D"/>
                <w:sz w:val="18"/>
              </w:rPr>
              <w:t>Investigar motivo e retenção.</w:t>
            </w:r>
          </w:p>
        </w:tc>
      </w:tr>
      <w:tr>
        <w:tc>
          <w:tcPr>
            <w:tcW w:type="dxa" w:w="3331"/>
            <w:shd w:fill="F5F7FA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4213D"/>
                <w:sz w:val="18"/>
              </w:rPr>
              <w:t>Há concentração?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4213D"/>
                <w:sz w:val="18"/>
              </w:rPr>
              <w:t>Poucas cidades respondem pela maior parte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4213D"/>
                <w:sz w:val="18"/>
              </w:rPr>
              <w:t>Monitorar risco de dependência.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color w:val="C90069"/>
          <w:sz w:val="17"/>
        </w:rPr>
        <w:t>05 • ROTEIRO DE APRESENTAÇÃO</w:t>
      </w:r>
    </w:p>
    <w:p>
      <w:pPr>
        <w:spacing w:before="0" w:after="80"/>
      </w:pPr>
      <w:r>
        <w:rPr>
          <w:rFonts w:ascii="Calibri" w:hAnsi="Calibri"/>
          <w:b/>
          <w:color w:val="14213D"/>
          <w:sz w:val="44"/>
        </w:rPr>
        <w:t>Roteiro de decisão para a reunião</w:t>
      </w:r>
    </w:p>
    <w:p>
      <w:pPr>
        <w:spacing w:before="0" w:after="200"/>
      </w:pPr>
      <w:r>
        <w:rPr>
          <w:rFonts w:ascii="Calibri" w:hAnsi="Calibri"/>
          <w:color w:val="46566F"/>
          <w:sz w:val="22"/>
        </w:rPr>
        <w:t>Uma apresentação objetiva, com foco em confiança, prioridade e ação.</w:t>
      </w:r>
    </w:p>
    <w:p>
      <w:pPr>
        <w:spacing w:before="40" w:after="200"/>
        <w:pBdr>
          <w:bottom w:val="single" w:sz="20" w:space="1" w:color="C90069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800"/>
            <w:shd w:fill="C9006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3888"/>
            <w:shd w:fill="C9006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 que mostrar</w:t>
            </w:r>
          </w:p>
        </w:tc>
        <w:tc>
          <w:tcPr>
            <w:tcW w:type="dxa" w:w="3240"/>
            <w:shd w:fill="C9006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Pergunta para decisão</w:t>
            </w:r>
          </w:p>
        </w:tc>
      </w:tr>
      <w:tr>
        <w:tc>
          <w:tcPr>
            <w:tcW w:type="dxa" w:w="3331"/>
            <w:shd w:fill="F5F7FA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4213D"/>
                <w:sz w:val="18"/>
              </w:rPr>
              <w:t>1. Contexto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4213D"/>
                <w:sz w:val="18"/>
              </w:rPr>
              <w:t>Período, atualização e sincronização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4213D"/>
                <w:sz w:val="18"/>
              </w:rPr>
              <w:t>Estamos olhando para a competência correta?</w:t>
            </w:r>
          </w:p>
        </w:tc>
      </w:tr>
      <w:tr>
        <w:tc>
          <w:tcPr>
            <w:tcW w:type="dxa" w:w="3331"/>
            <w:shd w:fill="F5F7FA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4213D"/>
                <w:sz w:val="18"/>
              </w:rPr>
              <w:t>2. Resultado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4213D"/>
                <w:sz w:val="18"/>
              </w:rPr>
              <w:t>Beneficiários, entradas, cancelamentos, saldo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4213D"/>
                <w:sz w:val="18"/>
              </w:rPr>
              <w:t>A carteira está crescendo com qualidade?</w:t>
            </w:r>
          </w:p>
        </w:tc>
      </w:tr>
      <w:tr>
        <w:tc>
          <w:tcPr>
            <w:tcW w:type="dxa" w:w="3331"/>
            <w:shd w:fill="F5F7FA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4213D"/>
                <w:sz w:val="18"/>
              </w:rPr>
              <w:t>3. Investimento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4213D"/>
                <w:sz w:val="18"/>
              </w:rPr>
              <w:t>Canais, tráfego e eficiência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4213D"/>
                <w:sz w:val="18"/>
              </w:rPr>
              <w:t>Onde o recurso está funcionando melhor?</w:t>
            </w:r>
          </w:p>
        </w:tc>
      </w:tr>
      <w:tr>
        <w:tc>
          <w:tcPr>
            <w:tcW w:type="dxa" w:w="3331"/>
            <w:shd w:fill="F5F7FA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4213D"/>
                <w:sz w:val="18"/>
              </w:rPr>
              <w:t>4. Território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4213D"/>
                <w:sz w:val="18"/>
              </w:rPr>
              <w:t>Cidades e motivos de cancelamento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4213D"/>
                <w:sz w:val="18"/>
              </w:rPr>
              <w:t>Onde agir primeiro?</w:t>
            </w:r>
          </w:p>
        </w:tc>
      </w:tr>
      <w:tr>
        <w:tc>
          <w:tcPr>
            <w:tcW w:type="dxa" w:w="3331"/>
            <w:shd w:fill="F5F7FA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4213D"/>
                <w:sz w:val="18"/>
              </w:rPr>
              <w:t>5. Próximo ciclo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4213D"/>
                <w:sz w:val="18"/>
              </w:rPr>
              <w:t>Ação, responsável e prazo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  <w:insideH w:val="single" w:sz="8" w:space="0" w:color="D8E0EA"/>
              <w:insideV w:val="single" w:sz="8" w:space="0" w:color="D8E0E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4213D"/>
                <w:sz w:val="18"/>
              </w:rPr>
              <w:t>Qual decisão sai da reunião?</w:t>
            </w:r>
          </w:p>
        </w:tc>
      </w:tr>
    </w:tbl>
    <w:p>
      <w:pPr>
        <w:spacing w:after="80"/>
      </w:pPr>
    </w:p>
    <w:p>
      <w:pPr>
        <w:spacing w:before="0" w:after="60" w:line="264" w:lineRule="auto"/>
      </w:pPr>
      <w:r>
        <w:rPr>
          <w:rFonts w:ascii="Calibri" w:hAnsi="Calibri"/>
          <w:b/>
          <w:color w:val="14213D"/>
          <w:sz w:val="21"/>
        </w:rPr>
        <w:t>Checklist antes de apresentar</w:t>
      </w:r>
    </w:p>
    <w:p>
      <w:pPr>
        <w:pStyle w:val="ListBullet"/>
        <w:spacing w:after="40" w:line="254" w:lineRule="auto"/>
        <w:ind w:left="346" w:hanging="187"/>
      </w:pPr>
      <w:r>
        <w:rPr>
          <w:rFonts w:ascii="Calibri" w:hAnsi="Calibri"/>
          <w:color w:val="46566F"/>
          <w:sz w:val="20"/>
        </w:rPr>
        <w:t>Confirmar o mês exibido e a última atualização.</w:t>
      </w:r>
    </w:p>
    <w:p>
      <w:pPr>
        <w:pStyle w:val="ListBullet"/>
        <w:spacing w:after="40" w:line="254" w:lineRule="auto"/>
        <w:ind w:left="346" w:hanging="187"/>
      </w:pPr>
      <w:r>
        <w:rPr>
          <w:rFonts w:ascii="Calibri" w:hAnsi="Calibri"/>
          <w:color w:val="46566F"/>
          <w:sz w:val="20"/>
        </w:rPr>
        <w:t>Salvar ou atualizar a competência antes da leitura executiva.</w:t>
      </w:r>
    </w:p>
    <w:p>
      <w:pPr>
        <w:pStyle w:val="ListBullet"/>
        <w:spacing w:after="40" w:line="254" w:lineRule="auto"/>
        <w:ind w:left="346" w:hanging="187"/>
      </w:pPr>
      <w:r>
        <w:rPr>
          <w:rFonts w:ascii="Calibri" w:hAnsi="Calibri"/>
          <w:color w:val="46566F"/>
          <w:sz w:val="20"/>
        </w:rPr>
        <w:t>Separar dados reais, estimados, indisponíveis e não calculáveis.</w:t>
      </w:r>
    </w:p>
    <w:p>
      <w:pPr>
        <w:pStyle w:val="ListBullet"/>
        <w:spacing w:after="40" w:line="254" w:lineRule="auto"/>
        <w:ind w:left="346" w:hanging="187"/>
      </w:pPr>
      <w:r>
        <w:rPr>
          <w:rFonts w:ascii="Calibri" w:hAnsi="Calibri"/>
          <w:color w:val="46566F"/>
          <w:sz w:val="20"/>
        </w:rPr>
        <w:t>Comparar Dashboard, Visão Geral, Envio e Integração e Relatórios.</w:t>
      </w:r>
    </w:p>
    <w:p>
      <w:pPr>
        <w:pStyle w:val="ListBullet"/>
        <w:spacing w:after="40" w:line="254" w:lineRule="auto"/>
        <w:ind w:left="346" w:hanging="187"/>
      </w:pPr>
      <w:r>
        <w:rPr>
          <w:rFonts w:ascii="Calibri" w:hAnsi="Calibri"/>
          <w:color w:val="46566F"/>
          <w:sz w:val="20"/>
        </w:rPr>
        <w:t>Registrar a decisão, o responsável e a data de revisão.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DF1F8"/>
            <w:tcBorders>
              <w:top w:val="single" w:sz="12" w:space="0" w:color="C90069"/>
              <w:left w:val="single" w:sz="12" w:space="0" w:color="C90069"/>
              <w:bottom w:val="single" w:sz="12" w:space="0" w:color="C90069"/>
              <w:right w:val="single" w:sz="12" w:space="0" w:color="C90069"/>
              <w:insideH w:val="single" w:sz="12" w:space="0" w:color="C90069"/>
              <w:insideV w:val="single" w:sz="12" w:space="0" w:color="C9006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C90069"/>
                <w:sz w:val="17"/>
              </w:rPr>
              <w:t>ENCERRAMENTO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color w:val="14213D"/>
                <w:sz w:val="22"/>
              </w:rPr>
              <w:t>O portal foi desenhado para reduzir o tempo entre informação e decisão — com um ciclo simples: olhar, validar, interpretar e agir.</w:t>
            </w:r>
          </w:p>
        </w:tc>
      </w:tr>
    </w:tbl>
    <w:p>
      <w:pPr>
        <w:spacing w:after="40"/>
      </w:pPr>
    </w:p>
    <w:p>
      <w:pPr>
        <w:spacing w:before="0" w:after="0" w:line="264" w:lineRule="auto"/>
      </w:pPr>
      <w:r>
        <w:rPr>
          <w:rFonts w:ascii="Calibri" w:hAnsi="Calibri"/>
          <w:b w:val="0"/>
          <w:color w:val="718096"/>
          <w:sz w:val="16"/>
        </w:rPr>
        <w:t>Fonte visual: Portal Executivo UniOdonto e referências fornecidas para a apresentação. Os valores exibidos nas imagens podem variar conforme a competência selecionada.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893" w:left="1123" w:header="461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718096"/>
        <w:sz w:val="16"/>
      </w:rPr>
      <w:t>UniOdonto | Briefing executivo para diretoria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718096"/>
        <w:sz w:val="16"/>
      </w:rPr>
      <w:t>Portal Executivo UniOdonto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46566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8C00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4213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