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pPr>
      <w:r>
        <w:rPr>
          <w:rFonts w:ascii="Aptos" w:eastAsia="Aptos" w:hAnsi="Aptos"/>
          <w:b/>
          <w:color w:val="2F75B5"/>
          <w:sz w:val="20"/>
        </w:rPr>
        <w:t xml:space="preserve">FIELD-BASED CAPSTONE SCENARIO</w:t>
      </w:r>
    </w:p>
    <w:p>
      <w:pPr>
        <w:pBdr/>
        <w:pStyle w:val="Title"/>
        <w:spacing/>
        <w:ind/>
        <w:jc w:val="center"/>
        <w:rPr/>
      </w:pPr>
      <w:r>
        <w:rPr/>
        <w:t xml:space="preserve">FIN-01 — Automatic Transaction Categorization</w:t>
      </w:r>
    </w:p>
    <w:p>
      <w:pPr>
        <w:pBdr/>
        <w:pStyle w:val="Normal"/>
        <w:spacing/>
        <w:ind/>
        <w:jc w:val="center"/>
        <w:rPr/>
      </w:pPr>
      <w:r>
        <w:rPr>
          <w:rFonts w:ascii="Aptos" w:eastAsia="Aptos" w:hAnsi="Aptos"/>
          <w:b w:val="0"/>
          <w:color w:val="595959"/>
          <w:sz w:val="22"/>
        </w:rPr>
        <w:t xml:space="preserve">FinTech | Technical Project Brief</w:t>
      </w:r>
    </w:p>
    <w:p>
      <w:pPr>
        <w:pBdr/>
        <w:pStyle w:val="Normal"/>
        <w:spacing/>
        <w:ind/>
        <w:rPr/>
      </w:pP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721"/>
        <w:gridCol w:w="6576"/>
      </w:tblGrid>
      <w:tr>
        <w:tblPrEx>
          <w:tblBorders/>
        </w:tblPrEx>
        <w:trPr>
          <w:trHeight w:hRule="atLeast" w:val="20"/>
        </w:trPr>
        <w:tc>
          <w:tcPr>
            <w:tcW w:w="2721"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Field</w:t>
            </w:r>
          </w:p>
        </w:tc>
        <w:tc>
          <w:tcPr>
            <w:tcW w:w="6576"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FinTech</w:t>
            </w:r>
          </w:p>
        </w:tc>
      </w:tr>
      <w:tr>
        <w:tblPrEx>
          <w:tblBorders/>
        </w:tblPrEx>
        <w:trPr>
          <w:trHeight w:hRule="atLeast" w:val="20"/>
        </w:trPr>
        <w:tc>
          <w:tcPr>
            <w:tcW w:w="2721"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Client</w:t>
            </w:r>
          </w:p>
        </w:tc>
        <w:tc>
          <w:tcPr>
            <w:tcW w:w="6576"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Digital Banking / Personal Finance App</w:t>
            </w:r>
          </w:p>
        </w:tc>
      </w:tr>
      <w:tr>
        <w:tblPrEx>
          <w:tblBorders/>
        </w:tblPrEx>
        <w:trPr>
          <w:trHeight w:hRule="atLeast" w:val="20"/>
        </w:trPr>
        <w:tc>
          <w:tcPr>
            <w:tcW w:w="2721"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Track</w:t>
            </w:r>
          </w:p>
        </w:tc>
        <w:tc>
          <w:tcPr>
            <w:tcW w:w="6576"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Field-Based Scenario</w:t>
            </w:r>
          </w:p>
        </w:tc>
      </w:tr>
      <w:tr>
        <w:tblPrEx>
          <w:tblBorders/>
        </w:tblPrEx>
        <w:trPr>
          <w:trHeight w:hRule="atLeast" w:val="20"/>
        </w:trPr>
        <w:tc>
          <w:tcPr>
            <w:tcW w:w="2721"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Purpose</w:t>
            </w:r>
          </w:p>
        </w:tc>
        <w:tc>
          <w:tcPr>
            <w:tcW w:w="6576"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Use this brief as the business requirement. You are responsible for the technical formulation and implementation decisions.</w:t>
            </w:r>
          </w:p>
        </w:tc>
      </w:tr>
    </w:tbl>
    <w:p>
      <w:pPr>
        <w:pBdr/>
        <w:pStyle w:val="Normal"/>
        <w:spacing/>
        <w:ind/>
        <w:rPr/>
      </w:pP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298"/>
      </w:tblGrid>
      <w:tr>
        <w:tblPrEx>
          <w:tblBorders/>
        </w:tblPrEx>
        <w:trPr>
          <w:trHeight w:hRule="atLeast" w:val="20"/>
        </w:trPr>
        <w:tc>
          <w:tcPr>
            <w:tcW w:w="9298" w:type="dxa"/>
            <w:tcMar>
              <w:top w:w="120" w:type="dxa"/>
              <w:left w:w="140" w:type="dxa"/>
              <w:bottom w:w="120" w:type="dxa"/>
              <w:right w:w="140" w:type="dxa"/>
            </w:tcMar>
            <w:tcBorders/>
            <w:shd w:fill="F2F8EE" w:color="auto" w:val="clear"/>
            <w:vAlign w:val="top"/>
          </w:tcPr>
          <w:p>
            <w:pPr>
              <w:pBdr/>
              <w:pStyle w:val="Normal"/>
              <w:spacing w:after="0" w:line="240" w:lineRule="auto"/>
              <w:ind/>
              <w:rPr/>
            </w:pPr>
            <w:r>
              <w:rPr>
                <w:rFonts w:ascii="Aptos" w:eastAsia="Aptos" w:hAnsi="Aptos"/>
                <w:b/>
                <w:color w:val="183153"/>
                <w:sz w:val="20"/>
              </w:rPr>
              <w:t xml:space="preserve">How to use this brief</w:t>
            </w:r>
            <w:r>
              <w:rPr>
                <w:rFonts w:ascii="Aptos" w:eastAsia="Aptos" w:hAnsi="Aptos"/>
                <w:b w:val="0"/>
                <w:sz w:val="19"/>
              </w:rPr>
              <w:br/>
            </w:r>
            <w:r>
              <w:rPr>
                <w:rFonts w:ascii="Aptos" w:eastAsia="Aptos" w:hAnsi="Aptos"/>
                <w:b w:val="0"/>
                <w:sz w:val="19"/>
              </w:rPr>
              <w:t xml:space="preserve">Treat the scenario as a client request, not as a step-by-step assignment. Complete the Data &amp; Problem Discovery and Technical Proposal sections before full implementation and be ready to justify your decisions to the mentors.</w:t>
            </w:r>
          </w:p>
        </w:tc>
      </w:tr>
    </w:tbl>
    <w:p>
      <w:pPr>
        <w:pBdr/>
        <w:pStyle w:val="Heading 1"/>
        <w:keepNext/>
        <w:spacing/>
        <w:ind/>
        <w:rPr/>
      </w:pPr>
      <w:r>
        <w:rPr/>
        <w:t xml:space="preserve">1. Client Background</w:t>
      </w:r>
    </w:p>
    <w:p>
      <w:pPr>
        <w:pBdr/>
        <w:pStyle w:val="Normal"/>
        <w:spacing/>
        <w:ind/>
        <w:rPr/>
      </w:pPr>
      <w:r>
        <w:rPr/>
        <w:t xml:space="preserve">A digital banking application displays thousands of card and account transactions with raw merchant descriptions. Users and analytics teams want spending summaries, but transaction descriptions are inconsistent, abbreviated and often difficult to interpret automatically.</w:t>
      </w:r>
    </w:p>
    <w:p>
      <w:pPr>
        <w:pBdr/>
        <w:pStyle w:val="Heading 1"/>
        <w:keepNext/>
        <w:spacing/>
        <w:ind/>
        <w:rPr/>
      </w:pPr>
      <w:r>
        <w:rPr/>
        <w:t xml:space="preserve">2. Business Problem</w:t>
      </w:r>
    </w:p>
    <w:p>
      <w:pPr>
        <w:pBdr/>
        <w:pStyle w:val="Normal"/>
        <w:spacing/>
        <w:ind/>
        <w:rPr/>
      </w:pPr>
      <w:r>
        <w:rPr/>
        <w:t xml:space="preserve">Manual categorization is expensive and does not scale. Rule-based systems also become hard to maintain as new merchants, spelling variants and transaction formats appear.</w:t>
      </w:r>
    </w:p>
    <w:p>
      <w:pPr>
        <w:pBdr/>
        <w:pStyle w:val="Heading 1"/>
        <w:keepNext/>
        <w:spacing/>
        <w:ind/>
        <w:rPr/>
      </w:pPr>
      <w:r>
        <w:rPr/>
        <w:t xml:space="preserve">3. Requested Solution</w:t>
      </w:r>
    </w:p>
    <w:p>
      <w:pPr>
        <w:pBdr/>
        <w:pStyle w:val="Normal"/>
        <w:spacing/>
        <w:ind/>
        <w:rPr/>
      </w:pPr>
      <w:r>
        <w:rPr/>
        <w:t xml:space="preserve">Develop an ML-based solution that assigns incoming transactions to meaningful spending categories using transaction descriptions and any other suitable non-sensitive metadata available in the selected dataset.</w:t>
      </w:r>
    </w:p>
    <w:p>
      <w:pPr>
        <w:pBdr/>
        <w:pStyle w:val="Heading 1"/>
        <w:keepNext/>
        <w:spacing/>
        <w:ind/>
        <w:rPr/>
      </w:pPr>
      <w:r>
        <w:rPr/>
        <w:t xml:space="preserve">4. Available Information</w:t>
      </w:r>
    </w:p>
    <w:p>
      <w:pPr>
        <w:pBdr/>
        <w:pStyle w:val="Normal"/>
        <w:spacing/>
        <w:ind/>
        <w:rPr/>
      </w:pPr>
      <w:r>
        <w:rPr/>
        <w:t xml:space="preserve">The organization may have access to information such as:</w:t>
      </w:r>
    </w:p>
    <w:p>
      <w:pPr>
        <w:pBdr/>
        <w:pStyle w:val="List Bullet"/>
        <w:spacing w:after="30"/>
        <w:ind w:left="369" w:hanging="142"/>
        <w:rPr/>
      </w:pPr>
      <w:r>
        <w:rPr/>
        <w:t xml:space="preserve">Transaction description or merchant text.</w:t>
      </w:r>
    </w:p>
    <w:p>
      <w:pPr>
        <w:pBdr/>
        <w:pStyle w:val="List Bullet"/>
        <w:spacing w:after="30"/>
        <w:ind w:left="369" w:hanging="142"/>
        <w:rPr/>
      </w:pPr>
      <w:r>
        <w:rPr/>
        <w:t xml:space="preserve">Transaction amount and type.</w:t>
      </w:r>
    </w:p>
    <w:p>
      <w:pPr>
        <w:pBdr/>
        <w:pStyle w:val="List Bullet"/>
        <w:spacing w:after="30"/>
        <w:ind w:left="369" w:hanging="142"/>
        <w:rPr/>
      </w:pPr>
      <w:r>
        <w:rPr/>
        <w:t xml:space="preserve">Merchant or category information where available for labels.</w:t>
      </w:r>
    </w:p>
    <w:p>
      <w:pPr>
        <w:pBdr/>
        <w:pStyle w:val="List Bullet"/>
        <w:spacing w:after="30"/>
        <w:ind w:left="369" w:hanging="142"/>
        <w:rPr/>
      </w:pPr>
      <w:r>
        <w:rPr/>
        <w:t xml:space="preserve">Public transaction categorization, merchant classification or financial text datasets.</w:t>
      </w:r>
    </w:p>
    <w:p>
      <w:pPr>
        <w:pBdr/>
        <w:pStyle w:val="Normal"/>
        <w:spacing/>
        <w:ind/>
        <w:rPr/>
      </w:pPr>
      <w:r>
        <w:rPr/>
        <w:t xml:space="preserve">You are responsible for </w:t>
      </w:r>
      <w:r>
        <w:rPr>
          <w:b/>
        </w:rPr>
        <w:t xml:space="preserve">selecting a suitable public dataset</w:t>
      </w:r>
      <w:r>
        <w:rPr/>
        <w:t xml:space="preserve">, determining which variables are appropriate, and documenting any important limitations of the data.</w:t>
      </w:r>
    </w:p>
    <w:p>
      <w:pPr>
        <w:pBdr/>
        <w:pStyle w:val="Heading 1"/>
        <w:keepNext/>
        <w:spacing/>
        <w:ind/>
        <w:rPr/>
      </w:pPr>
      <w:r>
        <w:rPr/>
        <w:t xml:space="preserve">5. Data &amp; Problem Discovery — Complete Before Modeling</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515"/>
        <w:gridCol w:w="5783"/>
      </w:tblGrid>
      <w:tr>
        <w:tblPrEx>
          <w:tblBorders/>
        </w:tblPrEx>
        <w:trPr>
          <w:trHeight w:hRule="atLeast" w:val="20"/>
        </w:trPr>
        <w:tc>
          <w:tcPr>
            <w:tcW w:w="3515" w:type="dxa"/>
            <w:tcMar>
              <w:top w:w="90" w:type="dxa"/>
              <w:left w:w="100" w:type="dxa"/>
              <w:bottom w:w="90" w:type="dxa"/>
              <w:right w:w="100" w:type="dxa"/>
            </w:tcMar>
            <w:tcBorders/>
            <w:shd w:fill="2F75B5" w:color="auto" w:val="clear"/>
            <w:vAlign w:val="center"/>
          </w:tcPr>
          <w:p>
            <w:pPr>
              <w:pBdr/>
              <w:pStyle w:val="Normal"/>
              <w:spacing w:after="0" w:line="240" w:lineRule="auto"/>
              <w:ind/>
              <w:jc w:val="left"/>
              <w:rPr/>
            </w:pPr>
            <w:r>
              <w:rPr>
                <w:rFonts w:ascii="Aptos" w:eastAsia="Aptos" w:hAnsi="Aptos"/>
                <w:b/>
                <w:color w:val="FFFFFF"/>
                <w:sz w:val="19"/>
              </w:rPr>
              <w:t xml:space="preserve">Decision / Question</w:t>
            </w:r>
          </w:p>
        </w:tc>
        <w:tc>
          <w:tcPr>
            <w:tcW w:w="5783" w:type="dxa"/>
            <w:tcMar>
              <w:top w:w="90" w:type="dxa"/>
              <w:left w:w="100" w:type="dxa"/>
              <w:bottom w:w="90" w:type="dxa"/>
              <w:right w:w="100" w:type="dxa"/>
            </w:tcMar>
            <w:tcBorders/>
            <w:shd w:fill="2F75B5" w:color="auto" w:val="clear"/>
            <w:vAlign w:val="center"/>
          </w:tcPr>
          <w:p>
            <w:pPr>
              <w:pBdr/>
              <w:pStyle w:val="Normal"/>
              <w:spacing w:after="0" w:line="240" w:lineRule="auto"/>
              <w:ind/>
              <w:jc w:val="left"/>
              <w:rPr/>
            </w:pPr>
            <w:r>
              <w:rPr>
                <w:rFonts w:ascii="Aptos" w:eastAsia="Aptos" w:hAnsi="Aptos"/>
                <w:b/>
                <w:color w:val="FFFFFF"/>
                <w:sz w:val="19"/>
              </w:rPr>
              <w:t xml:space="preserve">Student Response</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Selected dataset and source</w:t>
            </w:r>
          </w:p>
        </w:tc>
        <w:tc>
          <w:tcPr>
            <w:tcW w:w="5783" w:type="dxa"/>
            <w:tcMar>
              <w:top w:w="90" w:type="dxa"/>
              <w:left w:w="100" w:type="dxa"/>
              <w:bottom w:w="90" w:type="dxa"/>
              <w:right w:w="100" w:type="dxa"/>
            </w:tcMar>
            <w:tcBorders/>
            <w:shd w:fill="auto" w:color="auto"/>
            <w:vAlign w:val="center"/>
          </w:tcPr>
          <w:p>
            <w:r>
              <w:t>DoDataThings/us-bank-transaction-categories-v2 (Hugging Face, MIT License). Contains 68,000 transaction records across 17 spending categories built from over 500 real US bank merchant names.</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What does one record / sample represent?</w:t>
            </w:r>
          </w:p>
        </w:tc>
        <w:tc>
          <w:tcPr>
            <w:tcW w:w="5783" w:type="dxa"/>
            <w:tcMar>
              <w:top w:w="90" w:type="dxa"/>
              <w:left w:w="100" w:type="dxa"/>
              <w:bottom w:w="90" w:type="dxa"/>
              <w:right w:w="100" w:type="dxa"/>
            </w:tcMar>
            <w:tcBorders/>
            <w:shd w:fill="auto" w:color="auto"/>
            <w:vAlign w:val="center"/>
          </w:tcPr>
          <w:p>
            <w:r>
              <w:t>A single bank transaction description string (e.g., "[debit] PUBLIX 7860 UNIVERSITY LN OAKLAND CA") paired with its ground-truth spending category label (e.g., Groceries).</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Proposed target or ML objective</w:t>
            </w:r>
          </w:p>
        </w:tc>
        <w:tc>
          <w:tcPr>
            <w:tcW w:w="5783" w:type="dxa"/>
            <w:tcMar>
              <w:top w:w="90" w:type="dxa"/>
              <w:left w:w="100" w:type="dxa"/>
              <w:bottom w:w="90" w:type="dxa"/>
              <w:right w:w="100" w:type="dxa"/>
            </w:tcMar>
            <w:tcBorders/>
            <w:shd w:fill="auto" w:color="auto"/>
            <w:vAlign w:val="center"/>
          </w:tcPr>
          <w:p>
            <w:r>
              <w:t>Supervised multi-class text classification to assign raw transaction descriptions into one of 17 discrete spending categories (Groceries, Mortgage, Income, Utilities, Transfer, Shopping, Restaurants, Entertainment, Travel, Gas/Automotive, Healthcare, Services, Subscriptions, Education, Fees, Financial Services, Charity), maximizing macro-averaged F1 score.</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Key information available at prediction / inference time</w:t>
            </w:r>
          </w:p>
        </w:tc>
        <w:tc>
          <w:tcPr>
            <w:tcW w:w="5783" w:type="dxa"/>
            <w:tcMar>
              <w:top w:w="90" w:type="dxa"/>
              <w:left w:w="100" w:type="dxa"/>
              <w:bottom w:w="90" w:type="dxa"/>
              <w:right w:w="100" w:type="dxa"/>
            </w:tcMar>
            <w:tcBorders/>
            <w:shd w:fill="auto" w:color="auto"/>
            <w:vAlign w:val="center"/>
          </w:tcPr>
          <w:p>
            <w:r>
              <w:t>Raw transaction description text string and optional debit/credit transaction flag (e.g., [debit] or [credit]). Post-outcome fields, balances, or user history are neither available nor used, preventing target leakage.</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Main data quality issues</w:t>
            </w:r>
          </w:p>
        </w:tc>
        <w:tc>
          <w:tcPr>
            <w:tcW w:w="5783" w:type="dxa"/>
            <w:tcMar>
              <w:top w:w="90" w:type="dxa"/>
              <w:left w:w="100" w:type="dxa"/>
              <w:bottom w:w="90" w:type="dxa"/>
              <w:right w:w="100" w:type="dxa"/>
            </w:tcMar>
            <w:tcBorders/>
            <w:shd w:fill="auto" w:color="auto"/>
            <w:vAlign w:val="center"/>
          </w:tcPr>
          <w:p>
            <w:r>
              <w:t>1. Exact Duplicates: 22,298 exact duplicate rows (32.8% of raw dataset).</w:t>
              <w:br/>
              <w:t>2. Label Ambiguity: 5 description strings associated with multiple conflicting categories.</w:t>
              <w:br/>
              <w:t>3. Pervasive Identifiers: Noisy transaction-specific store numbers, ZIP codes, and PPD/reference IDs.</w:t>
              <w:br/>
              <w:t>4. Synthetic Formatting: Templated merchant descriptions (~500 unique merchants) leading to optimistic in-distribution accuracy.</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Potential leakage risks</w:t>
            </w:r>
          </w:p>
        </w:tc>
        <w:tc>
          <w:tcPr>
            <w:tcW w:w="5783" w:type="dxa"/>
            <w:tcMar>
              <w:top w:w="90" w:type="dxa"/>
              <w:left w:w="100" w:type="dxa"/>
              <w:bottom w:w="90" w:type="dxa"/>
              <w:right w:w="100" w:type="dxa"/>
            </w:tcMar>
            <w:tcBorders/>
            <w:shd w:fill="auto" w:color="auto"/>
            <w:vAlign w:val="center"/>
          </w:tcPr>
          <w:p>
            <w:r>
              <w:t>1. Cross-Boundary Duplicates: Identical descriptions appearing in train and test splits (resolved by de-duplicating before splitting - DQ-01).</w:t>
              <w:br/>
              <w:t>2. Preprocessing Leakage: Fitting TF-IDF vocabulary/IDF weights across validation/test splits (resolved by fitting vectorizer strictly on training data).</w:t>
              <w:br/>
              <w:t>3. Identifier Fingerprinting: Model memorizing random transaction store/ref numbers (resolved by normalizing numbers to &lt;num&gt;).</w:t>
              <w:br/>
              <w:t>4. Test Tuning: Hyperparameter selection on test set (resolved by evaluating test set once after model freeze).</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Privacy / fairness / licensing concerns</w:t>
            </w:r>
          </w:p>
        </w:tc>
        <w:tc>
          <w:tcPr>
            <w:tcW w:w="5783" w:type="dxa"/>
            <w:tcMar>
              <w:top w:w="90" w:type="dxa"/>
              <w:left w:w="100" w:type="dxa"/>
              <w:bottom w:w="90" w:type="dxa"/>
              <w:right w:w="100" w:type="dxa"/>
            </w:tcMar>
            <w:tcBorders/>
            <w:shd w:fill="auto" w:color="auto"/>
            <w:vAlign w:val="center"/>
          </w:tcPr>
          <w:p>
            <w:r>
              <w:t>1. Licensing: Permissive MIT License.</w:t>
              <w:br/>
              <w:t>2. Privacy: Synthetic structure containing no real PII, card numbers, or live user account data.</w:t>
              <w:br/>
              <w:t>3. Fairness &amp; Governance: Predictions are advisory spending classifications; low-confidence (&lt;0.50) or unrecognized merchant inputs trigger a needs_review flag for human verification rather than auto-categorization.</w:t>
            </w:r>
          </w:p>
        </w:tc>
      </w:tr>
    </w:tbl>
    <w:p>
      <w:pPr>
        <w:pBdr/>
        <w:pStyle w:val="Heading 1"/>
        <w:keepNext/>
        <w:spacing/>
        <w:ind/>
        <w:rPr/>
      </w:pPr>
      <w:r>
        <w:rPr/>
        <w:t xml:space="preserve">6. Technical Proposal — Complete Before Full Implementation</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515"/>
        <w:gridCol w:w="5783"/>
      </w:tblGrid>
      <w:tr>
        <w:tblPrEx>
          <w:tblBorders/>
        </w:tblPrEx>
        <w:trPr>
          <w:trHeight w:hRule="atLeast" w:val="20"/>
        </w:trPr>
        <w:tc>
          <w:tcPr>
            <w:tcW w:w="3515" w:type="dxa"/>
            <w:tcMar>
              <w:top w:w="90" w:type="dxa"/>
              <w:left w:w="100" w:type="dxa"/>
              <w:bottom w:w="90" w:type="dxa"/>
              <w:right w:w="100" w:type="dxa"/>
            </w:tcMar>
            <w:tcBorders/>
            <w:shd w:fill="2F75B5" w:color="auto" w:val="clear"/>
            <w:vAlign w:val="center"/>
          </w:tcPr>
          <w:p>
            <w:pPr>
              <w:pBdr/>
              <w:pStyle w:val="Normal"/>
              <w:spacing w:after="0" w:line="240" w:lineRule="auto"/>
              <w:ind/>
              <w:jc w:val="left"/>
              <w:rPr/>
            </w:pPr>
            <w:r>
              <w:rPr>
                <w:rFonts w:ascii="Aptos" w:eastAsia="Aptos" w:hAnsi="Aptos"/>
                <w:b/>
                <w:color w:val="FFFFFF"/>
                <w:sz w:val="19"/>
              </w:rPr>
              <w:t xml:space="preserve">Decision / Question</w:t>
            </w:r>
          </w:p>
        </w:tc>
        <w:tc>
          <w:tcPr>
            <w:tcW w:w="5783" w:type="dxa"/>
            <w:tcMar>
              <w:top w:w="90" w:type="dxa"/>
              <w:left w:w="100" w:type="dxa"/>
              <w:bottom w:w="90" w:type="dxa"/>
              <w:right w:w="100" w:type="dxa"/>
            </w:tcMar>
            <w:tcBorders/>
            <w:shd w:fill="2F75B5" w:color="auto" w:val="clear"/>
            <w:vAlign w:val="center"/>
          </w:tcPr>
          <w:p>
            <w:pPr>
              <w:pBdr/>
              <w:pStyle w:val="Normal"/>
              <w:spacing w:after="0" w:line="240" w:lineRule="auto"/>
              <w:ind/>
              <w:jc w:val="left"/>
              <w:rPr/>
            </w:pPr>
            <w:r>
              <w:rPr>
                <w:rFonts w:ascii="Aptos" w:eastAsia="Aptos" w:hAnsi="Aptos"/>
                <w:b/>
                <w:color w:val="FFFFFF"/>
                <w:sz w:val="19"/>
              </w:rPr>
              <w:t xml:space="preserve">Student Response</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ML problem formulation</w:t>
            </w:r>
          </w:p>
        </w:tc>
        <w:tc>
          <w:tcPr>
            <w:tcW w:w="5783" w:type="dxa"/>
            <w:tcMar>
              <w:top w:w="90" w:type="dxa"/>
              <w:left w:w="100" w:type="dxa"/>
              <w:bottom w:w="90" w:type="dxa"/>
              <w:right w:w="100" w:type="dxa"/>
            </w:tcMar>
            <w:tcBorders/>
            <w:shd w:fill="auto" w:color="auto"/>
            <w:vAlign w:val="center"/>
          </w:tcPr>
          <w:p>
            <w:r>
              <w:t>Supervised multi-class NLP text classification mapping normalized text token features x to category probability distributions over 17 classes: P(y=c | x).</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Proposed baseline</w:t>
            </w:r>
          </w:p>
        </w:tc>
        <w:tc>
          <w:tcPr>
            <w:tcW w:w="5783" w:type="dxa"/>
            <w:tcMar>
              <w:top w:w="90" w:type="dxa"/>
              <w:left w:w="100" w:type="dxa"/>
              <w:bottom w:w="90" w:type="dxa"/>
              <w:right w:w="100" w:type="dxa"/>
            </w:tcMar>
            <w:tcBorders/>
            <w:shd w:fill="auto" w:color="auto"/>
            <w:vAlign w:val="center"/>
          </w:tcPr>
          <w:p>
            <w:r>
              <w:t>Naive Most-Frequent-Class Classifier (sklearn.DummyClassifier, strategy="most_frequent"). Achieves validation macro-F1 of 0.0094 and accuracy of 0.0867 (majority class share ~8.7%).</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Main modeling approach(es) to investigate</w:t>
            </w:r>
          </w:p>
        </w:tc>
        <w:tc>
          <w:tcPr>
            <w:tcW w:w="5783" w:type="dxa"/>
            <w:tcMar>
              <w:top w:w="90" w:type="dxa"/>
              <w:left w:w="100" w:type="dxa"/>
              <w:bottom w:w="90" w:type="dxa"/>
              <w:right w:w="100" w:type="dxa"/>
            </w:tcMar>
            <w:tcBorders/>
            <w:shd w:fill="auto" w:color="auto"/>
            <w:vAlign w:val="center"/>
          </w:tcPr>
          <w:p>
            <w:r>
              <w:t>1. Primary Candidate: TF-IDF (word 1–2 n-grams, min_df=2, sublinear TF) + Logistic Regression (probabilistic, highly interpretable, validation macro-F1: 0.9960).</w:t>
              <w:br/>
              <w:t>2. Alternative 1: TF-IDF (char_wb 3–5 n-grams) + LinearSVC (macro-F1 0.9971, rejected due to lack of probability calibration needed for confidence thresholds).</w:t>
              <w:br/>
              <w:t>3. Alternative 2: TF-IDF + Complement Naive Bayes (fast baseline, macro-F1 0.9915).</w:t>
              <w:br/>
              <w:t>4. Alternative 3: Pre-trained MiniLM Sentence Embeddings + LogReg (evaluated; scored 0.9468, rejected due to lower performance and high memory/dependency overhead).</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Data splitting / validation strategy</w:t>
            </w:r>
          </w:p>
        </w:tc>
        <w:tc>
          <w:tcPr>
            <w:tcW w:w="5783" w:type="dxa"/>
            <w:tcMar>
              <w:top w:w="90" w:type="dxa"/>
              <w:left w:w="100" w:type="dxa"/>
              <w:bottom w:w="90" w:type="dxa"/>
              <w:right w:w="100" w:type="dxa"/>
            </w:tcMar>
            <w:tcBorders/>
            <w:shd w:fill="auto" w:color="auto"/>
            <w:vAlign w:val="center"/>
          </w:tcPr>
          <w:p>
            <w:r>
              <w:t>Stratified train/validation/test split (70 / 15 / 15, random_state=42) after cleaning and de-duplication (Train: 31,984 rows, Validation: 6,854 rows, Test: 6,854 rows). Candidate selection is conducted solely on validation set; protected test set scored once upon model freezing. Generalization tested via an unseen-merchant slice (716 rows).</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Primary evaluation metric(s) and why</w:t>
            </w:r>
          </w:p>
        </w:tc>
        <w:tc>
          <w:tcPr>
            <w:tcW w:w="5783" w:type="dxa"/>
            <w:tcMar>
              <w:top w:w="90" w:type="dxa"/>
              <w:left w:w="100" w:type="dxa"/>
              <w:bottom w:w="90" w:type="dxa"/>
              <w:right w:w="100" w:type="dxa"/>
            </w:tcMar>
            <w:tcBorders/>
            <w:shd w:fill="auto" w:color="auto"/>
            <w:vAlign w:val="center"/>
          </w:tcPr>
          <w:p>
            <w:r>
              <w:t>Macro-averaged F1 score. Required because all 17 categories are balanced and equally critical to user financial dashboards (e.g. Fees and Transfers must not be swamped by Groceries). Micro-accuracy and Top-3 accuracy are tracked as secondary metrics.</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Expected inference input</w:t>
            </w:r>
          </w:p>
        </w:tc>
        <w:tc>
          <w:tcPr>
            <w:tcW w:w="5783" w:type="dxa"/>
            <w:tcMar>
              <w:top w:w="90" w:type="dxa"/>
              <w:left w:w="100" w:type="dxa"/>
              <w:bottom w:w="90" w:type="dxa"/>
              <w:right w:w="100" w:type="dxa"/>
            </w:tcMar>
            <w:tcBorders/>
            <w:shd w:fill="auto" w:color="auto"/>
            <w:vAlign w:val="center"/>
          </w:tcPr>
          <w:p>
            <w:r>
              <w:t>Raw transaction text string (e.g., "[debit] MTG PMT PENFED CU") or JSON object {"description": "..."}.</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Expected inference output</w:t>
            </w:r>
          </w:p>
        </w:tc>
        <w:tc>
          <w:tcPr>
            <w:tcW w:w="5783" w:type="dxa"/>
            <w:tcMar>
              <w:top w:w="90" w:type="dxa"/>
              <w:left w:w="100" w:type="dxa"/>
              <w:bottom w:w="90" w:type="dxa"/>
              <w:right w:w="100" w:type="dxa"/>
            </w:tcMar>
            <w:tcBorders/>
            <w:shd w:fill="auto" w:color="auto"/>
            <w:vAlign w:val="center"/>
          </w:tcPr>
          <w:p>
            <w:r>
              <w:t>Primary category string (e.g., Mortgage), calibrated confidence score (e.g., 0.9738), top-3 alternative categories with confidence scores, and a boolean needs_review flag (True if confidence &lt; 0.50 or zero recognized merchant terms).</w:t>
            </w:r>
          </w:p>
        </w:tc>
      </w:tr>
      <w:tr>
        <w:tblPrEx>
          <w:tblBorders/>
        </w:tblPrEx>
        <w:trPr>
          <w:trHeight w:hRule="atLeast" w:val="20"/>
        </w:trPr>
        <w:tc>
          <w:tcPr>
            <w:tcW w:w="3515" w:type="dxa"/>
            <w:tcMar>
              <w:top w:w="90" w:type="dxa"/>
              <w:left w:w="100" w:type="dxa"/>
              <w:bottom w:w="90" w:type="dxa"/>
              <w:right w:w="100" w:type="dxa"/>
            </w:tcMar>
            <w:tcBorders/>
            <w:shd w:fill="DCE6F1" w:color="auto" w:val="clear"/>
            <w:vAlign w:val="center"/>
          </w:tcPr>
          <w:p>
            <w:pPr>
              <w:pBdr/>
              <w:pStyle w:val="Normal"/>
              <w:spacing w:after="0" w:line="240" w:lineRule="auto"/>
              <w:ind/>
              <w:jc w:val="left"/>
              <w:rPr/>
            </w:pPr>
            <w:r>
              <w:rPr>
                <w:rFonts w:ascii="Aptos" w:eastAsia="Aptos" w:hAnsi="Aptos"/>
                <w:b/>
                <w:color w:val="183153"/>
                <w:sz w:val="19"/>
              </w:rPr>
              <w:t xml:space="preserve">Main technical risks / assumptions</w:t>
            </w:r>
          </w:p>
        </w:tc>
        <w:tc>
          <w:tcPr>
            <w:tcW w:w="5783" w:type="dxa"/>
            <w:tcMar>
              <w:top w:w="90" w:type="dxa"/>
              <w:left w:w="100" w:type="dxa"/>
              <w:bottom w:w="90" w:type="dxa"/>
              <w:right w:w="100" w:type="dxa"/>
            </w:tcMar>
            <w:tcBorders/>
            <w:shd w:fill="auto" w:color="auto"/>
            <w:vAlign w:val="center"/>
          </w:tcPr>
          <w:p>
            <w:r>
              <w:t>1. Out-of-Vocabulary (OOV) Merchants: Novel merchants generate sparse zero vectors, collapsing to intercept predictions (mitigated by OOV merchant term checking and review flag).</w:t>
              <w:br/>
              <w:t>2. Category Ambiguity: Merchant overlap between Groceries and Shopping (mitigated by top-3 candidate output).</w:t>
              <w:br/>
              <w:t>3. Deployment Footprint: Avoiding heavy deep-learning dependencies (Torch/Transformers) to keep the Streamlit Cloud deployment lightweight (~1.2MB model bundle).</w:t>
            </w:r>
          </w:p>
        </w:tc>
      </w:tr>
    </w:tbl>
    <w:p>
      <w:pPr>
        <w:pBdr/>
        <w:pStyle w:val="Heading 1"/>
        <w:keepNext/>
        <w:spacing/>
        <w:ind/>
        <w:rPr/>
      </w:pPr>
      <w:r>
        <w:rPr/>
        <w:t xml:space="preserve">7. Functional Requirements</w:t>
      </w:r>
    </w:p>
    <w:p>
      <w:pPr>
        <w:pBdr/>
        <w:pStyle w:val="List Bullet"/>
        <w:spacing w:after="30"/>
        <w:ind w:left="369" w:hanging="142"/>
        <w:rPr/>
      </w:pPr>
      <w:r>
        <w:rPr/>
        <w:t xml:space="preserve">The solution must accept a new transaction record and return a spending category.</w:t>
      </w:r>
    </w:p>
    <w:p>
      <w:pPr>
        <w:pBdr/>
        <w:pStyle w:val="List Bullet"/>
        <w:spacing w:after="30"/>
        <w:ind w:left="369" w:hanging="142"/>
        <w:rPr/>
      </w:pPr>
      <w:r>
        <w:rPr/>
        <w:t xml:space="preserve">The category taxonomy must be clearly defined and suitable for user-facing or analytics use.</w:t>
      </w:r>
    </w:p>
    <w:p>
      <w:pPr>
        <w:pBdr/>
        <w:pStyle w:val="List Bullet"/>
        <w:spacing w:after="30"/>
        <w:ind w:left="369" w:hanging="142"/>
        <w:rPr/>
      </w:pPr>
      <w:r>
        <w:rPr/>
        <w:t xml:space="preserve">The solution must handle previously unseen merchant descriptions reasonably.</w:t>
      </w:r>
    </w:p>
    <w:p>
      <w:pPr>
        <w:pBdr/>
        <w:pStyle w:val="List Bullet"/>
        <w:spacing w:after="30"/>
        <w:ind w:left="369" w:hanging="142"/>
        <w:rPr/>
      </w:pPr>
      <w:r>
        <w:rPr/>
        <w:t xml:space="preserve">Ambiguous or low-confidence cases should be considered in the design.</w:t>
      </w:r>
    </w:p>
    <w:p>
      <w:pPr>
        <w:pBdr/>
        <w:pStyle w:val="List Bullet"/>
        <w:spacing w:after="30"/>
        <w:ind w:left="369" w:hanging="142"/>
        <w:rPr/>
      </w:pPr>
      <w:r>
        <w:rPr/>
        <w:t xml:space="preserve">No real credentials, card numbers or personally identifiable financial data may be exposed.</w:t>
      </w:r>
    </w:p>
    <w:p>
      <w:pPr>
        <w:pBdr/>
        <w:pStyle w:val="Heading 1"/>
        <w:keepNext/>
        <w:spacing/>
        <w:ind/>
        <w:rPr/>
      </w:pPr>
      <w:r>
        <w:rPr/>
        <w:t xml:space="preserve">8. Expected Deliverables</w:t>
      </w:r>
    </w:p>
    <w:p>
      <w:pPr>
        <w:pBdr/>
        <w:pStyle w:val="List Bullet"/>
        <w:spacing w:after="30"/>
        <w:ind w:left="369" w:hanging="142"/>
        <w:rPr/>
      </w:pPr>
      <w:r>
        <w:rPr/>
        <w:t xml:space="preserve">A working ML solution that addresses the requested business problem.</w:t>
      </w:r>
    </w:p>
    <w:p>
      <w:pPr>
        <w:pBdr/>
        <w:pStyle w:val="List Bullet"/>
        <w:spacing w:after="30"/>
        <w:ind w:left="369" w:hanging="142"/>
        <w:rPr/>
      </w:pPr>
      <w:r>
        <w:rPr/>
        <w:t xml:space="preserve">A trained model or ML pipeline with documented methodology.</w:t>
      </w:r>
    </w:p>
    <w:p>
      <w:pPr>
        <w:pBdr/>
        <w:pStyle w:val="List Bullet"/>
        <w:spacing w:after="30"/>
        <w:ind w:left="369" w:hanging="142"/>
        <w:rPr/>
      </w:pPr>
      <w:r>
        <w:rPr/>
        <w:t xml:space="preserve">Documented dataset source, assumptions and important preprocessing decisions.</w:t>
      </w:r>
    </w:p>
    <w:p>
      <w:pPr>
        <w:pBdr/>
        <w:pStyle w:val="List Bullet"/>
        <w:spacing w:after="30"/>
        <w:ind w:left="369" w:hanging="142"/>
        <w:rPr/>
      </w:pPr>
      <w:r>
        <w:rPr/>
        <w:t xml:space="preserve">Evaluation results on appropriate unseen/held-out data.</w:t>
      </w:r>
    </w:p>
    <w:p>
      <w:pPr>
        <w:pBdr/>
        <w:pStyle w:val="List Bullet"/>
        <w:spacing w:after="30"/>
        <w:ind w:left="369" w:hanging="142"/>
        <w:rPr/>
      </w:pPr>
      <w:r>
        <w:rPr/>
        <w:t xml:space="preserve">A usable inference interface or service appropriate to the project.</w:t>
      </w:r>
    </w:p>
    <w:p>
      <w:pPr>
        <w:pBdr/>
        <w:pStyle w:val="List Bullet"/>
        <w:spacing w:after="30"/>
        <w:ind w:left="369" w:hanging="142"/>
        <w:rPr/>
      </w:pPr>
      <w:r>
        <w:rPr/>
        <w:t xml:space="preserve">A reproducible repository with clear run instructions.</w:t>
      </w:r>
    </w:p>
    <w:p>
      <w:pPr>
        <w:pBdr/>
        <w:pStyle w:val="List Bullet"/>
        <w:spacing w:after="30"/>
        <w:ind w:left="369" w:hanging="142"/>
        <w:rPr/>
      </w:pPr>
      <w:r>
        <w:rPr/>
        <w:t xml:space="preserve">A concise statement of limitations, risks and recommended next steps.</w:t>
      </w:r>
    </w:p>
    <w:p>
      <w:pPr>
        <w:pBdr/>
        <w:pStyle w:val="Normal"/>
        <w:spacing/>
        <w:ind/>
        <w:rPr/>
      </w:pPr>
      <w:r>
        <w:rPr>
          <w:b/>
        </w:rPr>
        <w:t xml:space="preserve">Note: </w:t>
      </w:r>
      <w:r>
        <w:rPr/>
        <w:t xml:space="preserve">General capstone requirements for experiment tracking, API/deployment, Docker, documentation and grading are defined in the official Capstone Evaluation Criteria and Helper documents.</w:t>
      </w:r>
    </w:p>
    <w:p>
      <w:pPr>
        <w:pBdr/>
        <w:pStyle w:val="Heading 1"/>
        <w:keepNext/>
        <w:spacing/>
        <w:ind/>
        <w:rPr/>
      </w:pPr>
      <w:r>
        <w:rPr/>
        <w:t xml:space="preserve">9. Acceptance Criteria</w:t>
      </w:r>
    </w:p>
    <w:p>
      <w:pPr>
        <w:pBdr/>
        <w:pStyle w:val="List Bullet"/>
        <w:spacing w:after="30"/>
        <w:ind w:left="369" w:hanging="142"/>
        <w:rPr/>
      </w:pPr>
      <w:r>
        <w:rPr/>
        <w:t xml:space="preserve">The solution can process previously unseen input in the intended project format.</w:t>
      </w:r>
    </w:p>
    <w:p>
      <w:pPr>
        <w:pBdr/>
        <w:pStyle w:val="List Bullet"/>
        <w:spacing w:after="30"/>
        <w:ind w:left="369" w:hanging="142"/>
        <w:rPr/>
      </w:pPr>
      <w:r>
        <w:rPr/>
        <w:t xml:space="preserve">The output is meaningful for the client use case described in this brief.</w:t>
      </w:r>
    </w:p>
    <w:p>
      <w:pPr>
        <w:pBdr/>
        <w:pStyle w:val="List Bullet"/>
        <w:spacing w:after="30"/>
        <w:ind w:left="369" w:hanging="142"/>
        <w:rPr/>
      </w:pPr>
      <w:r>
        <w:rPr/>
        <w:t xml:space="preserve">The methodology and evaluation can be explained and defended.</w:t>
      </w:r>
    </w:p>
    <w:p>
      <w:pPr>
        <w:pBdr/>
        <w:pStyle w:val="List Bullet"/>
        <w:spacing w:after="30"/>
        <w:ind w:left="369" w:hanging="142"/>
        <w:rPr/>
      </w:pPr>
      <w:r>
        <w:rPr/>
        <w:t xml:space="preserve">The prediction/analysis process is reproducible from the submitted repository.</w:t>
      </w:r>
    </w:p>
    <w:p>
      <w:pPr>
        <w:pBdr/>
        <w:pStyle w:val="List Bullet"/>
        <w:spacing w:after="30"/>
        <w:ind w:left="369" w:hanging="142"/>
        <w:rPr/>
      </w:pPr>
      <w:r>
        <w:rPr/>
        <w:t xml:space="preserve">Known limitations, risks and important assumptions are documented.</w:t>
      </w:r>
    </w:p>
    <w:p>
      <w:pPr>
        <w:pBdr/>
        <w:pStyle w:val="List Bullet"/>
        <w:spacing w:after="30"/>
        <w:ind w:left="369" w:hanging="142"/>
        <w:rPr/>
      </w:pPr>
      <w:r>
        <w:rPr/>
        <w:t xml:space="preserve">The implementation can be run according to its documentation.</w:t>
      </w:r>
    </w:p>
    <w:p>
      <w:pPr>
        <w:pBdr/>
        <w:pStyle w:val="Heading 1"/>
        <w:keepNext/>
        <w:spacing/>
        <w:ind/>
        <w:rPr/>
      </w:pPr>
      <w:r>
        <w:rPr/>
        <w:t xml:space="preserve">10. Constraints</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49"/>
        <w:gridCol w:w="4649"/>
      </w:tblGrid>
      <w:tr>
        <w:tblPrEx>
          <w:tblBorders/>
        </w:tblPrEx>
        <w:trPr>
          <w:trHeight w:hRule="atLeast" w:val="20"/>
        </w:trPr>
        <w:tc>
          <w:tcPr>
            <w:tcW w:w="4649" w:type="dxa"/>
            <w:tcMar>
              <w:top w:w="90" w:type="dxa"/>
              <w:left w:w="100" w:type="dxa"/>
              <w:bottom w:w="90" w:type="dxa"/>
              <w:right w:w="100" w:type="dxa"/>
            </w:tcMar>
            <w:tcBorders/>
            <w:shd w:fill="70AD47" w:color="auto" w:val="clear"/>
            <w:vAlign w:val="center"/>
          </w:tcPr>
          <w:p>
            <w:pPr>
              <w:pBdr/>
              <w:pStyle w:val="Normal"/>
              <w:spacing w:after="0" w:line="240" w:lineRule="auto"/>
              <w:ind/>
              <w:jc w:val="center"/>
              <w:rPr/>
            </w:pPr>
            <w:r>
              <w:rPr>
                <w:rFonts w:ascii="Aptos" w:eastAsia="Aptos" w:hAnsi="Aptos"/>
                <w:b/>
                <w:color w:val="FFFFFF"/>
                <w:sz w:val="19"/>
              </w:rPr>
              <w:t xml:space="preserve">IN SCOPE</w:t>
            </w:r>
          </w:p>
        </w:tc>
        <w:tc>
          <w:tcPr>
            <w:tcW w:w="4649" w:type="dxa"/>
            <w:tcMar>
              <w:top w:w="90" w:type="dxa"/>
              <w:left w:w="100" w:type="dxa"/>
              <w:bottom w:w="90" w:type="dxa"/>
              <w:right w:w="100" w:type="dxa"/>
            </w:tcMar>
            <w:tcBorders/>
            <w:shd w:fill="C55A11" w:color="auto" w:val="clear"/>
            <w:vAlign w:val="center"/>
          </w:tcPr>
          <w:p>
            <w:pPr>
              <w:pBdr/>
              <w:pStyle w:val="Normal"/>
              <w:spacing w:after="0" w:line="240" w:lineRule="auto"/>
              <w:ind/>
              <w:jc w:val="center"/>
              <w:rPr/>
            </w:pPr>
            <w:r>
              <w:rPr>
                <w:rFonts w:ascii="Aptos" w:eastAsia="Aptos" w:hAnsi="Aptos"/>
                <w:b/>
                <w:color w:val="FFFFFF"/>
                <w:sz w:val="19"/>
              </w:rPr>
              <w:t xml:space="preserve">OUT OF SCOPE</w:t>
            </w:r>
          </w:p>
        </w:tc>
      </w:tr>
      <w:tr>
        <w:tblPrEx>
          <w:tblBorders/>
        </w:tblPrEx>
        <w:trPr>
          <w:trHeight w:hRule="atLeast" w:val="20"/>
        </w:trPr>
        <w:tc>
          <w:tcPr>
            <w:tcW w:w="4649"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 Prototype ML solution</w:t>
            </w:r>
          </w:p>
        </w:tc>
        <w:tc>
          <w:tcPr>
            <w:tcW w:w="4649"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 Direct production integration</w:t>
            </w:r>
          </w:p>
        </w:tc>
      </w:tr>
      <w:tr>
        <w:tblPrEx>
          <w:tblBorders/>
        </w:tblPrEx>
        <w:trPr>
          <w:trHeight w:hRule="atLeast" w:val="20"/>
        </w:trPr>
        <w:tc>
          <w:tcPr>
            <w:tcW w:w="4649"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 Public / legally usable data</w:t>
            </w:r>
          </w:p>
        </w:tc>
        <w:tc>
          <w:tcPr>
            <w:tcW w:w="4649"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 Use of unauthorized private data</w:t>
            </w:r>
          </w:p>
        </w:tc>
      </w:tr>
      <w:tr>
        <w:tblPrEx>
          <w:tblBorders/>
        </w:tblPrEx>
        <w:trPr>
          <w:trHeight w:hRule="atLeast" w:val="20"/>
        </w:trPr>
        <w:tc>
          <w:tcPr>
            <w:tcW w:w="4649"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 Reproducible inference workflow</w:t>
            </w:r>
          </w:p>
        </w:tc>
        <w:tc>
          <w:tcPr>
            <w:tcW w:w="4649"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 Enterprise-scale infrastructure</w:t>
            </w:r>
          </w:p>
        </w:tc>
      </w:tr>
      <w:tr>
        <w:tblPrEx>
          <w:tblBorders/>
        </w:tblPrEx>
        <w:trPr>
          <w:trHeight w:hRule="atLeast" w:val="20"/>
        </w:trPr>
        <w:tc>
          <w:tcPr>
            <w:tcW w:w="4649"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 Reasonable student-scale deployment</w:t>
            </w:r>
          </w:p>
        </w:tc>
        <w:tc>
          <w:tcPr>
            <w:tcW w:w="4649" w:type="dxa"/>
            <w:tcMar>
              <w:top w:w="90" w:type="dxa"/>
              <w:left w:w="100" w:type="dxa"/>
              <w:bottom w:w="90" w:type="dxa"/>
              <w:right w:w="100" w:type="dxa"/>
            </w:tcMar>
            <w:tcBorders/>
            <w:shd w:fill="auto" w:color="auto"/>
            <w:vAlign w:val="center"/>
          </w:tcPr>
          <w:p>
            <w:pPr>
              <w:pBdr/>
              <w:pStyle w:val="Normal"/>
              <w:spacing w:after="0" w:line="240" w:lineRule="auto"/>
              <w:ind/>
              <w:jc w:val="left"/>
              <w:rPr/>
            </w:pPr>
            <w:r>
              <w:rPr>
                <w:rFonts w:ascii="Aptos" w:eastAsia="Aptos" w:hAnsi="Aptos"/>
                <w:b w:val="0"/>
                <w:sz w:val="19"/>
              </w:rPr>
              <w:t xml:space="preserve">• Claims beyond what the model can validly support</w:t>
            </w:r>
          </w:p>
        </w:tc>
      </w:tr>
    </w:tbl>
    <w:p>
      <w:pPr>
        <w:pBdr/>
        <w:pStyle w:val="Heading 1"/>
        <w:keepNext/>
        <w:spacing/>
        <w:ind/>
        <w:rPr/>
      </w:pPr>
      <w:r>
        <w:rPr/>
        <w:t xml:space="preserve">11. Questions You Must Resolve</w:t>
      </w:r>
    </w:p>
    <w:p>
      <w:pPr>
        <w:pBdr/>
        <w:pStyle w:val="List Number"/>
        <w:spacing w:after="40"/>
        <w:ind/>
        <w:rPr/>
      </w:pPr>
      <w:r>
        <w:rPr/>
        <w:t xml:space="preserve">What category taxonomy is useful without becoming too detailed?</w:t>
      </w:r>
    </w:p>
    <w:p>
      <w:pPr>
        <w:pBdr/>
        <w:pStyle w:val="List Number"/>
        <w:spacing w:after="40"/>
        <w:ind/>
        <w:rPr/>
      </w:pPr>
      <w:r>
        <w:rPr/>
        <w:t xml:space="preserve">How will you normalize noisy merchant descriptions without removing useful information?</w:t>
      </w:r>
    </w:p>
    <w:p>
      <w:pPr>
        <w:pBdr/>
        <w:pStyle w:val="List Number"/>
        <w:spacing w:after="40"/>
        <w:ind/>
        <w:rPr/>
      </w:pPr>
      <w:r>
        <w:rPr/>
        <w:t xml:space="preserve">How should unseen merchants be handled?</w:t>
      </w:r>
    </w:p>
    <w:p>
      <w:pPr>
        <w:pBdr/>
        <w:pStyle w:val="List Number"/>
        <w:spacing w:after="40"/>
        <w:ind/>
        <w:rPr/>
      </w:pPr>
      <w:r>
        <w:rPr/>
        <w:t xml:space="preserve">Which metadata beyond text is appropriate and available at prediction time?</w:t>
      </w:r>
    </w:p>
    <w:p>
      <w:pPr>
        <w:pBdr/>
        <w:pStyle w:val="List Number"/>
        <w:spacing w:after="40"/>
        <w:ind/>
        <w:rPr/>
      </w:pPr>
      <w:r>
        <w:rPr/>
        <w:t xml:space="preserve">How will you evaluate rare categories?</w:t>
      </w:r>
    </w:p>
    <w:p>
      <w:pPr>
        <w:pBdr/>
        <w:pStyle w:val="List Number"/>
        <w:spacing w:after="40"/>
        <w:ind/>
        <w:rPr/>
      </w:pPr>
      <w:r>
        <w:rPr/>
        <w:t xml:space="preserve">What should happen when a transaction does not fit any known category?</w:t>
      </w:r>
    </w:p>
    <w:p>
      <w:pPr>
        <w:pBdr/>
        <w:pStyle w:val="Heading 1"/>
        <w:keepNext/>
        <w:spacing/>
        <w:ind/>
        <w:rPr/>
      </w:pPr>
      <w:r>
        <w:rPr/>
        <w:t xml:space="preserve">12. Optional Directions</w:t>
      </w:r>
    </w:p>
    <w:p>
      <w:pPr>
        <w:pBdr/>
        <w:pStyle w:val="Normal"/>
        <w:spacing/>
        <w:ind/>
        <w:rPr/>
      </w:pPr>
      <w:r>
        <w:rPr/>
        <w:t xml:space="preserve">These are optional ideas, not mandatory requirements and not substitutes for missing core deliverables.</w:t>
      </w:r>
    </w:p>
    <w:p>
      <w:pPr>
        <w:pBdr/>
        <w:pStyle w:val="List Bullet"/>
        <w:spacing w:after="30"/>
        <w:ind w:left="369" w:hanging="142"/>
        <w:rPr/>
      </w:pPr>
      <w:r>
        <w:rPr/>
        <w:t xml:space="preserve">Confidence-based fallback</w:t>
      </w:r>
    </w:p>
    <w:p>
      <w:pPr>
        <w:pBdr/>
        <w:pStyle w:val="List Bullet"/>
        <w:spacing w:after="30"/>
        <w:ind w:left="369" w:hanging="142"/>
        <w:rPr/>
      </w:pPr>
      <w:r>
        <w:rPr/>
        <w:t xml:space="preserve">Merchant normalization</w:t>
      </w:r>
    </w:p>
    <w:p>
      <w:pPr>
        <w:pBdr/>
        <w:pStyle w:val="List Bullet"/>
        <w:spacing w:after="30"/>
        <w:ind w:left="369" w:hanging="142"/>
        <w:rPr/>
      </w:pPr>
      <w:r>
        <w:rPr/>
        <w:t xml:space="preserve">Embedding/transformer comparison</w:t>
      </w:r>
    </w:p>
    <w:p>
      <w:pPr>
        <w:pBdr/>
        <w:pStyle w:val="List Bullet"/>
        <w:spacing w:after="30"/>
        <w:ind w:left="369" w:hanging="142"/>
        <w:rPr/>
      </w:pPr>
      <w:r>
        <w:rPr/>
        <w:t xml:space="preserve">Personal spending summary demo</w:t>
      </w:r>
    </w:p>
    <w:sectPr>
      <w:footerReference w:type="default" r:id="rId1"/>
      <w:type w:val="nextPage"/>
      <w:pgSz w:w="12240" w:h="15840"/>
      <w:pgMar w:top="879" w:right="1020" w:bottom="879" w:left="102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jc w:val="center"/>
      <w:rPr/>
    </w:pPr>
    <w:r>
      <w:rPr>
        <w:rFonts w:ascii="Aptos" w:eastAsia="Aptos" w:hAnsi="Aptos"/>
        <w:b w:val="0"/>
        <w:color w:val="595959"/>
        <w:sz w:val="16"/>
      </w:rPr>
      <w:t xml:space="preserve">FIN-01 | Automatic Transaction Categorization | AI/ML Fundamentals Capstone</w:t>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nsid w:val="FFFFFF7E"/>
    <w:lvl w:ilvl="0">
      <w:start w:val="1"/>
      <w:numFmt w:val="decimal"/>
      <w:pStyle w:val="List Number 3"/>
      <w:suff w:val="tab"/>
      <w:lvlText w:val="%1."/>
      <w:pPr>
        <w:pBdr/>
        <w:spacing/>
        <w:ind w:left="1080" w:hanging="360"/>
        <w:tabs>
          <w:tab w:val="num" w:pos="108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3">
    <w:nsid w:val="FFFFFF7F"/>
    <w:lvl w:ilvl="0">
      <w:start w:val="1"/>
      <w:numFmt w:val="decimal"/>
      <w:pStyle w:val="List Number 2"/>
      <w:suff w:val="tab"/>
      <w:lvlText w:val="%1."/>
      <w:pPr>
        <w:pBdr/>
        <w:spacing/>
        <w:ind w:left="720" w:hanging="360"/>
        <w:tabs>
          <w:tab w:val="num" w:pos="72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5">
    <w:nsid w:val="FFFFFF82"/>
    <w:lvl w:ilvl="0">
      <w:start w:val="0"/>
      <w:numFmt w:val="bullet"/>
      <w:pStyle w:val="List Bullet 3"/>
      <w:suff w:val="tab"/>
      <w:lvlText w:val=""/>
      <w:pPr>
        <w:pBdr/>
        <w:spacing/>
        <w:ind w:left="1080" w:hanging="360"/>
        <w:tabs>
          <w:tab w:val="num" w:pos="108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6">
    <w:nsid w:val="FFFFFF83"/>
    <w:lvl w:ilvl="0">
      <w:start w:val="0"/>
      <w:numFmt w:val="bullet"/>
      <w:pStyle w:val="List Bullet 2"/>
      <w:suff w:val="tab"/>
      <w:lvlText w:val=""/>
      <w:pPr>
        <w:pBdr/>
        <w:spacing/>
        <w:ind w:left="720" w:hanging="360"/>
        <w:tabs>
          <w:tab w:val="num" w:pos="72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7">
    <w:nsid w:val="FFFFFF88"/>
    <w:lvl w:ilvl="0">
      <w:start w:val="1"/>
      <w:numFmt w:val="decimal"/>
      <w:pStyle w:val="List Number"/>
      <w:suff w:val="tab"/>
      <w:lvlText w:val="%1."/>
      <w:pPr>
        <w:pBdr/>
        <w:spacing/>
        <w:ind w:left="360" w:hanging="360"/>
        <w:tabs>
          <w:tab w:val="num" w:pos="36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8">
    <w:nsid w:val="FFFFFF89"/>
    <w:lvl w:ilvl="0">
      <w:start w:val="0"/>
      <w:numFmt w:val="bullet"/>
      <w:pStyle w:val="List Bullet"/>
      <w:suff w:val="tab"/>
      <w:lvlText w:val=""/>
      <w:pPr>
        <w:pBdr/>
        <w:spacing/>
        <w:ind w:left="360" w:hanging="360"/>
        <w:tabs>
          <w:tab w:val="num" w:pos="36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3">
    <w:abstractNumId w:val="2"/>
  </w:num>
  <w:num w:numId="4">
    <w:abstractNumId w:val="3"/>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rPr>
    </w:rPrDefault>
    <w:pPrDefault>
      <w:pPr>
        <w:pBdr/>
        <w:spacing w:after="200" w:line="276" w:lineRule="auto"/>
        <w:ind/>
      </w:pPr>
    </w:pPrDefault>
  </w:docDefaults>
  <w:style w:type="paragraph" w:styleId="Normal">
    <w:name w:val="Normal"/>
    <w:next w:val="Normal"/>
    <w:pPr>
      <w:pBdr/>
      <w:spacing/>
      <w:ind/>
    </w:pPr>
    <w:rPr>
      <w:rFonts w:ascii="Aptos" w:eastAsia="Aptos" w:hAnsi="Aptos"/>
      <w:sz w:val="20"/>
    </w:rPr>
  </w:style>
  <w:style w:type="paragraph" w:styleId="Header">
    <w:name w:val="Header"/>
    <w:basedOn w:val="Normal"/>
    <w:next w:val="Header"/>
    <w:link w:val="Header Char"/>
    <w:pPr>
      <w:pBdr/>
      <w:spacing w:after="0" w:line="240" w:lineRule="auto"/>
      <w:ind/>
      <w:tabs>
        <w:tab w:val="center" w:pos="4680"/>
        <w:tab w:val="right" w:pos="9360"/>
      </w:tabs>
    </w:pPr>
    <w:rPr/>
  </w:style>
  <w:style w:type="character" w:styleId="Header Char">
    <w:name w:val="Header Char"/>
    <w:basedOn w:val="Default Paragraph Font"/>
    <w:rPr/>
  </w:style>
  <w:style w:type="character" w:styleId="Default Paragraph Font">
    <w:name w:val="Default Paragraph Font"/>
    <w:rPr/>
  </w:style>
  <w:style w:type="paragraph" w:styleId="Footer">
    <w:name w:val="Footer"/>
    <w:basedOn w:val="Normal"/>
    <w:next w:val="Footer"/>
    <w:link w:val="Footer Char"/>
    <w:pPr>
      <w:pBdr/>
      <w:spacing w:after="0" w:line="240" w:lineRule="auto"/>
      <w:ind/>
      <w:tabs>
        <w:tab w:val="center" w:pos="4680"/>
        <w:tab w:val="right" w:pos="9360"/>
      </w:tabs>
    </w:pPr>
    <w:rPr/>
  </w:style>
  <w:style w:type="character" w:styleId="Footer Char">
    <w:name w:val="Footer Char"/>
    <w:basedOn w:val="Default Paragraph Font"/>
    <w:rPr/>
  </w:style>
  <w:style w:type="paragraph" w:styleId="Heading 1">
    <w:name w:val="Heading 1"/>
    <w:basedOn w:val="Normal"/>
    <w:next w:val="Normal"/>
    <w:link w:val="Heading 1 Char"/>
    <w:pPr>
      <w:pBdr/>
      <w:keepNext/>
      <w:keepLines/>
      <w:outlineLvl w:val="0"/>
      <w:spacing w:before="220" w:after="80"/>
      <w:ind/>
    </w:pPr>
    <w:rPr>
      <w:rFonts w:ascii="Aptos Display" w:eastAsia="Aptos Display" w:hAnsi="Aptos Display" w:cstheme="majorBidi"/>
      <w:b/>
      <w:bCs/>
      <w:color w:val="183153"/>
      <w:sz w:val="28"/>
      <w:szCs w:val="28"/>
    </w:rPr>
  </w:style>
  <w:style w:type="character" w:styleId="Heading 1 Char">
    <w:name w:val="Heading 1 Char"/>
    <w:basedOn w:val="Default Paragraph Font"/>
    <w:rPr>
      <w:rFonts w:asciiTheme="majorHAnsi" w:eastAsiaTheme="majorEastAsia" w:hAnsiTheme="majorHAnsi" w:cstheme="majorBidi"/>
      <w:b/>
      <w:bCs/>
      <w:color w:val="365F91"/>
      <w:sz w:val="28"/>
      <w:szCs w:val="28"/>
    </w:rPr>
  </w:style>
  <w:style w:type="paragraph" w:styleId="Heading 2">
    <w:name w:val="Heading 2"/>
    <w:basedOn w:val="Normal"/>
    <w:next w:val="Normal"/>
    <w:link w:val="Heading 2 Char"/>
    <w:pPr>
      <w:pBdr/>
      <w:keepNext/>
      <w:keepLines/>
      <w:outlineLvl w:val="1"/>
      <w:spacing w:before="160" w:after="60"/>
      <w:ind/>
    </w:pPr>
    <w:rPr>
      <w:rFonts w:ascii="Aptos Display" w:eastAsia="Aptos Display" w:hAnsi="Aptos Display" w:cstheme="majorBidi"/>
      <w:b/>
      <w:bCs/>
      <w:color w:val="2F75B5"/>
      <w:sz w:val="22"/>
      <w:szCs w:val="26"/>
    </w:rPr>
  </w:style>
  <w:style w:type="character" w:styleId="Heading 2 Char">
    <w:name w:val="Heading 2 Char"/>
    <w:basedOn w:val="Default Paragraph Font"/>
    <w:rPr>
      <w:rFonts w:asciiTheme="majorHAnsi" w:eastAsiaTheme="majorEastAsia" w:hAnsiTheme="majorHAnsi" w:cstheme="majorBidi"/>
      <w:b/>
      <w:bCs/>
      <w:color w:val="4F81BD"/>
      <w:sz w:val="26"/>
      <w:szCs w:val="26"/>
    </w:rPr>
  </w:style>
  <w:style w:type="paragraph" w:styleId="Heading 3">
    <w:name w:val="Heading 3"/>
    <w:basedOn w:val="Normal"/>
    <w:next w:val="Normal"/>
    <w:link w:val="Heading 3 Char"/>
    <w:pPr>
      <w:pBdr/>
      <w:keepNext/>
      <w:keepLines/>
      <w:outlineLvl w:val="2"/>
      <w:spacing w:before="200" w:after="0"/>
      <w:ind/>
    </w:pPr>
    <w:rPr>
      <w:rFonts w:asciiTheme="majorHAnsi" w:eastAsiaTheme="majorEastAsia" w:hAnsiTheme="majorHAnsi" w:cstheme="majorBidi"/>
      <w:b/>
      <w:bCs/>
      <w:color w:val="4F81BD"/>
    </w:rPr>
  </w:style>
  <w:style w:type="character" w:styleId="Heading 3 Char">
    <w:name w:val="Heading 3 Char"/>
    <w:basedOn w:val="Default Paragraph Font"/>
    <w:rPr>
      <w:rFonts w:asciiTheme="majorHAnsi" w:eastAsiaTheme="majorEastAsia" w:hAnsiTheme="majorHAnsi" w:cstheme="majorBidi"/>
      <w:b/>
      <w:bCs/>
      <w:color w:val="4F81BD"/>
    </w:rPr>
  </w:style>
  <w:style w:type="paragraph" w:styleId="Heading 4">
    <w:name w:val="Heading 4"/>
    <w:basedOn w:val="Normal"/>
    <w:next w:val="Normal"/>
    <w:link w:val="Heading 4 Char"/>
    <w:pPr>
      <w:pBdr/>
      <w:keepNext/>
      <w:keepLines/>
      <w:outlineLvl w:val="3"/>
      <w:spacing w:before="200" w:after="0"/>
      <w:ind/>
    </w:pPr>
    <w:rPr>
      <w:rFonts w:asciiTheme="majorHAnsi" w:eastAsiaTheme="majorEastAsia" w:hAnsiTheme="majorHAnsi" w:cstheme="majorBidi"/>
      <w:b/>
      <w:bCs/>
      <w:i/>
      <w:iCs/>
      <w:color w:val="4F81BD"/>
    </w:rPr>
  </w:style>
  <w:style w:type="character" w:styleId="Heading 4 Char">
    <w:name w:val="Heading 4 Char"/>
    <w:basedOn w:val="Default Paragraph Font"/>
    <w:rPr>
      <w:rFonts w:asciiTheme="majorHAnsi" w:eastAsiaTheme="majorEastAsia" w:hAnsiTheme="majorHAnsi" w:cstheme="majorBidi"/>
      <w:b/>
      <w:bCs/>
      <w:i/>
      <w:iCs/>
      <w:color w:val="4F81BD"/>
    </w:rPr>
  </w:style>
  <w:style w:type="paragraph" w:styleId="Heading 5">
    <w:name w:val="Heading 5"/>
    <w:basedOn w:val="Normal"/>
    <w:next w:val="Normal"/>
    <w:link w:val="Heading 5 Char"/>
    <w:pPr>
      <w:pBdr/>
      <w:keepNext/>
      <w:keepLines/>
      <w:outlineLvl w:val="4"/>
      <w:spacing w:before="200" w:after="0"/>
      <w:ind/>
    </w:pPr>
    <w:rPr>
      <w:rFonts w:asciiTheme="majorHAnsi" w:eastAsiaTheme="majorEastAsia" w:hAnsiTheme="majorHAnsi" w:cstheme="majorBidi"/>
      <w:color w:val="243F60"/>
    </w:rPr>
  </w:style>
  <w:style w:type="character" w:styleId="Heading 5 Char">
    <w:name w:val="Heading 5 Char"/>
    <w:basedOn w:val="Default Paragraph Font"/>
    <w:rPr>
      <w:rFonts w:asciiTheme="majorHAnsi" w:eastAsiaTheme="majorEastAsia" w:hAnsiTheme="majorHAnsi" w:cstheme="majorBidi"/>
      <w:color w:val="243F60"/>
    </w:rPr>
  </w:style>
  <w:style w:type="paragraph" w:styleId="Heading 6">
    <w:name w:val="Heading 6"/>
    <w:basedOn w:val="Normal"/>
    <w:next w:val="Normal"/>
    <w:link w:val="Heading 6 Char"/>
    <w:pPr>
      <w:pBdr/>
      <w:keepNext/>
      <w:keepLines/>
      <w:outlineLvl w:val="5"/>
      <w:spacing w:before="200" w:after="0"/>
      <w:ind/>
    </w:pPr>
    <w:rPr>
      <w:rFonts w:asciiTheme="majorHAnsi" w:eastAsiaTheme="majorEastAsia" w:hAnsiTheme="majorHAnsi" w:cstheme="majorBidi"/>
      <w:i/>
      <w:iCs/>
      <w:color w:val="243F60"/>
    </w:rPr>
  </w:style>
  <w:style w:type="character" w:styleId="Heading 6 Char">
    <w:name w:val="Heading 6 Char"/>
    <w:basedOn w:val="Default Paragraph Font"/>
    <w:rPr>
      <w:rFonts w:asciiTheme="majorHAnsi" w:eastAsiaTheme="majorEastAsia" w:hAnsiTheme="majorHAnsi" w:cstheme="majorBidi"/>
      <w:i/>
      <w:iCs/>
      <w:color w:val="243F60"/>
    </w:rPr>
  </w:style>
  <w:style w:type="paragraph" w:styleId="Heading 7">
    <w:name w:val="Heading 7"/>
    <w:basedOn w:val="Normal"/>
    <w:next w:val="Normal"/>
    <w:link w:val="Heading 7 Char"/>
    <w:pPr>
      <w:pBdr/>
      <w:keepNext/>
      <w:keepLines/>
      <w:outlineLvl w:val="6"/>
      <w:spacing w:before="200" w:after="0"/>
      <w:ind/>
    </w:pPr>
    <w:rPr>
      <w:rFonts w:asciiTheme="majorHAnsi" w:eastAsiaTheme="majorEastAsia" w:hAnsiTheme="majorHAnsi" w:cstheme="majorBidi"/>
      <w:i/>
      <w:iCs/>
      <w:color w:val="404040"/>
    </w:rPr>
  </w:style>
  <w:style w:type="character" w:styleId="Heading 7 Char">
    <w:name w:val="Heading 7 Char"/>
    <w:basedOn w:val="Default Paragraph Font"/>
    <w:rPr>
      <w:rFonts w:asciiTheme="majorHAnsi" w:eastAsiaTheme="majorEastAsia" w:hAnsiTheme="majorHAnsi" w:cstheme="majorBidi"/>
      <w:i/>
      <w:iCs/>
      <w:color w:val="404040"/>
    </w:rPr>
  </w:style>
  <w:style w:type="paragraph" w:styleId="Heading 8">
    <w:name w:val="Heading 8"/>
    <w:basedOn w:val="Normal"/>
    <w:next w:val="Normal"/>
    <w:link w:val="Heading 8 Char"/>
    <w:pPr>
      <w:pBdr/>
      <w:keepNext/>
      <w:keepLines/>
      <w:outlineLvl w:val="7"/>
      <w:spacing w:before="200" w:after="0"/>
      <w:ind/>
    </w:pPr>
    <w:rPr>
      <w:rFonts w:asciiTheme="majorHAnsi" w:eastAsiaTheme="majorEastAsia" w:hAnsiTheme="majorHAnsi" w:cstheme="majorBidi"/>
      <w:color w:val="4F81BD"/>
      <w:sz w:val="20"/>
      <w:szCs w:val="20"/>
    </w:rPr>
  </w:style>
  <w:style w:type="character" w:styleId="Heading 8 Char">
    <w:name w:val="Heading 8 Char"/>
    <w:basedOn w:val="Default Paragraph Font"/>
    <w:rPr>
      <w:rFonts w:asciiTheme="majorHAnsi" w:eastAsiaTheme="majorEastAsia" w:hAnsiTheme="majorHAnsi" w:cstheme="majorBidi"/>
      <w:color w:val="4F81BD"/>
      <w:sz w:val="20"/>
      <w:szCs w:val="20"/>
    </w:rPr>
  </w:style>
  <w:style w:type="paragraph" w:styleId="Heading 9">
    <w:name w:val="Heading 9"/>
    <w:basedOn w:val="Normal"/>
    <w:next w:val="Normal"/>
    <w:link w:val="Heading 9 Char"/>
    <w:pPr>
      <w:pBdr/>
      <w:keepNext/>
      <w:keepLines/>
      <w:outlineLvl w:val="8"/>
      <w:spacing w:before="200" w:after="0"/>
      <w:ind/>
    </w:pPr>
    <w:rPr>
      <w:rFonts w:asciiTheme="majorHAnsi" w:eastAsiaTheme="majorEastAsia" w:hAnsiTheme="majorHAnsi" w:cstheme="majorBidi"/>
      <w:i/>
      <w:iCs/>
      <w:color w:val="404040"/>
      <w:sz w:val="20"/>
      <w:szCs w:val="20"/>
    </w:rPr>
  </w:style>
  <w:style w:type="character" w:styleId="Heading 9 Char">
    <w:name w:val="Heading 9 Char"/>
    <w:basedOn w:val="Default Paragraph Font"/>
    <w:rPr>
      <w:rFonts w:asciiTheme="majorHAnsi" w:eastAsiaTheme="majorEastAsia" w:hAnsiTheme="majorHAnsi" w:cstheme="majorBidi"/>
      <w:i/>
      <w:iCs/>
      <w:color w:val="404040"/>
      <w:sz w:val="20"/>
      <w:szCs w:val="20"/>
    </w:rPr>
  </w:style>
  <w:style w:type="table" w:styleId="Normal Table">
    <w:name w:val="Normal Table"/>
    <w:next w:val="Normal Table"/>
  </w:style>
  <w:style w:type="paragraph" w:styleId="No Spacing">
    <w:name w:val="No Spacing"/>
    <w:next w:val="No Spacing"/>
    <w:pPr>
      <w:pBdr/>
      <w:spacing w:after="0" w:line="240" w:lineRule="auto"/>
      <w:ind/>
    </w:pPr>
    <w:rPr/>
  </w:style>
  <w:style w:type="paragraph" w:styleId="Title">
    <w:name w:val="Title"/>
    <w:basedOn w:val="Normal"/>
    <w:next w:val="Normal"/>
    <w:link w:val="Title Char"/>
    <w:pPr>
      <w:pBdr>
        <w:bottom w:val="single" w:color="4F81BD" w:sz="8" w:space="4"/>
      </w:pBdr>
      <w:spacing w:after="300" w:line="240" w:lineRule="auto"/>
      <w:contextualSpacing/>
      <w:ind/>
    </w:pPr>
    <w:rPr>
      <w:rFonts w:ascii="Aptos Display" w:eastAsia="Aptos Display" w:hAnsi="Aptos Display" w:cstheme="majorBidi"/>
      <w:b/>
      <w:color w:val="183153"/>
      <w:sz w:val="42"/>
      <w:spacing w:val="5"/>
      <w:szCs w:val="52"/>
    </w:rPr>
  </w:style>
  <w:style w:type="character" w:styleId="Title Char">
    <w:name w:val="Title Char"/>
    <w:basedOn w:val="Default Paragraph Font"/>
    <w:rPr>
      <w:rFonts w:asciiTheme="majorHAnsi" w:eastAsiaTheme="majorEastAsia" w:hAnsiTheme="majorHAnsi" w:cstheme="majorBidi"/>
      <w:color w:val="17365D"/>
      <w:sz w:val="52"/>
      <w:spacing w:val="5"/>
      <w:szCs w:val="52"/>
    </w:rPr>
  </w:style>
  <w:style w:type="paragraph" w:styleId="Subtitle">
    <w:name w:val="Subtitle"/>
    <w:basedOn w:val="Normal"/>
    <w:next w:val="Normal"/>
    <w:link w:val="Subtitle Char"/>
    <w:pPr>
      <w:pBdr/>
      <w:numPr>
        <w:ilvl w:val="1"/>
      </w:numPr>
      <w:spacing/>
      <w:ind/>
    </w:pPr>
    <w:rPr>
      <w:rFonts w:asciiTheme="majorHAnsi" w:eastAsiaTheme="majorEastAsia" w:hAnsiTheme="majorHAnsi" w:cstheme="majorBidi"/>
      <w:i/>
      <w:iCs/>
      <w:color w:val="4F81BD"/>
      <w:sz w:val="24"/>
      <w:spacing w:val="15"/>
      <w:szCs w:val="24"/>
    </w:rPr>
  </w:style>
  <w:style w:type="character" w:styleId="Subtitle Char">
    <w:name w:val="Subtitle Char"/>
    <w:basedOn w:val="Default Paragraph Font"/>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pBdr/>
      <w:spacing/>
      <w:contextualSpacing/>
      <w:ind w:left="720"/>
    </w:pPr>
    <w:rPr/>
  </w:style>
  <w:style w:type="paragraph" w:styleId="Body Text">
    <w:name w:val="Body Text"/>
    <w:basedOn w:val="Normal"/>
    <w:next w:val="Body Text"/>
    <w:link w:val="Body Text Char"/>
    <w:pPr>
      <w:pBdr/>
      <w:spacing w:after="120"/>
      <w:ind/>
    </w:pPr>
    <w:rPr/>
  </w:style>
  <w:style w:type="character" w:styleId="Body Text Char">
    <w:name w:val="Body Text Char"/>
    <w:basedOn w:val="Default Paragraph Font"/>
    <w:rPr/>
  </w:style>
  <w:style w:type="paragraph" w:styleId="Body Text 2">
    <w:name w:val="Body Text 2"/>
    <w:basedOn w:val="Normal"/>
    <w:next w:val="Body Text 2"/>
    <w:link w:val="Body Text 2 Char"/>
    <w:pPr>
      <w:pBdr/>
      <w:spacing w:after="120" w:line="480" w:lineRule="auto"/>
      <w:ind/>
    </w:pPr>
    <w:rPr/>
  </w:style>
  <w:style w:type="character" w:styleId="Body Text 2 Char">
    <w:name w:val="Body Text 2 Char"/>
    <w:basedOn w:val="Default Paragraph Font"/>
    <w:rPr/>
  </w:style>
  <w:style w:type="paragraph" w:styleId="Body Text 3">
    <w:name w:val="Body Text 3"/>
    <w:basedOn w:val="Normal"/>
    <w:next w:val="Body Text 3"/>
    <w:link w:val="Body Text 3 Char"/>
    <w:pPr>
      <w:pBdr/>
      <w:spacing w:after="120"/>
      <w:ind/>
    </w:pPr>
    <w:rPr>
      <w:sz w:val="16"/>
      <w:szCs w:val="16"/>
    </w:rPr>
  </w:style>
  <w:style w:type="character" w:styleId="Body Text 3 Char">
    <w:name w:val="Body Text 3 Char"/>
    <w:basedOn w:val="Default Paragraph Font"/>
    <w:rPr>
      <w:sz w:val="16"/>
      <w:szCs w:val="16"/>
    </w:rPr>
  </w:style>
  <w:style w:type="paragraph" w:styleId="List">
    <w:name w:val="List"/>
    <w:basedOn w:val="Normal"/>
    <w:next w:val="List"/>
    <w:pPr>
      <w:pBdr/>
      <w:spacing/>
      <w:contextualSpacing/>
      <w:ind w:left="360" w:hanging="360"/>
    </w:pPr>
    <w:rPr/>
  </w:style>
  <w:style w:type="paragraph" w:styleId="List 2">
    <w:name w:val="List 2"/>
    <w:basedOn w:val="Normal"/>
    <w:next w:val="List 2"/>
    <w:pPr>
      <w:pBdr/>
      <w:spacing/>
      <w:contextualSpacing/>
      <w:ind w:left="720" w:hanging="360"/>
    </w:pPr>
    <w:rPr/>
  </w:style>
  <w:style w:type="paragraph" w:styleId="List 3">
    <w:name w:val="List 3"/>
    <w:basedOn w:val="Normal"/>
    <w:next w:val="List 3"/>
    <w:pPr>
      <w:pBdr/>
      <w:spacing/>
      <w:contextualSpacing/>
      <w:ind w:left="1080" w:hanging="360"/>
    </w:pPr>
    <w:rPr/>
  </w:style>
  <w:style w:type="paragraph" w:styleId="List Bullet">
    <w:name w:val="List Bullet"/>
    <w:basedOn w:val="Normal"/>
    <w:next w:val="List Bullet"/>
    <w:pPr>
      <w:pBdr/>
      <w:numPr>
        <w:numId w:val="9"/>
      </w:numPr>
      <w:spacing/>
      <w:contextualSpacing/>
      <w:ind/>
    </w:pPr>
    <w:rPr/>
  </w:style>
  <w:style w:type="paragraph" w:styleId="List Bullet 2">
    <w:name w:val="List Bullet 2"/>
    <w:basedOn w:val="Normal"/>
    <w:next w:val="List Bullet 2"/>
    <w:pPr>
      <w:pBdr/>
      <w:numPr>
        <w:numId w:val="7"/>
      </w:numPr>
      <w:spacing/>
      <w:contextualSpacing/>
      <w:ind/>
    </w:pPr>
    <w:rPr/>
  </w:style>
  <w:style w:type="paragraph" w:styleId="List Bullet 3">
    <w:name w:val="List Bullet 3"/>
    <w:basedOn w:val="Normal"/>
    <w:next w:val="List Bullet 3"/>
    <w:pPr>
      <w:pBdr/>
      <w:numPr>
        <w:numId w:val="6"/>
      </w:numPr>
      <w:spacing/>
      <w:contextualSpacing/>
      <w:ind/>
    </w:pPr>
    <w:rPr/>
  </w:style>
  <w:style w:type="paragraph" w:styleId="List Number">
    <w:name w:val="List Number"/>
    <w:basedOn w:val="Normal"/>
    <w:next w:val="List Number"/>
    <w:pPr>
      <w:pBdr/>
      <w:numPr>
        <w:numId w:val="8"/>
      </w:numPr>
      <w:spacing/>
      <w:contextualSpacing/>
      <w:ind/>
    </w:pPr>
    <w:rPr/>
  </w:style>
  <w:style w:type="paragraph" w:styleId="List Number 2">
    <w:name w:val="List Number 2"/>
    <w:basedOn w:val="Normal"/>
    <w:next w:val="List Number 2"/>
    <w:pPr>
      <w:pBdr/>
      <w:numPr>
        <w:numId w:val="4"/>
      </w:numPr>
      <w:spacing/>
      <w:contextualSpacing/>
      <w:ind/>
    </w:pPr>
    <w:rPr/>
  </w:style>
  <w:style w:type="paragraph" w:styleId="List Number 3">
    <w:name w:val="List Number 3"/>
    <w:basedOn w:val="Normal"/>
    <w:next w:val="List Number 3"/>
    <w:pPr>
      <w:pBdr/>
      <w:numPr>
        <w:numId w:val="3"/>
      </w:numPr>
      <w:spacing/>
      <w:contextualSpacing/>
      <w:ind/>
    </w:pPr>
    <w:rPr/>
  </w:style>
  <w:style w:type="paragraph" w:styleId="List Continue">
    <w:name w:val="List Continue"/>
    <w:basedOn w:val="Normal"/>
    <w:next w:val="List Continue"/>
    <w:pPr>
      <w:pBdr/>
      <w:spacing w:after="120"/>
      <w:contextualSpacing/>
      <w:ind w:left="360"/>
    </w:pPr>
    <w:rPr/>
  </w:style>
  <w:style w:type="paragraph" w:styleId="List Continue 2">
    <w:name w:val="List Continue 2"/>
    <w:basedOn w:val="Normal"/>
    <w:next w:val="List Continue 2"/>
    <w:pPr>
      <w:pBdr/>
      <w:spacing w:after="120"/>
      <w:contextualSpacing/>
      <w:ind w:left="720"/>
    </w:pPr>
    <w:rPr/>
  </w:style>
  <w:style w:type="paragraph" w:styleId="List Continue 3">
    <w:name w:val="List Continue 3"/>
    <w:basedOn w:val="Normal"/>
    <w:next w:val="List Continue 3"/>
    <w:pPr>
      <w:pBdr/>
      <w:spacing w:after="120"/>
      <w:contextualSpacing/>
      <w:ind w:left="1080"/>
    </w:pPr>
    <w:rPr/>
  </w:style>
  <w:style w:type="paragraph" w:styleId="Macro Text">
    <w:name w:val="Macro Text"/>
    <w:next w:val="Macro Text"/>
    <w:link w:val="Macro Text Char"/>
    <w:pPr>
      <w:pBdr/>
      <w:spacing/>
      <w:ind/>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Macro Text Char">
    <w:name w:val="Macro Text Char"/>
    <w:basedOn w:val="Default Paragraph Font"/>
    <w:rPr>
      <w:rFonts w:ascii="Courier" w:hAnsi="Courier"/>
      <w:sz w:val="20"/>
      <w:szCs w:val="20"/>
    </w:rPr>
  </w:style>
  <w:style w:type="paragraph" w:styleId="Quote">
    <w:name w:val="Quote"/>
    <w:basedOn w:val="Normal"/>
    <w:next w:val="Normal"/>
    <w:link w:val="Quote Char"/>
    <w:pPr>
      <w:pBdr/>
      <w:spacing/>
      <w:ind/>
    </w:pPr>
    <w:rPr>
      <w:i/>
      <w:iCs/>
      <w:color w:val="000000"/>
    </w:rPr>
  </w:style>
  <w:style w:type="character" w:styleId="Quote Char">
    <w:name w:val="Quote Char"/>
    <w:basedOn w:val="Default Paragraph Font"/>
    <w:rPr>
      <w:i/>
      <w:iCs/>
      <w:color w:val="000000"/>
    </w:rPr>
  </w:style>
  <w:style w:type="paragraph" w:styleId="Caption">
    <w:name w:val="Caption"/>
    <w:basedOn w:val="Normal"/>
    <w:next w:val="Normal"/>
    <w:pPr>
      <w:pBdr/>
      <w:spacing w:line="240" w:lineRule="auto"/>
      <w:ind/>
    </w:pPr>
    <w:rPr>
      <w:b/>
      <w:bCs/>
      <w:color w:val="4F81BD"/>
      <w:sz w:val="18"/>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character" w:styleId="Intense Quote Char">
    <w:name w:val="Intense Quote Char"/>
    <w:basedOn w:val="Default Paragraph Font"/>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pBdr/>
      <w:outlineLvl w:val="9"/>
      <w:spacing/>
      <w:ind/>
    </w:pPr>
    <w:r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endnotes" Target="endnotes.xml"/><Relationship Id="rId5" Type="http://schemas.openxmlformats.org/officeDocument/2006/relationships/footnotes" Target="footnotes.xml"/><Relationship Id="rId6" Type="http://schemas.openxmlformats.org/officeDocument/2006/relationships/theme" Target="theme/theme1.xml"/><Relationship Id="rId7" Type="http://schemas.openxmlformats.org/officeDocument/2006/relationships/numbering" Target="numbering.xml"/><Relationship Id="rId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