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2F75B5"/>
          <w:sz w:val="20"/>
        </w:rPr>
        <w:t>FIELD-BASED CAPSTONE SCENARIO</w:t>
      </w:r>
    </w:p>
    <w:p>
      <w:pPr>
        <w:pStyle w:val="Title"/>
        <w:jc w:val="center"/>
      </w:pPr>
      <w:r>
        <w:t>RET-02 — Product Review Intelligence System</w:t>
      </w:r>
    </w:p>
    <w:p>
      <w:pPr>
        <w:jc w:val="center"/>
      </w:pPr>
      <w:r>
        <w:rPr>
          <w:rFonts w:ascii="Aptos" w:hAnsi="Aptos" w:eastAsia="Aptos"/>
          <w:b w:val="0"/>
          <w:color w:val="595959"/>
          <w:sz w:val="22"/>
        </w:rPr>
        <w:t>RetailTech | Technical Project Brief</w:t>
      </w:r>
    </w:p>
    <w:p/>
    <w:tbl>
      <w:tblPr>
        <w:tblStyle w:val="TableGrid"/>
        <w:tblW w:type="auto" w:w="0"/>
        <w:jc w:val="center"/>
        <w:tblLook w:firstColumn="1" w:firstRow="1" w:lastColumn="0" w:lastRow="0" w:noHBand="0" w:noVBand="1" w:val="04A0"/>
      </w:tblPr>
      <w:tblGrid>
        <w:gridCol w:w="5100"/>
        <w:gridCol w:w="5100"/>
      </w:tblGrid>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Field</w:t>
            </w:r>
          </w:p>
        </w:tc>
        <w:tc>
          <w:tcPr>
            <w:tcW w:type="dxa" w:w="6576"/>
            <w:vAlign w:val="center"/>
            <w:tcMar>
              <w:top w:w="90" w:type="dxa"/>
              <w:start w:w="100" w:type="dxa"/>
              <w:bottom w:w="90" w:type="dxa"/>
              <w:end w:w="100" w:type="dxa"/>
            </w:tcMar>
          </w:tcPr>
          <w:p>
            <w:pPr>
              <w:jc w:val="left"/>
            </w:pPr>
            <w:r/>
            <w:r>
              <w:rPr>
                <w:rFonts w:ascii="Aptos" w:hAnsi="Aptos" w:eastAsia="Aptos"/>
                <w:b w:val="0"/>
                <w:sz w:val="19"/>
              </w:rPr>
              <w:t>RetailTech</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Client</w:t>
            </w:r>
          </w:p>
        </w:tc>
        <w:tc>
          <w:tcPr>
            <w:tcW w:type="dxa" w:w="6576"/>
            <w:vAlign w:val="center"/>
            <w:tcMar>
              <w:top w:w="90" w:type="dxa"/>
              <w:start w:w="100" w:type="dxa"/>
              <w:bottom w:w="90" w:type="dxa"/>
              <w:end w:w="100" w:type="dxa"/>
            </w:tcMar>
          </w:tcPr>
          <w:p>
            <w:pPr>
              <w:jc w:val="left"/>
            </w:pPr>
            <w:r/>
            <w:r>
              <w:rPr>
                <w:rFonts w:ascii="Aptos" w:hAnsi="Aptos" w:eastAsia="Aptos"/>
                <w:b w:val="0"/>
                <w:sz w:val="19"/>
              </w:rPr>
              <w:t>Marketplace / Retail Product Team</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Track</w:t>
            </w:r>
          </w:p>
        </w:tc>
        <w:tc>
          <w:tcPr>
            <w:tcW w:type="dxa" w:w="6576"/>
            <w:vAlign w:val="center"/>
            <w:tcMar>
              <w:top w:w="90" w:type="dxa"/>
              <w:start w:w="100" w:type="dxa"/>
              <w:bottom w:w="90" w:type="dxa"/>
              <w:end w:w="100" w:type="dxa"/>
            </w:tcMar>
          </w:tcPr>
          <w:p>
            <w:pPr>
              <w:jc w:val="left"/>
            </w:pPr>
            <w:r/>
            <w:r>
              <w:rPr>
                <w:rFonts w:ascii="Aptos" w:hAnsi="Aptos" w:eastAsia="Aptos"/>
                <w:b w:val="0"/>
                <w:sz w:val="19"/>
              </w:rPr>
              <w:t>Field-Based Scenario</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Purpose</w:t>
            </w:r>
          </w:p>
        </w:tc>
        <w:tc>
          <w:tcPr>
            <w:tcW w:type="dxa" w:w="6576"/>
            <w:vAlign w:val="center"/>
            <w:tcMar>
              <w:top w:w="90" w:type="dxa"/>
              <w:start w:w="100" w:type="dxa"/>
              <w:bottom w:w="90" w:type="dxa"/>
              <w:end w:w="100" w:type="dxa"/>
            </w:tcMar>
          </w:tcPr>
          <w:p>
            <w:pPr>
              <w:jc w:val="left"/>
            </w:pPr>
            <w:r/>
            <w:r>
              <w:rPr>
                <w:rFonts w:ascii="Aptos" w:hAnsi="Aptos" w:eastAsia="Aptos"/>
                <w:b w:val="0"/>
                <w:sz w:val="19"/>
              </w:rPr>
              <w:t>Use this brief as the business requirement. You are responsible for the technical formulation and implementation decisions.</w:t>
            </w:r>
          </w:p>
        </w:tc>
      </w:tr>
    </w:tbl>
    <w:p/>
    <w:tbl>
      <w:tblPr>
        <w:tblStyle w:val="TableGrid"/>
        <w:tblW w:type="auto" w:w="0"/>
        <w:jc w:val="center"/>
        <w:tblLook w:firstColumn="1" w:firstRow="1" w:lastColumn="0" w:lastRow="0" w:noHBand="0" w:noVBand="1" w:val="04A0"/>
      </w:tblPr>
      <w:tblGrid>
        <w:gridCol w:w="10200"/>
      </w:tblGrid>
      <w:tr>
        <w:tc>
          <w:tcPr>
            <w:tcW w:type="dxa" w:w="9298"/>
            <w:shd w:fill="F2F8EE"/>
            <w:tcMar>
              <w:top w:w="120" w:type="dxa"/>
              <w:start w:w="140" w:type="dxa"/>
              <w:bottom w:w="120" w:type="dxa"/>
              <w:end w:w="140" w:type="dxa"/>
            </w:tcMar>
          </w:tcPr>
          <w:p>
            <w:r>
              <w:rPr>
                <w:rFonts w:ascii="Aptos" w:hAnsi="Aptos" w:eastAsia="Aptos"/>
                <w:b/>
                <w:color w:val="183153"/>
                <w:sz w:val="20"/>
              </w:rPr>
              <w:t>How to use this brief</w:t>
            </w:r>
            <w:r>
              <w:rPr>
                <w:rFonts w:ascii="Aptos" w:hAnsi="Aptos" w:eastAsia="Aptos"/>
                <w:b w:val="0"/>
                <w:sz w:val="19"/>
              </w:rPr>
              <w:br/>
              <w:t>Treat the scenario as a client request, not as a step-by-step assignment. Complete the Data &amp; Problem Discovery and Technical Proposal sections before full implementation and be ready to justify your decisions to the mentors.</w:t>
            </w:r>
          </w:p>
        </w:tc>
      </w:tr>
    </w:tbl>
    <w:p>
      <w:pPr>
        <w:pStyle w:val="Heading1"/>
        <w:keepNext/>
      </w:pPr>
      <w:r>
        <w:t>1. Client Background</w:t>
      </w:r>
    </w:p>
    <w:p>
      <w:r>
        <w:t>A marketplace receives thousands of product reviews. Product managers can see star ratings, but ratings alone do not explain why customers are satisfied or dissatisfied. Manually reading reviews does not scale across many products and categories.</w:t>
      </w:r>
    </w:p>
    <w:p>
      <w:pPr>
        <w:pStyle w:val="Heading1"/>
        <w:keepNext/>
      </w:pPr>
      <w:r>
        <w:t>2. Business Problem</w:t>
      </w:r>
    </w:p>
    <w:p>
      <w:r>
        <w:t>The business needs a structured view of customer feedback so teams can identify recurring issues such as delivery, packaging, quality, defects, price or service. The exact output taxonomy may differ by dataset and product context.</w:t>
      </w:r>
    </w:p>
    <w:p>
      <w:pPr>
        <w:pStyle w:val="Heading1"/>
        <w:keepNext/>
      </w:pPr>
      <w:r>
        <w:t>3. Requested Solution</w:t>
      </w:r>
    </w:p>
    <w:p>
      <w:r>
        <w:t>Develop an ML-based text analysis solution that converts product reviews into structured, actionable information. You must define the exact prediction objective—such as issue category, sentiment, or a combined approach—based on the selected data and business usefulness.</w:t>
      </w:r>
    </w:p>
    <w:p>
      <w:pPr>
        <w:pStyle w:val="Heading1"/>
        <w:keepNext/>
      </w:pPr>
      <w:r>
        <w:t>4. Available Information</w:t>
      </w:r>
    </w:p>
    <w:p>
      <w:r>
        <w:t>The organization may have access to information such as:</w:t>
      </w:r>
    </w:p>
    <w:p>
      <w:pPr>
        <w:pStyle w:val="ListBullet"/>
        <w:spacing w:after="30"/>
        <w:ind w:left="369" w:hanging="142"/>
      </w:pPr>
      <w:r>
        <w:t>Product review text.</w:t>
      </w:r>
    </w:p>
    <w:p>
      <w:pPr>
        <w:pStyle w:val="ListBullet"/>
        <w:spacing w:after="30"/>
        <w:ind w:left="369" w:hanging="142"/>
      </w:pPr>
      <w:r>
        <w:t>Star ratings or sentiment labels where available.</w:t>
      </w:r>
    </w:p>
    <w:p>
      <w:pPr>
        <w:pStyle w:val="ListBullet"/>
        <w:spacing w:after="30"/>
        <w:ind w:left="369" w:hanging="142"/>
      </w:pPr>
      <w:r>
        <w:t>Product/category metadata.</w:t>
      </w:r>
    </w:p>
    <w:p>
      <w:pPr>
        <w:pStyle w:val="ListBullet"/>
        <w:spacing w:after="30"/>
        <w:ind w:left="369" w:hanging="142"/>
      </w:pPr>
      <w:r>
        <w:t>Public marketplace or product-review datasets.</w:t>
      </w:r>
    </w:p>
    <w:p>
      <w:pPr>
        <w:pStyle w:val="ListBullet"/>
        <w:spacing w:after="30"/>
        <w:ind w:left="369" w:hanging="142"/>
      </w:pPr>
      <w:r>
        <w:t>Possible issue labels that may need to be created or derived carefully.</w:t>
      </w:r>
    </w:p>
    <w:p>
      <w:r>
        <w:t xml:space="preserve">You are responsible for </w:t>
      </w:r>
      <w:r>
        <w:rPr>
          <w:b/>
        </w:rPr>
        <w:t>selecting a suitable public dataset</w:t>
      </w:r>
      <w:r>
        <w:t>, determining which variables are appropriate, and documenting any important limitations of the data.</w:t>
      </w:r>
    </w:p>
    <w:p>
      <w:pPr>
        <w:pStyle w:val="Heading1"/>
        <w:keepNext/>
      </w:pPr>
      <w:r>
        <w:t>5. Data &amp; Problem Discovery — Complete Before Modeling</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Selected dataset and source</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What does one record / sample represent?</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target or ML objective</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Key information available at prediction / inference time</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data quality issues</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Potential leakage risks</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Privacy / fairness / licensing concerns</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bl>
    <w:p>
      <w:pPr>
        <w:pStyle w:val="Heading1"/>
        <w:keepNext/>
      </w:pPr>
      <w:r>
        <w:t>6. Technical Proposal — Complete Before Full Implementation</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ML problem formulation</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baseline</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modeling approach(es) to investigate</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Data splitting / validation strategy</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Primary evaluation metric(s) and why</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input</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output</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technical risks / assumptions</w:t>
            </w:r>
          </w:p>
        </w:tc>
        <w:tc>
          <w:tcPr>
            <w:tcW w:type="dxa" w:w="5783"/>
            <w:vAlign w:val="center"/>
            <w:tcMar>
              <w:top w:w="90" w:type="dxa"/>
              <w:start w:w="100" w:type="dxa"/>
              <w:bottom w:w="90" w:type="dxa"/>
              <w:end w:w="100" w:type="dxa"/>
            </w:tcMar>
          </w:tcPr>
          <w:p>
            <w:pPr>
              <w:jc w:val="left"/>
            </w:pPr>
            <w:r/>
            <w:r>
              <w:rPr>
                <w:rFonts w:ascii="Aptos" w:hAnsi="Aptos" w:eastAsia="Aptos"/>
                <w:b w:val="0"/>
                <w:sz w:val="19"/>
              </w:rPr>
              <w:t>Complete this section before implementation.</w:t>
            </w:r>
            <w:r>
              <w:br/>
              <w:br/>
            </w:r>
          </w:p>
        </w:tc>
      </w:tr>
    </w:tbl>
    <w:p>
      <w:pPr>
        <w:pStyle w:val="Heading1"/>
        <w:keepNext/>
      </w:pPr>
      <w:r>
        <w:t>7. Functional Requirements</w:t>
      </w:r>
    </w:p>
    <w:p>
      <w:pPr>
        <w:pStyle w:val="ListBullet"/>
        <w:spacing w:after="30"/>
        <w:ind w:left="369" w:hanging="142"/>
      </w:pPr>
      <w:r>
        <w:t>The system must accept a new review and return a structured analysis result.</w:t>
      </w:r>
    </w:p>
    <w:p>
      <w:pPr>
        <w:pStyle w:val="ListBullet"/>
        <w:spacing w:after="30"/>
        <w:ind w:left="369" w:hanging="142"/>
      </w:pPr>
      <w:r>
        <w:t>The chosen labels/objective must be clearly defined and useful to a product or customer-experience team.</w:t>
      </w:r>
    </w:p>
    <w:p>
      <w:pPr>
        <w:pStyle w:val="ListBullet"/>
        <w:spacing w:after="30"/>
        <w:ind w:left="369" w:hanging="142"/>
      </w:pPr>
      <w:r>
        <w:t>The system must handle short, ambiguous or noisy reviews without crashing.</w:t>
      </w:r>
    </w:p>
    <w:p>
      <w:pPr>
        <w:pStyle w:val="ListBullet"/>
        <w:spacing w:after="30"/>
        <w:ind w:left="369" w:hanging="142"/>
      </w:pPr>
      <w:r>
        <w:t>The design must account for imbalanced categories and low-confidence cases where relevant.</w:t>
      </w:r>
    </w:p>
    <w:p>
      <w:pPr>
        <w:pStyle w:val="ListBullet"/>
        <w:spacing w:after="30"/>
        <w:ind w:left="369" w:hanging="142"/>
      </w:pPr>
      <w:r>
        <w:t>The project must document language/domain limitations.</w:t>
      </w:r>
    </w:p>
    <w:p>
      <w:pPr>
        <w:pStyle w:val="Heading1"/>
        <w:keepNext/>
      </w:pPr>
      <w:r>
        <w:t>8. Expected Deliverables</w:t>
      </w:r>
    </w:p>
    <w:p>
      <w:pPr>
        <w:pStyle w:val="ListBullet"/>
        <w:spacing w:after="30"/>
        <w:ind w:left="369" w:hanging="142"/>
      </w:pPr>
      <w:r>
        <w:t>A working ML solution that addresses the requested business problem.</w:t>
      </w:r>
    </w:p>
    <w:p>
      <w:pPr>
        <w:pStyle w:val="ListBullet"/>
        <w:spacing w:after="30"/>
        <w:ind w:left="369" w:hanging="142"/>
      </w:pPr>
      <w:r>
        <w:t>A trained model or ML pipeline with documented methodology.</w:t>
      </w:r>
    </w:p>
    <w:p>
      <w:pPr>
        <w:pStyle w:val="ListBullet"/>
        <w:spacing w:after="30"/>
        <w:ind w:left="369" w:hanging="142"/>
      </w:pPr>
      <w:r>
        <w:t>Documented dataset source, assumptions and important preprocessing decisions.</w:t>
      </w:r>
    </w:p>
    <w:p>
      <w:pPr>
        <w:pStyle w:val="ListBullet"/>
        <w:spacing w:after="30"/>
        <w:ind w:left="369" w:hanging="142"/>
      </w:pPr>
      <w:r>
        <w:t>Evaluation results on appropriate unseen/held-out data.</w:t>
      </w:r>
    </w:p>
    <w:p>
      <w:pPr>
        <w:pStyle w:val="ListBullet"/>
        <w:spacing w:after="30"/>
        <w:ind w:left="369" w:hanging="142"/>
      </w:pPr>
      <w:r>
        <w:t>A usable inference interface or service appropriate to the project.</w:t>
      </w:r>
    </w:p>
    <w:p>
      <w:pPr>
        <w:pStyle w:val="ListBullet"/>
        <w:spacing w:after="30"/>
        <w:ind w:left="369" w:hanging="142"/>
      </w:pPr>
      <w:r>
        <w:t>A reproducible repository with clear run instructions.</w:t>
      </w:r>
    </w:p>
    <w:p>
      <w:pPr>
        <w:pStyle w:val="ListBullet"/>
        <w:spacing w:after="30"/>
        <w:ind w:left="369" w:hanging="142"/>
      </w:pPr>
      <w:r>
        <w:t>A concise statement of limitations, risks and recommended next steps.</w:t>
      </w:r>
    </w:p>
    <w:p>
      <w:r>
        <w:rPr>
          <w:b/>
        </w:rPr>
        <w:t xml:space="preserve">Note: </w:t>
      </w:r>
      <w:r>
        <w:t>General capstone requirements for experiment tracking, API/deployment, Docker, documentation and grading are defined in the official Capstone Evaluation Criteria and Helper documents.</w:t>
      </w:r>
    </w:p>
    <w:p>
      <w:pPr>
        <w:pStyle w:val="Heading1"/>
        <w:keepNext/>
      </w:pPr>
      <w:r>
        <w:t>9. Acceptance Criteria</w:t>
      </w:r>
    </w:p>
    <w:p>
      <w:pPr>
        <w:pStyle w:val="ListBullet"/>
        <w:spacing w:after="30"/>
        <w:ind w:left="369" w:hanging="142"/>
      </w:pPr>
      <w:r>
        <w:t>The solution can process previously unseen input in the intended project format.</w:t>
      </w:r>
    </w:p>
    <w:p>
      <w:pPr>
        <w:pStyle w:val="ListBullet"/>
        <w:spacing w:after="30"/>
        <w:ind w:left="369" w:hanging="142"/>
      </w:pPr>
      <w:r>
        <w:t>The output is meaningful for the client use case described in this brief.</w:t>
      </w:r>
    </w:p>
    <w:p>
      <w:pPr>
        <w:pStyle w:val="ListBullet"/>
        <w:spacing w:after="30"/>
        <w:ind w:left="369" w:hanging="142"/>
      </w:pPr>
      <w:r>
        <w:t>The methodology and evaluation can be explained and defended.</w:t>
      </w:r>
    </w:p>
    <w:p>
      <w:pPr>
        <w:pStyle w:val="ListBullet"/>
        <w:spacing w:after="30"/>
        <w:ind w:left="369" w:hanging="142"/>
      </w:pPr>
      <w:r>
        <w:t>The prediction/analysis process is reproducible from the submitted repository.</w:t>
      </w:r>
    </w:p>
    <w:p>
      <w:pPr>
        <w:pStyle w:val="ListBullet"/>
        <w:spacing w:after="30"/>
        <w:ind w:left="369" w:hanging="142"/>
      </w:pPr>
      <w:r>
        <w:t>Known limitations, risks and important assumptions are documented.</w:t>
      </w:r>
    </w:p>
    <w:p>
      <w:pPr>
        <w:pStyle w:val="ListBullet"/>
        <w:spacing w:after="30"/>
        <w:ind w:left="369" w:hanging="142"/>
      </w:pPr>
      <w:r>
        <w:t>The implementation can be run according to its documentation.</w:t>
      </w:r>
    </w:p>
    <w:p>
      <w:pPr>
        <w:pStyle w:val="Heading1"/>
        <w:keepNext/>
      </w:pPr>
      <w:r>
        <w:t>10. Constraints</w:t>
      </w:r>
    </w:p>
    <w:tbl>
      <w:tblPr>
        <w:tblStyle w:val="TableGrid"/>
        <w:tblW w:type="auto" w:w="0"/>
        <w:jc w:val="center"/>
        <w:tblLook w:firstColumn="1" w:firstRow="1" w:lastColumn="0" w:lastRow="0" w:noHBand="0" w:noVBand="1" w:val="04A0"/>
      </w:tblPr>
      <w:tblGrid>
        <w:gridCol w:w="5100"/>
        <w:gridCol w:w="5100"/>
      </w:tblGrid>
      <w:tr>
        <w:tc>
          <w:tcPr>
            <w:tcW w:type="dxa" w:w="4649"/>
            <w:vAlign w:val="center"/>
            <w:tcMar>
              <w:top w:w="90" w:type="dxa"/>
              <w:start w:w="100" w:type="dxa"/>
              <w:bottom w:w="90" w:type="dxa"/>
              <w:end w:w="100" w:type="dxa"/>
            </w:tcMar>
            <w:shd w:fill="70AD47"/>
          </w:tcPr>
          <w:p>
            <w:pPr>
              <w:jc w:val="center"/>
            </w:pPr>
            <w:r/>
            <w:r>
              <w:rPr>
                <w:rFonts w:ascii="Aptos" w:hAnsi="Aptos" w:eastAsia="Aptos"/>
                <w:b/>
                <w:color w:val="FFFFFF"/>
                <w:sz w:val="19"/>
              </w:rPr>
              <w:t>IN SCOPE</w:t>
            </w:r>
          </w:p>
        </w:tc>
        <w:tc>
          <w:tcPr>
            <w:tcW w:type="dxa" w:w="4649"/>
            <w:vAlign w:val="center"/>
            <w:tcMar>
              <w:top w:w="90" w:type="dxa"/>
              <w:start w:w="100" w:type="dxa"/>
              <w:bottom w:w="90" w:type="dxa"/>
              <w:end w:w="100" w:type="dxa"/>
            </w:tcMar>
            <w:shd w:fill="C55A11"/>
          </w:tcPr>
          <w:p>
            <w:pPr>
              <w:jc w:val="center"/>
            </w:pPr>
            <w:r/>
            <w:r>
              <w:rPr>
                <w:rFonts w:ascii="Aptos" w:hAnsi="Aptos" w:eastAsia="Aptos"/>
                <w:b/>
                <w:color w:val="FFFFFF"/>
                <w:sz w:val="19"/>
              </w:rPr>
              <w:t>OUT OF SCOPE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Prototype ML solution</w:t>
            </w:r>
          </w:p>
        </w:tc>
        <w:tc>
          <w:tcPr>
            <w:tcW w:type="dxa" w:w="4649"/>
            <w:vAlign w:val="center"/>
            <w:tcMar>
              <w:top w:w="90" w:type="dxa"/>
              <w:start w:w="100" w:type="dxa"/>
              <w:bottom w:w="90" w:type="dxa"/>
              <w:end w:w="100" w:type="dxa"/>
            </w:tcMar>
          </w:tcPr>
          <w:p>
            <w:pPr>
              <w:jc w:val="left"/>
            </w:pPr>
            <w:r/>
            <w:r>
              <w:rPr>
                <w:rFonts w:ascii="Aptos" w:hAnsi="Aptos" w:eastAsia="Aptos"/>
                <w:b w:val="0"/>
                <w:sz w:val="19"/>
              </w:rPr>
              <w:t>• Direct production integration</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Public / legally usable data</w:t>
            </w:r>
          </w:p>
        </w:tc>
        <w:tc>
          <w:tcPr>
            <w:tcW w:type="dxa" w:w="4649"/>
            <w:vAlign w:val="center"/>
            <w:tcMar>
              <w:top w:w="90" w:type="dxa"/>
              <w:start w:w="100" w:type="dxa"/>
              <w:bottom w:w="90" w:type="dxa"/>
              <w:end w:w="100" w:type="dxa"/>
            </w:tcMar>
          </w:tcPr>
          <w:p>
            <w:pPr>
              <w:jc w:val="left"/>
            </w:pPr>
            <w:r/>
            <w:r>
              <w:rPr>
                <w:rFonts w:ascii="Aptos" w:hAnsi="Aptos" w:eastAsia="Aptos"/>
                <w:b w:val="0"/>
                <w:sz w:val="19"/>
              </w:rPr>
              <w:t>• Use of unauthorized private data</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Reproducible inference workflow</w:t>
            </w:r>
          </w:p>
        </w:tc>
        <w:tc>
          <w:tcPr>
            <w:tcW w:type="dxa" w:w="4649"/>
            <w:vAlign w:val="center"/>
            <w:tcMar>
              <w:top w:w="90" w:type="dxa"/>
              <w:start w:w="100" w:type="dxa"/>
              <w:bottom w:w="90" w:type="dxa"/>
              <w:end w:w="100" w:type="dxa"/>
            </w:tcMar>
          </w:tcPr>
          <w:p>
            <w:pPr>
              <w:jc w:val="left"/>
            </w:pPr>
            <w:r/>
            <w:r>
              <w:rPr>
                <w:rFonts w:ascii="Aptos" w:hAnsi="Aptos" w:eastAsia="Aptos"/>
                <w:b w:val="0"/>
                <w:sz w:val="19"/>
              </w:rPr>
              <w:t>• Enterprise-scale infrastructure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Reasonable student-scale deployment</w:t>
            </w:r>
          </w:p>
        </w:tc>
        <w:tc>
          <w:tcPr>
            <w:tcW w:type="dxa" w:w="4649"/>
            <w:vAlign w:val="center"/>
            <w:tcMar>
              <w:top w:w="90" w:type="dxa"/>
              <w:start w:w="100" w:type="dxa"/>
              <w:bottom w:w="90" w:type="dxa"/>
              <w:end w:w="100" w:type="dxa"/>
            </w:tcMar>
          </w:tcPr>
          <w:p>
            <w:pPr>
              <w:jc w:val="left"/>
            </w:pPr>
            <w:r/>
            <w:r>
              <w:rPr>
                <w:rFonts w:ascii="Aptos" w:hAnsi="Aptos" w:eastAsia="Aptos"/>
                <w:b w:val="0"/>
                <w:sz w:val="19"/>
              </w:rPr>
              <w:t>• Claims beyond what the model can validly support</w:t>
            </w:r>
          </w:p>
        </w:tc>
      </w:tr>
    </w:tbl>
    <w:p>
      <w:pPr>
        <w:pStyle w:val="Heading1"/>
        <w:keepNext/>
      </w:pPr>
      <w:r>
        <w:t>11. Questions You Must Resolve</w:t>
      </w:r>
    </w:p>
    <w:p>
      <w:pPr>
        <w:pStyle w:val="ListNumber"/>
        <w:spacing w:after="40"/>
      </w:pPr>
      <w:r>
        <w:t>What business output is most useful: sentiment, issue category, or both?</w:t>
      </w:r>
    </w:p>
    <w:p>
      <w:pPr>
        <w:pStyle w:val="ListNumber"/>
        <w:spacing w:after="40"/>
      </w:pPr>
      <w:r>
        <w:t>Do your dataset labels genuinely represent the task you want to solve?</w:t>
      </w:r>
    </w:p>
    <w:p>
      <w:pPr>
        <w:pStyle w:val="ListNumber"/>
        <w:spacing w:after="40"/>
      </w:pPr>
      <w:r>
        <w:t>How will you handle reviews that mention multiple issues?</w:t>
      </w:r>
    </w:p>
    <w:p>
      <w:pPr>
        <w:pStyle w:val="ListNumber"/>
        <w:spacing w:after="40"/>
      </w:pPr>
      <w:r>
        <w:t>How will rare issue categories be evaluated?</w:t>
      </w:r>
    </w:p>
    <w:p>
      <w:pPr>
        <w:pStyle w:val="ListNumber"/>
        <w:spacing w:after="40"/>
      </w:pPr>
      <w:r>
        <w:t>What should happen with very short or unclear reviews?</w:t>
      </w:r>
    </w:p>
    <w:p>
      <w:pPr>
        <w:pStyle w:val="ListNumber"/>
        <w:spacing w:after="40"/>
      </w:pPr>
      <w:r>
        <w:t>How well would the model transfer to a different product category or language?</w:t>
      </w:r>
    </w:p>
    <w:p>
      <w:pPr>
        <w:pStyle w:val="Heading1"/>
        <w:keepNext/>
      </w:pPr>
      <w:r>
        <w:t>12. Optional Directions</w:t>
      </w:r>
    </w:p>
    <w:p>
      <w:r>
        <w:t>These are optional ideas, not mandatory requirements and not substitutes for missing core deliverables.</w:t>
      </w:r>
    </w:p>
    <w:p>
      <w:pPr>
        <w:pStyle w:val="ListBullet"/>
        <w:spacing w:after="30"/>
        <w:ind w:left="369" w:hanging="142"/>
      </w:pPr>
      <w:r>
        <w:t>Multi-task sentiment + issue output</w:t>
      </w:r>
    </w:p>
    <w:p>
      <w:pPr>
        <w:pStyle w:val="ListBullet"/>
        <w:spacing w:after="30"/>
        <w:ind w:left="369" w:hanging="142"/>
      </w:pPr>
      <w:r>
        <w:t>Transformer comparison</w:t>
      </w:r>
    </w:p>
    <w:p>
      <w:pPr>
        <w:pStyle w:val="ListBullet"/>
        <w:spacing w:after="30"/>
        <w:ind w:left="369" w:hanging="142"/>
      </w:pPr>
      <w:r>
        <w:t>Confidence-based review queue</w:t>
      </w:r>
    </w:p>
    <w:p>
      <w:pPr>
        <w:pStyle w:val="ListBullet"/>
        <w:spacing w:after="30"/>
        <w:ind w:left="369" w:hanging="142"/>
      </w:pPr>
      <w:r>
        <w:t>Simple review analytics dashboard</w:t>
      </w:r>
    </w:p>
    <w:sectPr w:rsidR="00FC693F" w:rsidRPr="0006063C" w:rsidSect="00034616">
      <w:footerReference w:type="default" r:id="rId9"/>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95959"/>
        <w:sz w:val="16"/>
      </w:rPr>
      <w:t>RET-02 | Product Review Intelligence System | AI/ML Fundamentals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