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</w:tblGrid>
      <w:tr>
        <w:tc>
          <w:tcPr>
            <w:tcW w:type="dxa" w:w="9354"/>
            <w:vAlign w:val="center"/>
            <w:tcMar>
              <w:top w:w="420" w:type="dxa"/>
              <w:start w:w="220" w:type="dxa"/>
              <w:bottom w:w="420" w:type="dxa"/>
              <w:end w:w="220" w:type="dxa"/>
            </w:tcMar>
            <w:shd w:fill="3333B2"/>
          </w:tcPr>
          <w:p>
            <w:pPr>
              <w:spacing w:after="160"/>
              <w:jc w:val="center"/>
            </w:pPr>
            <w:r>
              <w:rPr>
                <w:rFonts w:ascii="Arial" w:hAnsi="Arial"/>
                <w:b/>
                <w:color w:val="FFFFFF"/>
                <w:sz w:val="46"/>
              </w:rPr>
              <w:t>LABORATÓRIO 02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34"/>
              </w:rPr>
              <w:t>Assistentes de IA vs. Codificação Manual</w:t>
            </w:r>
          </w:p>
        </w:tc>
      </w:tr>
    </w:tbl>
    <w:p>
      <w:pPr>
        <w:spacing w:after="560"/>
      </w:pPr>
    </w:p>
    <w:p>
      <w:pPr>
        <w:spacing w:after="100"/>
        <w:jc w:val="center"/>
      </w:pPr>
      <w:r>
        <w:rPr>
          <w:b/>
          <w:color w:val="3333B2"/>
        </w:rPr>
        <w:t>Participantes:</w:t>
      </w:r>
    </w:p>
    <w:p>
      <w:pPr>
        <w:spacing w:after="40"/>
        <w:jc w:val="center"/>
      </w:pPr>
      <w:r>
        <w:t>Fernanda Soares</w:t>
      </w:r>
    </w:p>
    <w:p>
      <w:pPr>
        <w:spacing w:after="40"/>
        <w:jc w:val="center"/>
      </w:pPr>
      <w:r>
        <w:t>Islayder Jackson</w:t>
      </w:r>
    </w:p>
    <w:p>
      <w:pPr>
        <w:spacing w:after="40"/>
        <w:jc w:val="center"/>
      </w:pPr>
      <w:r>
        <w:t>Vinicius Gomes</w:t>
      </w:r>
    </w:p>
    <w:p>
      <w:pPr>
        <w:spacing w:after="400"/>
      </w:pPr>
    </w:p>
    <w:p>
      <w:pPr>
        <w:spacing w:after="60"/>
        <w:jc w:val="center"/>
      </w:pPr>
      <w:r>
        <w:rPr>
          <w:rFonts w:ascii="Arial" w:hAnsi="Arial"/>
          <w:b/>
          <w:color w:val="3333B2"/>
          <w:sz w:val="22"/>
        </w:rPr>
        <w:t>Pontifícia Universidade Católica de Minas Gerais</w:t>
      </w:r>
    </w:p>
    <w:p>
      <w:pPr>
        <w:spacing w:after="60"/>
        <w:jc w:val="center"/>
      </w:pPr>
      <w:r>
        <w:rPr>
          <w:rFonts w:ascii="Arial" w:hAnsi="Arial"/>
          <w:b/>
          <w:color w:val="202124"/>
          <w:sz w:val="21"/>
        </w:rPr>
        <w:t>Engenharia de Software</w:t>
      </w:r>
    </w:p>
    <w:p>
      <w:pPr>
        <w:spacing w:after="60"/>
        <w:jc w:val="center"/>
      </w:pPr>
      <w:r>
        <w:rPr>
          <w:rFonts w:ascii="Arial" w:hAnsi="Arial"/>
          <w:b w:val="0"/>
          <w:color w:val="5B6573"/>
          <w:sz w:val="21"/>
        </w:rPr>
        <w:t>Medição e Experimentação de Software</w:t>
      </w:r>
    </w:p>
    <w:p>
      <w:pPr>
        <w:spacing w:before="320" w:after="80"/>
        <w:jc w:val="center"/>
      </w:pPr>
      <w:r>
        <w:rPr>
          <w:b/>
          <w:color w:val="3333B2"/>
        </w:rPr>
        <w:t xml:space="preserve">Professor: </w:t>
      </w:r>
      <w:r>
        <w:t>Danilo Maia</w:t>
      </w:r>
    </w:p>
    <w:p>
      <w:pPr>
        <w:spacing w:before="760"/>
        <w:jc w:val="center"/>
      </w:pPr>
      <w:r>
        <w:rPr>
          <w:rFonts w:ascii="Arial" w:hAnsi="Arial"/>
          <w:b/>
          <w:sz w:val="22"/>
        </w:rPr>
        <w:t>Setembro de 2026</w:t>
      </w:r>
    </w:p>
    <w:p>
      <w:r>
        <w:br w:type="page"/>
      </w:r>
    </w:p>
    <w:p>
      <w:pPr>
        <w:pStyle w:val="Heading1"/>
        <w:shd w:fill="3333B2"/>
        <w:spacing w:before="260" w:after="160" w:line="259" w:lineRule="auto"/>
        <w:ind w:left="102" w:right="0"/>
      </w:pPr>
      <w:r>
        <w:rPr>
          <w:color w:val="FFFFFF"/>
        </w:rPr>
        <w:t>2. Sumário</w:t>
      </w:r>
    </w:p>
    <w:p>
      <w:pPr>
        <w:pStyle w:val="ListNumber"/>
      </w:pPr>
      <w:r>
        <w:t>Capa</w:t>
      </w:r>
    </w:p>
    <w:p>
      <w:pPr>
        <w:pStyle w:val="ListNumber"/>
      </w:pPr>
      <w:r>
        <w:t>Sumário</w:t>
      </w:r>
    </w:p>
    <w:p>
      <w:pPr>
        <w:pStyle w:val="ListNumber"/>
      </w:pPr>
      <w:r>
        <w:t>Introdução</w:t>
      </w:r>
    </w:p>
    <w:p>
      <w:pPr>
        <w:pStyle w:val="ListNumber"/>
      </w:pPr>
      <w:r>
        <w:t>Objetivos</w:t>
      </w:r>
    </w:p>
    <w:p>
      <w:pPr>
        <w:pStyle w:val="ListNumber"/>
      </w:pPr>
      <w:r>
        <w:t>Questões de pesquisa</w:t>
      </w:r>
    </w:p>
    <w:p>
      <w:pPr>
        <w:pStyle w:val="ListNumber"/>
      </w:pPr>
      <w:r>
        <w:t>Metodologia</w:t>
      </w:r>
    </w:p>
    <w:p>
      <w:pPr>
        <w:pStyle w:val="ListNumber"/>
      </w:pPr>
      <w:r>
        <w:t>Participantes</w:t>
      </w:r>
    </w:p>
    <w:p>
      <w:pPr>
        <w:pStyle w:val="ListNumber"/>
      </w:pPr>
      <w:r>
        <w:t>Katas</w:t>
      </w:r>
    </w:p>
    <w:p>
      <w:pPr>
        <w:pStyle w:val="ListNumber"/>
      </w:pPr>
      <w:r>
        <w:t>Desenho experimental</w:t>
      </w:r>
    </w:p>
    <w:p>
      <w:pPr>
        <w:pStyle w:val="ListNumber"/>
      </w:pPr>
      <w:r>
        <w:t>Contrabalanceamento</w:t>
      </w:r>
    </w:p>
    <w:p>
      <w:pPr>
        <w:pStyle w:val="ListNumber"/>
      </w:pPr>
      <w:r>
        <w:t>Instrumentação</w:t>
      </w:r>
    </w:p>
    <w:p>
      <w:pPr>
        <w:pStyle w:val="ListNumber"/>
      </w:pPr>
      <w:r>
        <w:t>Métricas</w:t>
      </w:r>
    </w:p>
    <w:p>
      <w:pPr>
        <w:pStyle w:val="ListNumber"/>
      </w:pPr>
      <w:r>
        <w:t>RQ1 — Tempo até green</w:t>
      </w:r>
    </w:p>
    <w:p>
      <w:pPr>
        <w:pStyle w:val="ListNumber"/>
      </w:pPr>
      <w:r>
        <w:t>RQ2 — Resultado dos testes de aceitação</w:t>
      </w:r>
    </w:p>
    <w:p>
      <w:pPr>
        <w:pStyle w:val="ListNumber"/>
      </w:pPr>
      <w:r>
        <w:t>RQ3 — Estrutura do código</w:t>
      </w:r>
    </w:p>
    <w:p>
      <w:pPr>
        <w:pStyle w:val="ListNumber"/>
      </w:pPr>
      <w:r>
        <w:t>Inovação — Evolução por ciclos</w:t>
      </w:r>
    </w:p>
    <w:p>
      <w:pPr>
        <w:pStyle w:val="ListNumber"/>
      </w:pPr>
      <w:r>
        <w:t>Dashboard</w:t>
      </w:r>
    </w:p>
    <w:p>
      <w:pPr>
        <w:pStyle w:val="ListNumber"/>
      </w:pPr>
      <w:r>
        <w:t>Discussão</w:t>
      </w:r>
    </w:p>
    <w:p>
      <w:pPr>
        <w:pStyle w:val="ListNumber"/>
      </w:pPr>
      <w:r>
        <w:t>Ameaças à validade</w:t>
      </w:r>
    </w:p>
    <w:p>
      <w:pPr>
        <w:pStyle w:val="ListNumber"/>
      </w:pPr>
      <w:r>
        <w:t>Conclusão</w:t>
      </w:r>
    </w:p>
    <w:p>
      <w:pPr>
        <w:pStyle w:val="ListNumber"/>
      </w:pPr>
      <w:r>
        <w:t>Referências</w:t>
      </w:r>
    </w:p>
    <w:p>
      <w:pPr>
        <w:pStyle w:val="Heading1"/>
        <w:shd w:fill="3333B2"/>
        <w:spacing w:before="260" w:after="160" w:line="259" w:lineRule="auto"/>
        <w:ind w:left="102" w:right="0"/>
      </w:pPr>
      <w:r>
        <w:rPr>
          <w:color w:val="FFFFFF"/>
        </w:rPr>
        <w:t>3. Introdução</w:t>
      </w:r>
    </w:p>
    <w:p>
      <w:r>
        <w:t>Este laboratório avaliou diferenças entre o uso de assistentes de inteligência artificial e a codificação manual em tarefas curtas de programação. O protocolo combinou testes de aceitação, limite temporal, registro de ciclos e métricas estruturais sobre o código final. Os resultados descrevem uma amostra pequena e não sustentam, isoladamente, inferências causais ou generalizações para outros contextos.</w:t>
      </w:r>
    </w:p>
    <w:p>
      <w:r>
        <w:t xml:space="preserve">A análise final preserva a separação entre execuções instrumentadas, observações informadas pelo participante e artefatos estruturais mensuráveis. Tentativas inválidas e cenários históricos </w:t>
      </w:r>
      <w:r>
        <w:rPr>
          <w:rFonts w:ascii="Consolas" w:hAnsi="Consolas"/>
          <w:color w:val="3333B2"/>
          <w:sz w:val="18"/>
        </w:rPr>
        <w:t>SIM-*</w:t>
      </w:r>
      <w:r>
        <w:t xml:space="preserve"> foram excluídos do conjunto analítico.</w:t>
      </w:r>
    </w:p>
    <w:p>
      <w:pPr>
        <w:pStyle w:val="Heading1"/>
        <w:shd w:fill="3333B2"/>
        <w:spacing w:before="260" w:after="160" w:line="259" w:lineRule="auto"/>
        <w:ind w:left="102" w:right="0"/>
      </w:pPr>
      <w:r>
        <w:rPr>
          <w:color w:val="FFFFFF"/>
        </w:rPr>
        <w:t>4. Objetivos</w:t>
      </w:r>
    </w:p>
    <w:p>
      <w:r>
        <w:t xml:space="preserve">O objetivo geral foi comparar os tratamentos </w:t>
      </w:r>
      <w:r>
        <w:rPr>
          <w:b/>
        </w:rPr>
        <w:t>IA</w:t>
      </w:r>
      <w:r>
        <w:t xml:space="preserve"> e </w:t>
      </w:r>
      <w:r>
        <w:rPr>
          <w:b/>
        </w:rPr>
        <w:t>Manual</w:t>
      </w:r>
      <w:r>
        <w:t xml:space="preserve"> quanto ao tempo até uma solução verde, ao resultado dos testes de aceitação, à estrutura do código final e ao retrabalho observado ao longo dos ciclos.</w:t>
      </w:r>
    </w:p>
    <w:p>
      <w:r>
        <w:t>Como objetivos específicos, buscou-se:</w:t>
      </w:r>
    </w:p>
    <w:p>
      <w:pPr>
        <w:pStyle w:val="ListBullet"/>
      </w:pPr>
      <w:r>
        <w:t>mensurar tempo, testes e ciclos de cada trial final;</w:t>
      </w:r>
    </w:p>
    <w:p>
      <w:pPr>
        <w:pStyle w:val="ListBullet"/>
      </w:pPr>
      <w:r>
        <w:t>comparar medidas centrais e dispersão entre tratamentos;</w:t>
      </w:r>
    </w:p>
    <w:p>
      <w:pPr>
        <w:pStyle w:val="ListBullet"/>
      </w:pPr>
      <w:r>
        <w:t>coletar LOC, complexidade ciclomática e duplicação dos artefatos finais;</w:t>
      </w:r>
    </w:p>
    <w:p>
      <w:pPr>
        <w:pStyle w:val="ListBullet"/>
      </w:pPr>
      <w:r>
        <w:t>registrar a evolução dos testes sem inventar ciclos ausentes;</w:t>
      </w:r>
    </w:p>
    <w:p>
      <w:pPr>
        <w:pStyle w:val="ListBullet"/>
      </w:pPr>
      <w:r>
        <w:t>produzir resultados rastreáveis e regeneráveis a partir dos arquivos versionados.</w:t>
      </w:r>
    </w:p>
    <w:p>
      <w:pPr>
        <w:pStyle w:val="Heading1"/>
        <w:shd w:fill="3333B2"/>
        <w:spacing w:before="260" w:after="160" w:line="259" w:lineRule="auto"/>
        <w:ind w:left="102" w:right="0"/>
      </w:pPr>
      <w:r>
        <w:rPr>
          <w:color w:val="FFFFFF"/>
        </w:rPr>
        <w:t>5. Questões de pesquisa</w:t>
      </w:r>
    </w:p>
    <w:p>
      <w:pPr>
        <w:pStyle w:val="ListBullet"/>
      </w:pPr>
      <w:r>
        <w:rPr>
          <w:b/>
        </w:rPr>
        <w:t>RQ1 — Tempo:</w:t>
      </w:r>
      <w:r>
        <w:t xml:space="preserve"> o uso de assistente de IA altera o tempo até a solução ficar verde?</w:t>
      </w:r>
    </w:p>
    <w:p>
      <w:pPr>
        <w:pStyle w:val="ListBullet"/>
      </w:pPr>
      <w:r>
        <w:rPr>
          <w:b/>
        </w:rPr>
        <w:t>RQ2 — Defeitos/testes:</w:t>
      </w:r>
      <w:r>
        <w:t xml:space="preserve"> o tratamento altera o resultado final dos testes de aceitação?</w:t>
      </w:r>
    </w:p>
    <w:p>
      <w:pPr>
        <w:pStyle w:val="ListBullet"/>
      </w:pPr>
      <w:r>
        <w:rPr>
          <w:b/>
        </w:rPr>
        <w:t>RQ3 — Estrutura:</w:t>
      </w:r>
      <w:r>
        <w:t xml:space="preserve"> o tratamento altera LOC, complexidade ciclomática ou duplicação do código produzido?</w:t>
      </w:r>
    </w:p>
    <w:p>
      <w:pPr>
        <w:pStyle w:val="ListBullet"/>
      </w:pPr>
      <w:r>
        <w:rPr>
          <w:b/>
        </w:rPr>
        <w:t>Inovação:</w:t>
      </w:r>
      <w:r>
        <w:t xml:space="preserve"> como os testes evoluem entre ciclos e quanto retrabalho ocorre até o estado verde?</w:t>
      </w:r>
    </w:p>
    <w:p>
      <w:pPr>
        <w:pStyle w:val="Heading1"/>
        <w:shd w:fill="3333B2"/>
        <w:spacing w:before="260" w:after="160" w:line="259" w:lineRule="auto"/>
        <w:ind w:left="102" w:right="0"/>
      </w:pPr>
      <w:r>
        <w:rPr>
          <w:color w:val="FFFFFF"/>
        </w:rPr>
        <w:t>6. Metodologia</w:t>
      </w:r>
    </w:p>
    <w:p>
      <w:r>
        <w:t xml:space="preserve">Cada participante resolveu quatro katas: dois com IA e dois manualmente. O runner criou workspaces isolados, protegeu os testes fornecidos, executou </w:t>
      </w:r>
      <w:r>
        <w:rPr>
          <w:rFonts w:ascii="Consolas" w:hAnsi="Consolas"/>
          <w:color w:val="3333B2"/>
          <w:sz w:val="18"/>
        </w:rPr>
        <w:t>pytest</w:t>
      </w:r>
      <w:r>
        <w:t xml:space="preserve">, persistiu um registro por ciclo e encerrou cada trial em </w:t>
      </w:r>
      <w:r>
        <w:rPr>
          <w:rFonts w:ascii="Consolas" w:hAnsi="Consolas"/>
          <w:color w:val="3333B2"/>
          <w:sz w:val="18"/>
        </w:rPr>
        <w:t>green</w:t>
      </w:r>
      <w:r>
        <w:t xml:space="preserve"> ou no limite de 35 minutos. Para RQ1, RQ2 e inovação foram selecionados 12 trials finais, seis por tratamento. Duas tentativas inválidas de Vinicius e quatro cenários históricos </w:t>
      </w:r>
      <w:r>
        <w:rPr>
          <w:rFonts w:ascii="Consolas" w:hAnsi="Consolas"/>
          <w:color w:val="3333B2"/>
          <w:sz w:val="18"/>
        </w:rPr>
        <w:t>SIM-*</w:t>
      </w:r>
      <w:r>
        <w:t xml:space="preserve"> foram auditados e excluídos.</w:t>
      </w:r>
    </w:p>
    <w:p>
      <w:r>
        <w:t xml:space="preserve">Os trials IA #21 e #25 de Islayder foram realizados com Gemini no celular, cronometrados durante a execução e informados pelo participante. Como não passaram pelo runner, seus campos observados ficam no arquivo separado </w:t>
      </w:r>
      <w:r>
        <w:rPr>
          <w:rFonts w:ascii="Consolas" w:hAnsi="Consolas"/>
          <w:color w:val="3333B2"/>
          <w:sz w:val="18"/>
        </w:rPr>
        <w:t>participant_reported_trials.csv</w:t>
      </w:r>
      <w:r>
        <w:t>; a análise não fabrica timestamp, snapshot ou identificador de runner. O total de testes foi conferido diretamente nos testes de aceitação: 10 no Kata 1 e 9 no Kata 3.</w:t>
      </w:r>
    </w:p>
    <w:p>
      <w:r>
        <w:t xml:space="preserve">Para RQ3 foram usados 12 arquivos </w:t>
      </w:r>
      <w:r>
        <w:rPr>
          <w:rFonts w:ascii="Consolas" w:hAnsi="Consolas"/>
          <w:color w:val="3333B2"/>
          <w:sz w:val="18"/>
        </w:rPr>
        <w:t>solucao.py</w:t>
      </w:r>
      <w:r>
        <w:t xml:space="preserve"> existentes, executáveis e mensuráveis. O coletor foi reexecutado sobre todos eles, e os resultados foram comparados aos registros consolidados. Nenhum registro </w:t>
      </w:r>
      <w:r>
        <w:rPr>
          <w:rFonts w:ascii="Consolas" w:hAnsi="Consolas"/>
          <w:color w:val="3333B2"/>
          <w:sz w:val="18"/>
        </w:rPr>
        <w:t>SIM-*</w:t>
      </w:r>
      <w:r>
        <w:t xml:space="preserve"> integra a análise final. Os registros </w:t>
      </w:r>
      <w:r>
        <w:rPr>
          <w:rFonts w:ascii="Consolas" w:hAnsi="Consolas"/>
          <w:color w:val="3333B2"/>
          <w:sz w:val="18"/>
        </w:rPr>
        <w:t>agent_delegated_codex_work</w:t>
      </w:r>
      <w:r>
        <w:t xml:space="preserve"> de Fernanda foram mantidos por corresponderem aos trials finais documentados, e não a fixtures simuladas.</w:t>
      </w:r>
    </w:p>
    <w:p>
      <w:pPr>
        <w:pStyle w:val="Heading1"/>
        <w:shd w:fill="3333B2"/>
        <w:spacing w:before="260" w:after="160" w:line="259" w:lineRule="auto"/>
        <w:ind w:left="102" w:right="0"/>
      </w:pPr>
      <w:r>
        <w:rPr>
          <w:color w:val="FFFFFF"/>
        </w:rPr>
        <w:t>7. Participantes</w:t>
      </w:r>
    </w:p>
    <w:p>
      <w:pPr>
        <w:pStyle w:val="TableCaption"/>
      </w:pPr>
      <w:r>
        <w:t>Tabela 1 — Distribuição dos trials finais por participante e tratamento.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3333B2"/>
          <w:left w:val="nil"/>
          <w:bottom w:val="single" w:sz="8" w:color="3333B2"/>
          <w:right w:val="nil"/>
          <w:insideH w:val="single" w:sz="4" w:color="D9DCE3"/>
          <w:insideV w:val="nil"/>
        </w:tblBorders>
      </w:tblPr>
      <w:tblGrid>
        <w:gridCol w:w="2338"/>
        <w:gridCol w:w="2338"/>
        <w:gridCol w:w="2338"/>
        <w:gridCol w:w="2338"/>
      </w:tblGrid>
      <w:tr>
        <w:trPr>
          <w:cantSplit/>
          <w:tblHeader w:val="true"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Participante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Trials finais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IA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Manual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Fernanda Soares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Islayder Jackson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Vinicius Gomes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7"/>
              </w:rPr>
              <w:t>Total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12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6</w:t>
            </w:r>
          </w:p>
        </w:tc>
      </w:tr>
    </w:tbl>
    <w:p>
      <w:pPr>
        <w:spacing w:after="20"/>
      </w:pPr>
    </w:p>
    <w:p>
      <w:r>
        <w:t>Os três participantes contribuíram igualmente para a amostra. Portanto, nenhum participante domina numericamente um dos tratamentos.</w:t>
      </w:r>
    </w:p>
    <w:p>
      <w:pPr>
        <w:pStyle w:val="Heading1"/>
        <w:shd w:fill="3333B2"/>
        <w:spacing w:before="260" w:after="160" w:line="259" w:lineRule="auto"/>
        <w:ind w:left="102" w:right="0"/>
      </w:pPr>
      <w:r>
        <w:rPr>
          <w:color w:val="FFFFFF"/>
        </w:rPr>
        <w:t>8. Katas</w:t>
      </w:r>
    </w:p>
    <w:p>
      <w:r>
        <w:t>Os quatro katas são funções puras em Python, sem dependências externas de produção.</w:t>
      </w:r>
    </w:p>
    <w:p>
      <w:pPr>
        <w:pStyle w:val="TableCaption"/>
      </w:pPr>
      <w:r>
        <w:t>Tabela 2 — Katas e quantidade real de testes de aceitação.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3333B2"/>
          <w:left w:val="nil"/>
          <w:bottom w:val="single" w:sz="8" w:color="3333B2"/>
          <w:right w:val="nil"/>
          <w:insideH w:val="single" w:sz="4" w:color="D9DCE3"/>
          <w:insideV w:val="nil"/>
        </w:tblBorders>
      </w:tblPr>
      <w:tblGrid>
        <w:gridCol w:w="2338"/>
        <w:gridCol w:w="2338"/>
        <w:gridCol w:w="2338"/>
        <w:gridCol w:w="2338"/>
      </w:tblGrid>
      <w:tr>
        <w:trPr>
          <w:cantSplit/>
          <w:tblHeader w:val="true"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Kata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Identificador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Objetivo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Testes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kata1_normalizador_etiquetas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Normalizar e validar etiquetas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10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kata2_balanceamento_turnos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Balancear turnos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9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kata3_compactador_sensor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Compactar leituras de sensor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9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kata4_manutencao_preditiva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Priorizar manutenção preditiva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7</w:t>
            </w:r>
          </w:p>
        </w:tc>
      </w:tr>
    </w:tbl>
    <w:p>
      <w:pPr>
        <w:spacing w:after="20"/>
      </w:pPr>
    </w:p>
    <w:p>
      <w:r>
        <w:t>Os gabaritos de referência foram verificados isoladamente: 10/10, 9/9, 9/9 e 7/7 testes passaram. Eles não foram disponibilizados nos workspaces dos participantes.</w:t>
      </w:r>
    </w:p>
    <w:p>
      <w:pPr>
        <w:pStyle w:val="Heading1"/>
        <w:shd w:fill="3333B2"/>
        <w:spacing w:before="260" w:after="160" w:line="259" w:lineRule="auto"/>
        <w:ind w:left="102" w:right="0"/>
      </w:pPr>
      <w:r>
        <w:rPr>
          <w:color w:val="FFFFFF"/>
        </w:rPr>
        <w:t>9. Desenho experimental</w:t>
      </w:r>
    </w:p>
    <w:p>
      <w:r>
        <w:t xml:space="preserve">O estudo adotou medidas repetidas: cada participante foi exposto aos dois tratamentos, sempre em katas diferentes. Cada trial iniciou a partir do stub do kata e terminou quando todos os testes passaram ou quando o time-box foi atingido. O desfecho principal foi o tempo até </w:t>
      </w:r>
      <w:r>
        <w:rPr>
          <w:rFonts w:ascii="Consolas" w:hAnsi="Consolas"/>
          <w:color w:val="3333B2"/>
          <w:sz w:val="18"/>
        </w:rPr>
        <w:t>green</w:t>
      </w:r>
      <w:r>
        <w:t>; testes finais, ciclos e artefatos foram vinculados por participante, Issue, kata e tratamento.</w:t>
      </w:r>
    </w:p>
    <w:p>
      <w:pPr>
        <w:pStyle w:val="TableCaption"/>
      </w:pPr>
      <w:r>
        <w:t>Tabela 3 — Conjunto final dos 12 trials analisados.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3333B2"/>
          <w:left w:val="nil"/>
          <w:bottom w:val="single" w:sz="8" w:color="3333B2"/>
          <w:right w:val="nil"/>
          <w:insideH w:val="single" w:sz="4" w:color="D9DCE3"/>
          <w:insideV w:val="nil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rPr>
          <w:cantSplit/>
          <w:tblHeader w:val="true"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4"/>
              </w:rPr>
              <w:t>Participante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Issue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Kata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Tratamento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Tempo (s)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Testes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Ciclos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Fernanda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#19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IA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224,89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9/9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Fernanda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#27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Manual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63,20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10/10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Fernanda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#29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4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IA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74,02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7/7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Fernanda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#28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3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Manual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58,83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9/9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Islayder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#21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IA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75,00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10/10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Islayder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#24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Manual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127,17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9/9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Islayder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#25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3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IA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150,00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9/9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Islayder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#26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4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Manual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208,02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7/7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Vinicius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#22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IA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49,95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10/10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Vinicius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#30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Manual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365,99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9/9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Vinicius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#31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3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IA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324,52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9/9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Vinicius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#32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4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Manual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451,74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7/7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</w:tbl>
    <w:p>
      <w:pPr>
        <w:spacing w:after="20"/>
      </w:pPr>
    </w:p>
    <w:p>
      <w:pPr>
        <w:pStyle w:val="Heading1"/>
        <w:shd w:fill="3333B2"/>
        <w:spacing w:before="260" w:after="160" w:line="259" w:lineRule="auto"/>
        <w:ind w:left="102" w:right="0"/>
      </w:pPr>
      <w:r>
        <w:rPr>
          <w:color w:val="FFFFFF"/>
        </w:rPr>
        <w:t>10. Contrabalanceamento</w:t>
      </w:r>
    </w:p>
    <w:p>
      <w:r>
        <w:t>Islayder e Vinicius executaram a sequência Kata 1 IA, Kata 2 Manual, Kata 3 IA e Kata 4 Manual. Fernanda recebeu os tratamentos opostos e a ordem Kata 2 IA, Kata 1 Manual, Kata 4 IA e Kata 3 Manual.</w:t>
      </w:r>
    </w:p>
    <w:p>
      <w:pPr>
        <w:pStyle w:val="TableCaption"/>
      </w:pPr>
      <w:r>
        <w:t>Tabela 4 — Alocação dos tratamentos por participante e kata.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3333B2"/>
          <w:left w:val="nil"/>
          <w:bottom w:val="single" w:sz="8" w:color="3333B2"/>
          <w:right w:val="nil"/>
          <w:insideH w:val="single" w:sz="4" w:color="D9DCE3"/>
          <w:insideV w:val="nil"/>
        </w:tblBorders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true"/>
        </w:trPr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Participante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Kata 1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Kata 2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Kata 3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Kata 4</w:t>
            </w:r>
          </w:p>
        </w:tc>
      </w:tr>
      <w:tr>
        <w:trPr>
          <w:cantSplit/>
        </w:trPr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Fernanda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Manual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IA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Manual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IA</w:t>
            </w:r>
          </w:p>
        </w:tc>
      </w:tr>
      <w:tr>
        <w:trPr>
          <w:cantSplit/>
        </w:trPr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Islayder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IA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Manual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IA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Manual</w:t>
            </w:r>
          </w:p>
        </w:tc>
      </w:tr>
      <w:tr>
        <w:trPr>
          <w:cantSplit/>
        </w:trPr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Vinicius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IA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Manual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IA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Manual</w:t>
            </w:r>
          </w:p>
        </w:tc>
      </w:tr>
    </w:tbl>
    <w:p>
      <w:pPr>
        <w:spacing w:after="20"/>
      </w:pPr>
    </w:p>
    <w:p>
      <w:r>
        <w:t>Cada participante realizou dois trials por tratamento e cada kata apareceu nos dois tratamentos no conjunto. A alocação por kata é 2:1 devido ao número ímpar de participantes.</w:t>
      </w:r>
    </w:p>
    <w:p>
      <w:pPr>
        <w:pStyle w:val="Heading1"/>
        <w:shd w:fill="3333B2"/>
        <w:spacing w:before="260" w:after="160" w:line="259" w:lineRule="auto"/>
        <w:ind w:left="102" w:right="0"/>
      </w:pPr>
      <w:r>
        <w:rPr>
          <w:color w:val="FFFFFF"/>
        </w:rPr>
        <w:t>11. Instrumentação</w:t>
      </w:r>
    </w:p>
    <w:p>
      <w:r>
        <w:t xml:space="preserve">O módulo </w:t>
      </w:r>
      <w:r>
        <w:rPr>
          <w:rFonts w:ascii="Consolas" w:hAnsi="Consolas"/>
          <w:color w:val="3333B2"/>
          <w:sz w:val="18"/>
        </w:rPr>
        <w:t>lab02/trials</w:t>
      </w:r>
      <w:r>
        <w:t xml:space="preserve"> implementa preparação, execução, time-box de 2.100 segundos, persistência atômica, snapshots finais, proteção dos testes e registro de ciclos. </w:t>
      </w:r>
      <w:r>
        <w:rPr>
          <w:rFonts w:ascii="Consolas" w:hAnsi="Consolas"/>
          <w:color w:val="3333B2"/>
          <w:sz w:val="18"/>
        </w:rPr>
        <w:t>trials.csv</w:t>
      </w:r>
      <w:r>
        <w:t xml:space="preserve"> e </w:t>
      </w:r>
      <w:r>
        <w:rPr>
          <w:rFonts w:ascii="Consolas" w:hAnsi="Consolas"/>
          <w:color w:val="3333B2"/>
          <w:sz w:val="18"/>
        </w:rPr>
        <w:t>trial_cycles.csv</w:t>
      </w:r>
      <w:r>
        <w:t xml:space="preserve"> preservam as execuções instrumentadas. Os dois trials IA de Islayder observados fora do runner permanecem no sidecar de dados informados pelo participante.</w:t>
      </w:r>
    </w:p>
    <w:p>
      <w:r>
        <w:t>O coletor estrutural usa Radon 6.0.1 para LOC e complexidade e jscpd 5.2.0, com configuração versionada, para duplicação. Os scripts de análise geram tabelas intermediárias, figuras e dashboard a partir das fontes finais, permitindo repetição do processo.</w:t>
      </w:r>
    </w:p>
    <w:p>
      <w:pPr>
        <w:pStyle w:val="Heading1"/>
        <w:shd w:fill="3333B2"/>
        <w:spacing w:before="260" w:after="160" w:line="259" w:lineRule="auto"/>
        <w:ind w:left="102" w:right="0"/>
      </w:pPr>
      <w:r>
        <w:rPr>
          <w:color w:val="FFFFFF"/>
        </w:rPr>
        <w:t>12. Métricas</w:t>
      </w:r>
    </w:p>
    <w:p>
      <w:pPr>
        <w:pStyle w:val="TableCaption"/>
      </w:pPr>
      <w:r>
        <w:t>Tabela 5 — Definições operacionais das métricas.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3333B2"/>
          <w:left w:val="nil"/>
          <w:bottom w:val="single" w:sz="8" w:color="3333B2"/>
          <w:right w:val="nil"/>
          <w:insideH w:val="single" w:sz="4" w:color="D9DCE3"/>
          <w:insideV w:val="nil"/>
        </w:tblBorders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Dimensão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Métrica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Definição operacional</w:t>
            </w:r>
          </w:p>
        </w:tc>
      </w:tr>
      <w:tr>
        <w:trPr>
          <w:cantSplit/>
        </w:trPr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RQ1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Tempo até green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Segundos decorridos até todos os testes passarem; trials no limite seriam censurados em 2.100 s</w:t>
            </w:r>
          </w:p>
        </w:tc>
      </w:tr>
      <w:tr>
        <w:trPr>
          <w:cantSplit/>
        </w:trPr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RQ2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Testes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Contagens absolutas passando, falhando e total, além da taxa final</w:t>
            </w:r>
          </w:p>
        </w:tc>
      </w:tr>
      <w:tr>
        <w:trPr>
          <w:cantSplit/>
        </w:trPr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Inovação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Ciclos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Número de execuções dos testes e primeiro ciclo em que ocorreu green</w:t>
            </w:r>
          </w:p>
        </w:tc>
      </w:tr>
      <w:tr>
        <w:trPr>
          <w:cantSplit/>
        </w:trPr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RQ3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LOC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Linhas lógicas de código (lloc) de solucao.py</w:t>
            </w:r>
          </w:p>
        </w:tc>
      </w:tr>
      <w:tr>
        <w:trPr>
          <w:cantSplit/>
        </w:trPr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RQ3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Complexidade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Média ciclomática por função/método e máximo do arquivo</w:t>
            </w:r>
          </w:p>
        </w:tc>
      </w:tr>
      <w:tr>
        <w:trPr>
          <w:cantSplit/>
        </w:trPr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RQ3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Duplicação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Percentual, linhas e blocos duplicados</w:t>
            </w:r>
          </w:p>
        </w:tc>
      </w:tr>
    </w:tbl>
    <w:p>
      <w:pPr>
        <w:spacing w:after="20"/>
      </w:pPr>
    </w:p>
    <w:p>
      <w:r>
        <w:t>Medianas, quartis e IQR usam a interpolação linear do Pandas. O teste de Wilcoxon foi aplicado às medianas individuais: para cada participante, a mediana dos dois tempos IA foi pareada à mediana dos dois tempos manuais.</w:t>
      </w:r>
    </w:p>
    <w:p>
      <w:pPr>
        <w:pStyle w:val="Heading1"/>
        <w:pageBreakBefore/>
        <w:shd w:fill="3333B2"/>
        <w:spacing w:before="260" w:after="160" w:line="259" w:lineRule="auto"/>
        <w:ind w:left="102" w:right="0"/>
      </w:pPr>
      <w:r>
        <w:rPr>
          <w:color w:val="FFFFFF"/>
        </w:rPr>
        <w:t>13. RQ1 — Tempo até green</w:t>
      </w:r>
    </w:p>
    <w:p>
      <w:pPr>
        <w:pStyle w:val="TableCaption"/>
      </w:pPr>
      <w:r>
        <w:t>Tabela 6 — Estatísticas descritivas do tempo até green.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3333B2"/>
          <w:left w:val="nil"/>
          <w:bottom w:val="single" w:sz="8" w:color="3333B2"/>
          <w:right w:val="nil"/>
          <w:insideH w:val="single" w:sz="4" w:color="D9DCE3"/>
          <w:insideV w:val="nil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rPr>
          <w:cantSplit/>
          <w:tblHeader w:val="true"/>
        </w:trPr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4"/>
              </w:rPr>
              <w:t>Tratamento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n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Média (s)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Mediana (s)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Q1 (s)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Q3 (s)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IQR (s)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Green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Censurados</w:t>
            </w:r>
          </w:p>
        </w:tc>
      </w:tr>
      <w:tr>
        <w:trPr>
          <w:cantSplit/>
        </w:trPr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IA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149,73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112,50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74,265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206,1675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131,9025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Manual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212,4917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167,595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79,1925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326,4975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247,305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0</w:t>
            </w:r>
          </w:p>
        </w:tc>
      </w:tr>
    </w:tbl>
    <w:p>
      <w:pPr>
        <w:spacing w:after="20"/>
      </w:pPr>
    </w:p>
    <w:p>
      <w:pPr>
        <w:shd w:fill="F4F4FB"/>
        <w:keepLines/>
        <w:pBdr>
          <w:left w:val="single" w:sz="22" w:space="10" w:color="3333B2"/>
        </w:pBdr>
        <w:spacing w:before="120" w:after="180" w:line="276" w:lineRule="auto"/>
        <w:ind w:left="198" w:right="142"/>
        <w:jc w:val="left"/>
      </w:pPr>
      <w:r>
        <w:rPr>
          <w:rFonts w:ascii="Arial" w:hAnsi="Arial"/>
          <w:b/>
          <w:color w:val="3333B2"/>
        </w:rPr>
        <w:t>Resultado-chave — RQ1</w:t>
      </w:r>
      <w:r>
        <w:rPr>
          <w:rFonts w:ascii="Arial" w:hAnsi="Arial"/>
        </w:rPr>
        <w:br/>
      </w:r>
      <w:r>
        <w:rPr>
          <w:rFonts w:ascii="Arial" w:hAnsi="Arial"/>
        </w:rPr>
        <w:t>IA: mediana de 112,50 s</w:t>
      </w:r>
      <w:r>
        <w:rPr>
          <w:rFonts w:ascii="Arial" w:hAnsi="Arial"/>
        </w:rPr>
        <w:br/>
      </w:r>
      <w:r>
        <w:rPr>
          <w:rFonts w:ascii="Arial" w:hAnsi="Arial"/>
        </w:rPr>
        <w:t>Manual: mediana de 167,595 s</w:t>
      </w:r>
      <w:r>
        <w:rPr>
          <w:rFonts w:ascii="Arial" w:hAnsi="Arial"/>
        </w:rPr>
        <w:br/>
      </w:r>
      <w:r>
        <w:rPr>
          <w:rFonts w:ascii="Arial" w:hAnsi="Arial"/>
        </w:rPr>
        <w:t>Wilcoxon: p = 0,75</w:t>
      </w:r>
    </w:p>
    <w:p>
      <w:r>
        <w:t>Como mostra a Figura 1, a distribuição completa apresenta mediana e média menores em IA, mas também dispersão relevante nos dois tratamentos. Todos os 12 pontos são exibidos para que a pequena amostra permaneça visível.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7878"/>
            <wp:docPr id="1" name="Picture 1" descr="Boxplot do tempo até green com os 12 trials identificad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1_tempo_ia_vs_ma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7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1 — Distribuição do tempo até green por tratamento. A caixa representa Q1–Q3, a linha representa a mediana e os pontos representam os 12 trials.</w:t>
      </w:r>
    </w:p>
    <w:p>
      <w:pPr>
        <w:pStyle w:val="TableCaption"/>
      </w:pPr>
      <w:r>
        <w:t>Tabela 7 — Medianas de tempo por participante usadas no pareamento.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3333B2"/>
          <w:left w:val="nil"/>
          <w:bottom w:val="single" w:sz="8" w:color="3333B2"/>
          <w:right w:val="nil"/>
          <w:insideH w:val="single" w:sz="4" w:color="D9DCE3"/>
          <w:insideV w:val="nil"/>
        </w:tblBorders>
      </w:tblPr>
      <w:tblGrid>
        <w:gridCol w:w="2338"/>
        <w:gridCol w:w="2338"/>
        <w:gridCol w:w="2338"/>
        <w:gridCol w:w="2338"/>
      </w:tblGrid>
      <w:tr>
        <w:trPr>
          <w:cantSplit/>
          <w:tblHeader w:val="true"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Participante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IA (s)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Manual (s)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Diferença IA − Manual (s)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Fernanda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149,455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61,015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88,440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Islayder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112,500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167,595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−55,095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Vinicius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187,235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408,865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−221,630</w:t>
            </w:r>
          </w:p>
        </w:tc>
      </w:tr>
    </w:tbl>
    <w:p>
      <w:pPr>
        <w:spacing w:after="20"/>
      </w:pPr>
    </w:p>
    <w:p>
      <w:r>
        <w:t xml:space="preserve">O Wilcoxon sobre os três pares resultou em </w:t>
      </w:r>
      <w:r>
        <w:rPr>
          <w:b/>
        </w:rPr>
        <w:t>W = 2,0</w:t>
      </w:r>
      <w:r>
        <w:t xml:space="preserve"> e </w:t>
      </w:r>
      <w:r>
        <w:rPr>
          <w:b/>
        </w:rPr>
        <w:t>p = 0,75</w:t>
      </w:r>
      <w:r>
        <w:t>. Portanto, a amostra apresentou menor tempo central em IA, mas não forneceu evidência estatística de diferença entre tratamentos. O pareamento é por participante e compara katas distintos, devendo ser interpretado com cautela.</w:t>
      </w:r>
    </w:p>
    <w:p>
      <w:r>
        <w:t>A Figura 2 evidencia a heterogeneidade por participante: Fernanda teve mediana menor em Manual, enquanto Islayder e Vinicius tiveram mediana menor em IA.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87053"/>
            <wp:docPr id="2" name="Picture 2" descr="Barras agrupadas das medianas de tempo por participa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1_mediana_participan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87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2 — Medianas individuais de tempo por tratamento. As barras correspondem aos mesmos três pares usados no teste de Wilcoxon.</w:t>
      </w:r>
    </w:p>
    <w:p>
      <w:r>
        <w:t>No recorte de Islayder, IA teve 75 s e 150 s, com média e mediana de 112,5 s e IQR de 37,5 s. Manual teve 127,17 s e 208,02 s, com média e mediana de 167,595 s e IQR de 40,425 s.</w:t>
      </w:r>
    </w:p>
    <w:p>
      <w:pPr>
        <w:pStyle w:val="Heading1"/>
        <w:shd w:fill="3333B2"/>
        <w:spacing w:before="260" w:after="160" w:line="259" w:lineRule="auto"/>
        <w:ind w:left="102" w:right="0"/>
      </w:pPr>
      <w:r>
        <w:rPr>
          <w:color w:val="FFFFFF"/>
        </w:rPr>
        <w:t>14. RQ2 — Resultado dos testes de aceitação</w:t>
      </w:r>
    </w:p>
    <w:p>
      <w:pPr>
        <w:pStyle w:val="TableCaption"/>
      </w:pPr>
      <w:r>
        <w:t>Tabela 8 — Resultado final dos testes por tratamento.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3333B2"/>
          <w:left w:val="nil"/>
          <w:bottom w:val="single" w:sz="8" w:color="3333B2"/>
          <w:right w:val="nil"/>
          <w:insideH w:val="single" w:sz="4" w:color="D9DCE3"/>
          <w:insideV w:val="nil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rPr>
          <w:cantSplit/>
          <w:tblHeader w:val="true"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4"/>
              </w:rPr>
              <w:t>Tratamento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Trials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Green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Time-box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Testes passando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Falhando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Total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Taxa final mediana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IA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54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54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Manual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51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51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100%</w:t>
            </w:r>
          </w:p>
        </w:tc>
      </w:tr>
    </w:tbl>
    <w:p>
      <w:pPr>
        <w:spacing w:after="20"/>
      </w:pPr>
    </w:p>
    <w:p>
      <w:pPr>
        <w:shd w:fill="F4F4FB"/>
        <w:keepLines/>
        <w:pBdr>
          <w:left w:val="single" w:sz="22" w:space="10" w:color="3333B2"/>
        </w:pBdr>
        <w:spacing w:before="120" w:after="180" w:line="276" w:lineRule="auto"/>
        <w:ind w:left="198" w:right="142"/>
        <w:jc w:val="left"/>
      </w:pPr>
      <w:r>
        <w:rPr>
          <w:rFonts w:ascii="Arial" w:hAnsi="Arial"/>
          <w:b/>
          <w:color w:val="3333B2"/>
        </w:rPr>
        <w:t>Resultado-chave — RQ2</w:t>
      </w:r>
      <w:r>
        <w:rPr>
          <w:rFonts w:ascii="Arial" w:hAnsi="Arial"/>
        </w:rPr>
        <w:br/>
      </w:r>
      <w:r>
        <w:rPr>
          <w:rFonts w:ascii="Arial" w:hAnsi="Arial"/>
        </w:rPr>
        <w:t>IA: 54/54 testes passando</w:t>
      </w:r>
      <w:r>
        <w:rPr>
          <w:rFonts w:ascii="Arial" w:hAnsi="Arial"/>
        </w:rPr>
        <w:br/>
      </w:r>
      <w:r>
        <w:rPr>
          <w:rFonts w:ascii="Arial" w:hAnsi="Arial"/>
        </w:rPr>
        <w:t>Manual: 51/51 testes passando</w:t>
      </w:r>
      <w:r>
        <w:rPr>
          <w:rFonts w:ascii="Arial" w:hAnsi="Arial"/>
        </w:rPr>
        <w:br/>
      </w:r>
      <w:r>
        <w:rPr>
          <w:rFonts w:ascii="Arial" w:hAnsi="Arial"/>
        </w:rPr>
        <w:t>Falhas finais: 0 nos dois tratamentos</w:t>
      </w:r>
    </w:p>
    <w:p>
      <w:r>
        <w:t xml:space="preserve">Todos os 105 testes finais passaram. Em Islayder, os resultados foram #21 10/10, #24 9/9, #25 9/9 e #26 7/7, todos </w:t>
      </w:r>
      <w:r>
        <w:rPr>
          <w:rFonts w:ascii="Consolas" w:hAnsi="Consolas"/>
          <w:color w:val="3333B2"/>
          <w:sz w:val="18"/>
        </w:rPr>
        <w:t>green</w:t>
      </w:r>
      <w:r>
        <w:t xml:space="preserve">. Assim, </w:t>
      </w:r>
      <w:r>
        <w:rPr>
          <w:b/>
        </w:rPr>
        <w:t>RQ2 não mostrou diferença no desfecho final de aceitação</w:t>
      </w:r>
      <w:r>
        <w:t>: IA alcançou 54/54, Manual alcançou 51/51 e ambos tiveram zero falhas finais. A Figura 3 sintetiza essas contagens em pouco espaço.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06332"/>
            <wp:docPr id="3" name="Picture 3" descr="Barras compactas do percentual de testes finais passand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2_testes_ia_vs_man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06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3 — Resultado agregado dos testes finais. As anotações X/X preservam as contagens absolutas; o percentual é informação secundária.</w:t>
      </w:r>
    </w:p>
    <w:p>
      <w:r>
        <w:t>A igualdade no estado final não implica trajetórias iguais. A evolução intermediária é analisada na seção de inovação.</w:t>
      </w:r>
    </w:p>
    <w:p>
      <w:pPr>
        <w:pStyle w:val="Heading1"/>
        <w:pageBreakBefore/>
        <w:shd w:fill="3333B2"/>
        <w:spacing w:before="260" w:after="160" w:line="259" w:lineRule="auto"/>
        <w:ind w:left="102" w:right="0"/>
      </w:pPr>
      <w:r>
        <w:rPr>
          <w:color w:val="FFFFFF"/>
        </w:rPr>
        <w:t>15. RQ3 — Estrutura do código</w:t>
      </w:r>
    </w:p>
    <w:p>
      <w:pPr>
        <w:pStyle w:val="TableCaption"/>
      </w:pPr>
      <w:r>
        <w:t>Tabela 9 — Estatísticas estruturais dos 12 artefatos finais.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3333B2"/>
          <w:left w:val="nil"/>
          <w:bottom w:val="single" w:sz="8" w:color="3333B2"/>
          <w:right w:val="nil"/>
          <w:insideH w:val="single" w:sz="4" w:color="D9DCE3"/>
          <w:insideV w:val="nil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cantSplit/>
          <w:tblHeader w:val="true"/>
        </w:trPr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Tratamento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Métrica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Mediana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Q1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Q3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IQR</w:t>
            </w:r>
          </w:p>
        </w:tc>
      </w:tr>
      <w:tr>
        <w:trPr>
          <w:cantSplit/>
        </w:trPr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6"/>
              </w:rPr>
              <w:t>IA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LOC lógico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15,0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14,25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15,75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1,50</w:t>
            </w:r>
          </w:p>
        </w:tc>
      </w:tr>
      <w:tr>
        <w:trPr>
          <w:cantSplit/>
        </w:trPr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6"/>
              </w:rPr>
              <w:t>Manual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LOC lógico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11,0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10,25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12,50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2,25</w:t>
            </w:r>
          </w:p>
        </w:tc>
      </w:tr>
      <w:tr>
        <w:trPr>
          <w:cantSplit/>
        </w:trPr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6"/>
              </w:rPr>
              <w:t>IA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CC média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3,5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4,75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1,75</w:t>
            </w:r>
          </w:p>
        </w:tc>
      </w:tr>
      <w:tr>
        <w:trPr>
          <w:cantSplit/>
        </w:trPr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6"/>
              </w:rPr>
              <w:t>Manual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CC média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4,0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3,25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4,00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0,75</w:t>
            </w:r>
          </w:p>
        </w:tc>
      </w:tr>
      <w:tr>
        <w:trPr>
          <w:cantSplit/>
        </w:trPr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6"/>
              </w:rPr>
              <w:t>IA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Duplicação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</w:tr>
      <w:tr>
        <w:trPr>
          <w:cantSplit/>
        </w:trPr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6"/>
              </w:rPr>
              <w:t>Manual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Duplicação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</w:tr>
    </w:tbl>
    <w:p>
      <w:pPr>
        <w:spacing w:after="20"/>
      </w:pPr>
    </w:p>
    <w:p>
      <w:pPr>
        <w:shd w:fill="F4F4FB"/>
        <w:keepLines/>
        <w:pBdr>
          <w:left w:val="single" w:sz="22" w:space="10" w:color="3333B2"/>
        </w:pBdr>
        <w:spacing w:before="120" w:after="180" w:line="276" w:lineRule="auto"/>
        <w:ind w:left="198" w:right="142"/>
        <w:jc w:val="left"/>
      </w:pPr>
      <w:r>
        <w:rPr>
          <w:rFonts w:ascii="Arial" w:hAnsi="Arial"/>
          <w:b/>
          <w:color w:val="3333B2"/>
        </w:rPr>
        <w:t>Resultado-chave — RQ3</w:t>
      </w:r>
      <w:r>
        <w:rPr>
          <w:rFonts w:ascii="Arial" w:hAnsi="Arial"/>
        </w:rPr>
        <w:br/>
      </w:r>
      <w:r>
        <w:rPr>
          <w:rFonts w:ascii="Arial" w:hAnsi="Arial"/>
        </w:rPr>
        <w:t>LOC mediana: IA 15 vs. Manual 11</w:t>
      </w:r>
      <w:r>
        <w:rPr>
          <w:rFonts w:ascii="Arial" w:hAnsi="Arial"/>
        </w:rPr>
        <w:br/>
      </w:r>
      <w:r>
        <w:rPr>
          <w:rFonts w:ascii="Arial" w:hAnsi="Arial"/>
        </w:rPr>
        <w:t>CC média mediana: IA 3,5 vs. Manual 4,0</w:t>
      </w:r>
      <w:r>
        <w:rPr>
          <w:rFonts w:ascii="Arial" w:hAnsi="Arial"/>
        </w:rPr>
        <w:br/>
      </w:r>
      <w:r>
        <w:rPr>
          <w:rFonts w:ascii="Arial" w:hAnsi="Arial"/>
        </w:rPr>
        <w:t>Duplicação: 0% nos 12 artefatos</w:t>
      </w:r>
    </w:p>
    <w:p>
      <w:r>
        <w:t>Os 12 artefatos tiveram métricas completas e reproduzíveis. IA apresentou maior mediana de LOC, menor mediana de complexidade média e a mesma duplicação mediana do tratamento Manual. Com seis arquivos por grupo e katas heterogêneos, os resultados são descritivos e não demonstram efeito causal.</w:t>
      </w:r>
    </w:p>
    <w:p>
      <w:r>
        <w:t>A Figura 4 revela dois pontos de LOC afastados das respectivas caixas — 27 LOC em IA e 5 LOC em outro artefato IA — que seriam ocultados por uma apresentação apenas por medianas.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66901"/>
            <wp:docPr id="4" name="Picture 4" descr="Boxplot de LOC com os 12 artefatos identificad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3_loc_ia_vs_man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6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4 — Distribuição de LOC lógico por tratamento, com todos os artefatos identificados por participante e kata.</w:t>
      </w:r>
    </w:p>
    <w:p>
      <w:r>
        <w:t>A Figura 5 mostra mediana de complexidade média igual a 3,5 em IA e 4,0 em Manual. Os pontos tornam visível que IA também apresenta maior amplitude entre arquivos.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66901"/>
            <wp:docPr id="5" name="Picture 5" descr="Boxplot da complexidade ciclomática médi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3_complexidade_ia_vs_manu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6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5 — Distribuição da complexidade ciclomática média por tratamento, com os 12 artefatos individuais.</w:t>
      </w:r>
    </w:p>
    <w:p>
      <w:r>
        <w:t>A Figura 6 relaciona LOC e complexidade apenas para inspecionar conjuntamente as duas dimensões. Não foi calculada nem alegada correlação estatística.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5435"/>
            <wp:docPr id="6" name="Picture 6" descr="Dispersão exploratória entre LOC e complexida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3_loc_complexidade_scat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5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6 — Relação exploratória entre LOC lógico e complexidade ciclomática média. Cor representa tratamento e forma representa participante.</w:t>
      </w:r>
    </w:p>
    <w:p>
      <w:r>
        <w:t xml:space="preserve">Não há gráfico de duplicação porque todos os 12 artefatos apresentaram exatamente </w:t>
      </w:r>
      <w:r>
        <w:rPr>
          <w:b/>
        </w:rPr>
        <w:t>0%</w:t>
      </w:r>
      <w:r>
        <w:t>, com zero linhas e zero blocos duplicados; uma figura acrescentaria espaço sem informação comparativa.</w:t>
      </w:r>
    </w:p>
    <w:p>
      <w:r>
        <w:t>Para Islayder, #21 apresentou 15 LOC, CC média 4,0, CC máxima 4, duplicação 0%, zero linhas/blocos duplicados e uma função; #25 apresentou 27 LOC, CC média 2,6667, CC máxima 4, duplicação 0%, zero linhas/blocos duplicados e três funções. Os testes desses artefatos passaram em 10/10 e 9/9, respectivamente.</w:t>
      </w:r>
    </w:p>
    <w:p>
      <w:r>
        <w:t>Os snapshots originais apontados pelos trials finais de Fernanda não foram versionados. Seus quatro artefatos estruturais foram reconstruídos a partir de códigos preparatórios já presentes no repositório, passam nos testes e reproduzem as métricas consolidadas. Essa reconstrução preserva mensurabilidade, mas limita a equivalência de proveniência com os snapshots originais.</w:t>
      </w:r>
    </w:p>
    <w:p>
      <w:pPr>
        <w:pStyle w:val="Heading1"/>
        <w:shd w:fill="3333B2"/>
        <w:spacing w:before="260" w:after="160" w:line="259" w:lineRule="auto"/>
        <w:ind w:left="102" w:right="0"/>
      </w:pPr>
      <w:r>
        <w:rPr>
          <w:color w:val="FFFFFF"/>
        </w:rPr>
        <w:t>16. Inovação — Evolução por ciclos</w:t>
      </w:r>
    </w:p>
    <w:p>
      <w:pPr>
        <w:pStyle w:val="TableCaption"/>
      </w:pPr>
      <w:r>
        <w:t>Tabela 10 — Ciclos e taxa de aprovação por tratamento.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3333B2"/>
          <w:left w:val="nil"/>
          <w:bottom w:val="single" w:sz="8" w:color="3333B2"/>
          <w:right w:val="nil"/>
          <w:insideH w:val="single" w:sz="4" w:color="D9DCE3"/>
          <w:insideV w:val="nil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true"/>
        </w:trPr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Tratamento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Trials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Ciclos — mediana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Intervalo de ciclos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Taxa mediana no 1º ciclo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3333B2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Taxa mediana final</w:t>
            </w:r>
          </w:p>
        </w:tc>
      </w:tr>
      <w:tr>
        <w:trPr>
          <w:cantSplit/>
        </w:trPr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6"/>
              </w:rPr>
              <w:t>IA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1–2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</w:tr>
      <w:tr>
        <w:trPr>
          <w:cantSplit/>
        </w:trPr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6"/>
              </w:rPr>
              <w:t>Manual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1–2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14,285%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4F4FB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</w:tr>
    </w:tbl>
    <w:p>
      <w:pPr>
        <w:spacing w:after="20"/>
      </w:pPr>
    </w:p>
    <w:p>
      <w:pPr>
        <w:shd w:fill="F4F4FB"/>
        <w:keepLines/>
        <w:pBdr>
          <w:left w:val="single" w:sz="22" w:space="10" w:color="3333B2"/>
        </w:pBdr>
        <w:spacing w:before="120" w:after="180" w:line="276" w:lineRule="auto"/>
        <w:ind w:left="198" w:right="142"/>
        <w:jc w:val="left"/>
      </w:pPr>
      <w:r>
        <w:rPr>
          <w:rFonts w:ascii="Arial" w:hAnsi="Arial"/>
          <w:b/>
          <w:color w:val="3333B2"/>
        </w:rPr>
        <w:t>Resultado-chave — Inovação</w:t>
      </w:r>
      <w:r>
        <w:rPr>
          <w:rFonts w:ascii="Arial" w:hAnsi="Arial"/>
        </w:rPr>
        <w:br/>
      </w:r>
      <w:r>
        <w:rPr>
          <w:rFonts w:ascii="Arial" w:hAnsi="Arial"/>
        </w:rPr>
        <w:t>IA: mediana de 1 ciclo até green</w:t>
      </w:r>
      <w:r>
        <w:rPr>
          <w:rFonts w:ascii="Arial" w:hAnsi="Arial"/>
        </w:rPr>
        <w:br/>
      </w:r>
      <w:r>
        <w:rPr>
          <w:rFonts w:ascii="Arial" w:hAnsi="Arial"/>
        </w:rPr>
        <w:t>Manual: mediana de 2 ciclos até green</w:t>
      </w:r>
    </w:p>
    <w:p>
      <w:r>
        <w:t>A inovação do protocolo foi preservar o desempenho a cada execução de testes, permitindo observar progresso e retrabalho, e não apenas o estado final. A Figura 7 usa somente ciclos efetivamente registrados; trials de um ciclo aparecem como um único ponto.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00377"/>
            <wp:docPr id="7" name="Picture 7" descr="Evolução da taxa de testes passando em cada ciclo observad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ovacao_evolucao_tes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7 — Evolução dos testes por trial e tratamento. As linhas ligam apenas ciclos observados do mesmo trial.</w:t>
      </w:r>
    </w:p>
    <w:p>
      <w:r>
        <w:t>Como mostra a Figura 8, a mediana de IA atingiu o conjunto completo no primeiro ciclo; a mediana Manual precisou de dois ciclos. Em Islayder, #21, #24 e #25 ficaram verdes em um ciclo, e #26 evoluiu de 2/7 para 7/7 no segundo ciclo.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3201"/>
            <wp:docPr id="8" name="Picture 8" descr="Pontos horizontais dos ciclos necessários até gree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ovacao_ciclos_ate_gre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3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8 — Ciclo em que cada trial atingiu green. A figura preserva os 12 resultados individuais e diferencia os tratamentos por cor.</w:t>
      </w:r>
    </w:p>
    <w:p>
      <w:r>
        <w:t>O resultado sugere menor retrabalho mediano com IA nesta amostra, sem estabelecer causalidade.</w:t>
      </w:r>
    </w:p>
    <w:p>
      <w:pPr>
        <w:pStyle w:val="Heading1"/>
        <w:shd w:fill="3333B2"/>
        <w:spacing w:before="260" w:after="160" w:line="259" w:lineRule="auto"/>
        <w:ind w:left="102" w:right="0"/>
      </w:pPr>
      <w:r>
        <w:rPr>
          <w:color w:val="FFFFFF"/>
        </w:rPr>
        <w:t>17. Dashboard</w:t>
      </w:r>
    </w:p>
    <w:p>
      <w:r>
        <w:t>A Figura 9 resume 12 trials, três participantes, seis trials IA, seis trials Manual, medianas de 112,50 s e 167,595 s, 105/105 testes finais passando e 0% de duplicação. Os painéis compactos cobrem tempo, testes, ciclos, LOC, complexidade e a relação exploratória LOC × complexidade, evitando repetir o mesmo tipo de gráfico para dimensões distintas.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399145"/>
            <wp:docPr id="9" name="Picture 9" descr="Dashboard consolidado do Lab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fin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9 — Dashboard final das RQs e da inovação. Os KPIs no topo fixam o escopo e os desfechos agregados; os seis painéis preservam as distribuições essenciais.</w:t>
      </w:r>
    </w:p>
    <w:p>
      <w:r>
        <w:t>Para reproduzir o dashboard na raiz do repositório:</w:t>
      </w:r>
    </w:p>
    <w:p>
      <w:pPr>
        <w:pStyle w:val="CodeBlock"/>
        <w:keepLines/>
        <w:shd w:fill="F2F4F7"/>
      </w:pPr>
      <w:r>
        <w:rPr>
          <w:rFonts w:ascii="Consolas" w:hAnsi="Consolas"/>
          <w:sz w:val="17"/>
        </w:rPr>
        <w:t>.\.venv\Scripts\python.exe -m lab02.dashboard.build_dashboard</w:t>
      </w:r>
    </w:p>
    <w:p>
      <w:pPr>
        <w:pStyle w:val="Heading1"/>
        <w:pageBreakBefore/>
        <w:shd w:fill="3333B2"/>
        <w:spacing w:before="260" w:after="160" w:line="259" w:lineRule="auto"/>
        <w:ind w:left="102" w:right="0"/>
      </w:pPr>
      <w:r>
        <w:rPr>
          <w:color w:val="FFFFFF"/>
        </w:rPr>
        <w:t>18. Discussão</w:t>
      </w:r>
    </w:p>
    <w:p>
      <w:r>
        <w:t>Os resultados convergem em três pontos. Primeiro, IA teve tempos centrais menores, mas com alta dispersão e sem diferença estatisticamente detectável no Wilcoxon. Segundo, os dois tratamentos terminaram com todos os testes passando; a distinção mais visível ocorreu na trajetória, pois IA apresentou menos ciclos e maior taxa no primeiro ciclo. Terceiro, os códigos IA foram mais longos na mediana, ligeiramente menos complexos pela média ciclomática e igualmente sem duplicação detectada. Essas dimensões não devem ser combinadas em um único julgamento de qualidade.</w:t>
      </w:r>
    </w:p>
    <w:p>
      <w:r>
        <w:t>O comportamento individual reforça a necessidade de cautela. Fernanda teve menor mediana temporal em Manual, enquanto Islayder e Vinicius tiveram menor mediana em IA. A direção agregada, portanto, não é uniforme entre participantes.</w:t>
      </w:r>
    </w:p>
    <w:p>
      <w:r>
        <w:t>O relatório mantém separados trials finais, tentativas inválidas, fixtures históricas simuladas e observações informadas fora do runner. Essa separação evita aumentar artificialmente a amostra e permite rastrear a origem de cada resultado.</w:t>
      </w:r>
    </w:p>
    <w:p>
      <w:pPr>
        <w:pStyle w:val="Heading1"/>
        <w:shd w:fill="3333B2"/>
        <w:spacing w:before="260" w:after="160" w:line="259" w:lineRule="auto"/>
        <w:ind w:left="102" w:right="0"/>
      </w:pPr>
      <w:r>
        <w:rPr>
          <w:color w:val="FFFFFF"/>
        </w:rPr>
        <w:t>19. Ameaças à validade</w:t>
      </w:r>
    </w:p>
    <w:p>
      <w:pPr>
        <w:pStyle w:val="ListBullet"/>
      </w:pPr>
      <w:r>
        <w:rPr>
          <w:b/>
        </w:rPr>
        <w:t>Amostra:</w:t>
      </w:r>
      <w:r>
        <w:t xml:space="preserve"> três participantes e seis observações por tratamento limitam poder estatístico e generalização.</w:t>
      </w:r>
    </w:p>
    <w:p>
      <w:pPr>
        <w:pStyle w:val="ListBullet"/>
      </w:pPr>
      <w:r>
        <w:rPr>
          <w:b/>
        </w:rPr>
        <w:t>Heterogeneidade dos katas:</w:t>
      </w:r>
      <w:r>
        <w:t xml:space="preserve"> cada tratamento usa tarefas distintas para cada participante; diferenças de dificuldade podem se confundir com o tratamento.</w:t>
      </w:r>
    </w:p>
    <w:p>
      <w:pPr>
        <w:pStyle w:val="ListBullet"/>
      </w:pPr>
      <w:r>
        <w:rPr>
          <w:b/>
        </w:rPr>
        <w:t>Experiência e aprendizado:</w:t>
      </w:r>
      <w:r>
        <w:t xml:space="preserve"> familiaridade com Python, assistentes e katas pode afetar tempo, estratégia e ciclos; a ordem não elimina completamente o efeito de aprendizado.</w:t>
      </w:r>
    </w:p>
    <w:p>
      <w:pPr>
        <w:pStyle w:val="ListBullet"/>
      </w:pPr>
      <w:r>
        <w:rPr>
          <w:b/>
        </w:rPr>
        <w:t>Ferramenta de IA:</w:t>
      </w:r>
      <w:r>
        <w:t xml:space="preserve"> versões, interfaces e qualidade das respostas podem variar. Islayder usou Gemini no celular, enquanto dois registros de Fernanda têm proveniência </w:t>
      </w:r>
      <w:r>
        <w:rPr>
          <w:rFonts w:ascii="Consolas" w:hAnsi="Consolas"/>
          <w:color w:val="3333B2"/>
          <w:sz w:val="18"/>
        </w:rPr>
        <w:t>agent_delegated_codex_work</w:t>
      </w:r>
      <w:r>
        <w:t>.</w:t>
      </w:r>
    </w:p>
    <w:p>
      <w:pPr>
        <w:pStyle w:val="ListBullet"/>
      </w:pPr>
      <w:r>
        <w:rPr>
          <w:b/>
        </w:rPr>
        <w:t>Ambiente e instrumentação:</w:t>
      </w:r>
      <w:r>
        <w:t xml:space="preserve"> os trials IA de Islayder foram cronometrados fora do runner e informados pelo participante; não possuem os mesmos timestamps e snapshots automáticos dos demais trials.</w:t>
      </w:r>
    </w:p>
    <w:p>
      <w:pPr>
        <w:pStyle w:val="ListBullet"/>
      </w:pPr>
      <w:r>
        <w:rPr>
          <w:b/>
        </w:rPr>
        <w:t>Proveniência estrutural:</w:t>
      </w:r>
      <w:r>
        <w:t xml:space="preserve"> os artefatos RQ3 de Fernanda são reconstruções testáveis de código já versionado, não os snapshots originais do runner.</w:t>
      </w:r>
    </w:p>
    <w:p>
      <w:pPr>
        <w:pStyle w:val="ListBullet"/>
      </w:pPr>
      <w:r>
        <w:rPr>
          <w:b/>
        </w:rPr>
        <w:t>Piloto:</w:t>
      </w:r>
      <w:r>
        <w:t xml:space="preserve"> o protocolo prescreve piloto temporal externo, mas não há evidência versionada de sua execução; isso limita a verificação independente da calibração dos katas.</w:t>
      </w:r>
    </w:p>
    <w:p>
      <w:pPr>
        <w:pStyle w:val="ListBullet"/>
      </w:pPr>
      <w:r>
        <w:rPr>
          <w:b/>
        </w:rPr>
        <w:t>Métricas:</w:t>
      </w:r>
      <w:r>
        <w:t xml:space="preserve"> LOC, complexidade e duplicação capturam apenas aspectos estruturais e não equivalem, isoladamente, a manutenibilidade ou qualidade global.</w:t>
      </w:r>
    </w:p>
    <w:p>
      <w:pPr>
        <w:pStyle w:val="Heading1"/>
        <w:shd w:fill="3333B2"/>
        <w:spacing w:before="260" w:after="160" w:line="259" w:lineRule="auto"/>
        <w:ind w:left="102" w:right="0"/>
      </w:pPr>
      <w:r>
        <w:rPr>
          <w:color w:val="FFFFFF"/>
        </w:rPr>
        <w:t>20. Conclusão</w:t>
      </w:r>
    </w:p>
    <w:p>
      <w:pPr>
        <w:pStyle w:val="ListBullet"/>
      </w:pPr>
      <w:r>
        <w:rPr>
          <w:b/>
        </w:rPr>
        <w:t>RQ1:</w:t>
      </w:r>
      <w:r>
        <w:t xml:space="preserve"> IA apresentou menor tempo médio e mediano, porém o Wilcoxon com três pares resultou em p = 0,75; não há evidência suficiente de diferença entre tratamentos.</w:t>
      </w:r>
    </w:p>
    <w:p>
      <w:pPr>
        <w:pStyle w:val="ListBullet"/>
      </w:pPr>
      <w:r>
        <w:rPr>
          <w:b/>
        </w:rPr>
        <w:t>RQ2:</w:t>
      </w:r>
      <w:r>
        <w:t xml:space="preserve"> IA e Manual alcançaram todos os testes finais, com 54/54 e 51/51, respectivamente; não houve diferença no desfecho final de aceitação.</w:t>
      </w:r>
    </w:p>
    <w:p>
      <w:pPr>
        <w:pStyle w:val="ListBullet"/>
      </w:pPr>
      <w:r>
        <w:rPr>
          <w:b/>
        </w:rPr>
        <w:t>RQ3:</w:t>
      </w:r>
      <w:r>
        <w:t xml:space="preserve"> IA teve maior LOC mediana (15 contra 11), menor CC média mediana (3,5 contra 4,0) e a mesma duplicação mediana (0%); o resultado é descritivo.</w:t>
      </w:r>
    </w:p>
    <w:p>
      <w:pPr>
        <w:pStyle w:val="ListBullet"/>
      </w:pPr>
      <w:r>
        <w:rPr>
          <w:b/>
        </w:rPr>
        <w:t>Inovação:</w:t>
      </w:r>
      <w:r>
        <w:t xml:space="preserve"> IA apresentou mediana de um ciclo e 100% dos testes no primeiro ciclo, enquanto Manual apresentou mediana de dois ciclos e 14,285% no primeiro; ambos terminaram em 100%.</w:t>
      </w:r>
    </w:p>
    <w:p>
      <w:r>
        <w:t>O Lab02 está consolidado com 12 trials finais, 12 artefatos estruturais, análises regeneráveis, gráficos e dashboard coerentes. As conclusões permanecem proporcionais à amostra e às limitações documentadas.</w:t>
      </w:r>
    </w:p>
    <w:p>
      <w:pPr>
        <w:pStyle w:val="Heading1"/>
        <w:shd w:fill="3333B2"/>
        <w:spacing w:before="260" w:after="160" w:line="259" w:lineRule="auto"/>
        <w:ind w:left="102" w:right="0"/>
      </w:pPr>
      <w:r>
        <w:rPr>
          <w:color w:val="FFFFFF"/>
        </w:rPr>
        <w:t>21. Referências</w:t>
      </w:r>
    </w:p>
    <w:p>
      <w:pPr>
        <w:pStyle w:val="ListBullet"/>
      </w:pPr>
      <w:hyperlink r:id="rId20">
        <w:r>
          <w:rPr>
            <w:color w:val="4D4DC4"/>
            <w:u w:val="single"/>
          </w:rPr>
          <w:t>Protocolo e instrumentação dos trials</w:t>
        </w:r>
      </w:hyperlink>
    </w:p>
    <w:p>
      <w:pPr>
        <w:pStyle w:val="ListBullet"/>
      </w:pPr>
      <w:hyperlink r:id="rId21">
        <w:r>
          <w:rPr>
            <w:color w:val="4D4DC4"/>
            <w:u w:val="single"/>
          </w:rPr>
          <w:t>Definições e execução das análises</w:t>
        </w:r>
      </w:hyperlink>
    </w:p>
    <w:p>
      <w:pPr>
        <w:pStyle w:val="ListBullet"/>
      </w:pPr>
      <w:hyperlink r:id="rId22">
        <w:r>
          <w:rPr>
            <w:color w:val="4D4DC4"/>
            <w:u w:val="single"/>
          </w:rPr>
          <w:t>Coletor e definições das métricas estruturais</w:t>
        </w:r>
      </w:hyperlink>
    </w:p>
    <w:p>
      <w:pPr>
        <w:pStyle w:val="ListBullet"/>
      </w:pPr>
      <w:hyperlink r:id="rId23">
        <w:r>
          <w:rPr>
            <w:color w:val="4D4DC4"/>
            <w:u w:val="single"/>
          </w:rPr>
          <w:t>Relatório consolidado da Sprint 03</w:t>
        </w:r>
      </w:hyperlink>
    </w:p>
    <w:p>
      <w:pPr>
        <w:pStyle w:val="ListBullet"/>
      </w:pPr>
      <w:hyperlink r:id="rId24">
        <w:r>
          <w:rPr>
            <w:color w:val="4D4DC4"/>
            <w:u w:val="single"/>
          </w:rPr>
          <w:t>Registro individual de Fernanda</w:t>
        </w:r>
      </w:hyperlink>
    </w:p>
    <w:p>
      <w:pPr>
        <w:pStyle w:val="ListBullet"/>
      </w:pPr>
      <w:hyperlink r:id="rId25">
        <w:r>
          <w:rPr>
            <w:color w:val="4D4DC4"/>
            <w:u w:val="single"/>
          </w:rPr>
          <w:t>Registro individual de Islayder</w:t>
        </w:r>
      </w:hyperlink>
    </w:p>
    <w:p>
      <w:pPr>
        <w:pStyle w:val="ListBullet"/>
      </w:pPr>
      <w:hyperlink r:id="rId26">
        <w:r>
          <w:rPr>
            <w:color w:val="4D4DC4"/>
            <w:u w:val="single"/>
          </w:rPr>
          <w:t>Registro individual de Vinicius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76" w:bottom="1134" w:left="1276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3"/>
      </w:rPr>
      <w:t xml:space="preserve">PUC Minas  |  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PUC Minas  •  Medição e Experimentação de Software  •  Laboratório 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  <w:jc w:val="both"/>
    </w:pPr>
    <w:rPr>
      <w:rFonts w:ascii="Arial" w:hAnsi="Arial" w:eastAsia="Arial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5B6573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5B6573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FFFF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333B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 w:eastAsia="Arial"/>
      <w:b/>
      <w:color w:val="3333B2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keepLines/>
      <w:spacing w:after="160"/>
      <w:jc w:val="center"/>
    </w:pPr>
    <w:rPr>
      <w:rFonts w:ascii="Arial" w:hAnsi="Arial"/>
      <w:i/>
      <w:color w:val="5B6573"/>
      <w:sz w:val="18"/>
    </w:rPr>
  </w:style>
  <w:style w:type="paragraph" w:customStyle="1" w:styleId="TableCaption">
    <w:name w:val="Table Caption"/>
    <w:pPr>
      <w:keepNext/>
      <w:spacing w:before="140" w:after="60"/>
    </w:pPr>
    <w:rPr>
      <w:rFonts w:ascii="Arial" w:hAnsi="Arial"/>
      <w:b/>
      <w:color w:val="3333B2"/>
      <w:sz w:val="18"/>
    </w:rPr>
  </w:style>
  <w:style w:type="paragraph" w:customStyle="1" w:styleId="CodeBlock">
    <w:name w:val="Code Block"/>
    <w:pPr>
      <w:spacing w:before="60" w:after="120"/>
      <w:ind w:left="283" w:right="283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hyperlink" Target="../../lab02/trials/README.md" TargetMode="External"/><Relationship Id="rId21" Type="http://schemas.openxmlformats.org/officeDocument/2006/relationships/hyperlink" Target="../../lab02/analysis/README.md" TargetMode="External"/><Relationship Id="rId22" Type="http://schemas.openxmlformats.org/officeDocument/2006/relationships/hyperlink" Target="../../lab02/metrics/README.md" TargetMode="External"/><Relationship Id="rId23" Type="http://schemas.openxmlformats.org/officeDocument/2006/relationships/hyperlink" Target="../sprints/s03/relatorio_s03.md" TargetMode="External"/><Relationship Id="rId24" Type="http://schemas.openxmlformats.org/officeDocument/2006/relationships/hyperlink" Target="../sprints/lab02_s02/fernanda.md" TargetMode="External"/><Relationship Id="rId25" Type="http://schemas.openxmlformats.org/officeDocument/2006/relationships/hyperlink" Target="../sprints/lab02_s02/islayder.md" TargetMode="External"/><Relationship Id="rId26" Type="http://schemas.openxmlformats.org/officeDocument/2006/relationships/hyperlink" Target="../sprints/lab02_s02/viniciu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Laboratório 02 — Assistentes de IA vs. Codificação Manual</dc:title>
  <dc:subject>Relatório final de Medição e Experimentação de Software</dc:subject>
  <dc:creator>Fernanda Soares; Islayder Jackson; Vinicius Gomes</dc:creator>
  <cp:keywords>Lab02, IA, codificação manual, medição, experimentação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