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200" w:after="0"/>
        <w:rPr>
          <w:rFonts w:ascii="Calibri" w:hAnsi="Calibri"/>
        </w:rPr>
      </w:pPr>
      <w:r>
        <w:rPr>
          <w:rFonts w:ascii="Calibri" w:hAnsi="Calibri"/>
        </w:rPr>
      </w:r>
    </w:p>
    <w:p>
      <w:pPr>
        <w:pStyle w:val="Normal"/>
        <w:spacing w:before="0" w:after="200"/>
        <w:jc w:val="center"/>
        <w:rPr>
          <w:rFonts w:ascii="Calibri" w:hAnsi="Calibri"/>
        </w:rPr>
      </w:pPr>
      <w:r>
        <w:rPr>
          <w:rFonts w:ascii="Calibri" w:hAnsi="Calibri"/>
          <w:b/>
          <w:bCs/>
          <w:color w:val="1F4E5F"/>
          <w:sz w:val="44"/>
          <w:szCs w:val="44"/>
        </w:rPr>
        <w:t>DOSSIER DE PROJET DE CRÉATION D'ENTREPRISE</w:t>
      </w:r>
    </w:p>
    <w:p>
      <w:pPr>
        <w:pStyle w:val="Normal"/>
        <w:spacing w:before="0" w:after="100"/>
        <w:jc w:val="center"/>
        <w:rPr>
          <w:rFonts w:ascii="Calibri" w:hAnsi="Calibri"/>
        </w:rPr>
      </w:pPr>
      <w:r>
        <w:rPr>
          <w:rFonts w:ascii="Calibri" w:hAnsi="Calibri"/>
          <w:i/>
          <w:iCs/>
          <w:sz w:val="28"/>
          <w:szCs w:val="28"/>
        </w:rPr>
        <w:t>Démission pour projet de création d'entreprise</w:t>
      </w:r>
    </w:p>
    <w:p>
      <w:pPr>
        <w:pStyle w:val="Normal"/>
        <w:spacing w:before="0" w:after="600"/>
        <w:jc w:val="center"/>
        <w:rPr>
          <w:rFonts w:ascii="Calibri" w:hAnsi="Calibri"/>
        </w:rPr>
      </w:pPr>
      <w:r>
        <w:rPr>
          <w:rFonts w:ascii="Calibri" w:hAnsi="Calibri"/>
          <w:i/>
          <w:iCs/>
          <w:color w:val="666666"/>
          <w:sz w:val="22"/>
          <w:szCs w:val="22"/>
        </w:rPr>
        <w:t>Loi n° 2018-771 « Avenir professionnel » - dispositif démissionnaire</w:t>
      </w:r>
    </w:p>
    <w:p>
      <w:pPr>
        <w:pStyle w:val="Normal"/>
        <w:spacing w:before="0" w:after="1400"/>
        <w:jc w:val="center"/>
        <w:rPr>
          <w:rFonts w:ascii="Calibri" w:hAnsi="Calibri"/>
        </w:rPr>
      </w:pPr>
      <w:r>
        <w:rPr>
          <w:rFonts w:ascii="Calibri" w:hAnsi="Calibri"/>
          <w:b/>
          <w:bCs/>
          <w:sz w:val="30"/>
          <w:szCs w:val="30"/>
        </w:rPr>
        <w:t>Activité de conseil, développement et formation en Intelligence Artificielle générative</w:t>
      </w:r>
    </w:p>
    <w:p>
      <w:pPr>
        <w:pStyle w:val="Normal"/>
        <w:spacing w:before="0" w:after="80"/>
        <w:jc w:val="center"/>
        <w:rPr>
          <w:rFonts w:ascii="Calibri" w:hAnsi="Calibri"/>
        </w:rPr>
      </w:pPr>
      <w:r>
        <w:rPr>
          <w:rFonts w:ascii="Calibri" w:hAnsi="Calibri"/>
          <w:b/>
          <w:bCs/>
          <w:sz w:val="28"/>
          <w:szCs w:val="28"/>
        </w:rPr>
        <w:t>Étienne MILLERIOUX</w:t>
      </w:r>
    </w:p>
    <w:p>
      <w:pPr>
        <w:pStyle w:val="Normal"/>
        <w:spacing w:before="0" w:after="80"/>
        <w:jc w:val="center"/>
        <w:rPr>
          <w:rFonts w:ascii="Calibri" w:hAnsi="Calibri"/>
        </w:rPr>
      </w:pPr>
      <w:r>
        <w:rPr>
          <w:rFonts w:ascii="Calibri" w:hAnsi="Calibri"/>
          <w:sz w:val="22"/>
          <w:szCs w:val="22"/>
        </w:rPr>
        <w:t>Lead AI Engineer - 20+ ans d'expérience en développement et architecture logicielle</w:t>
      </w:r>
    </w:p>
    <w:p>
      <w:pPr>
        <w:pStyle w:val="Normal"/>
        <w:spacing w:before="0" w:after="400"/>
        <w:jc w:val="center"/>
        <w:rPr>
          <w:rFonts w:ascii="Calibri" w:hAnsi="Calibri"/>
        </w:rPr>
      </w:pPr>
      <w:r>
        <w:rPr>
          <w:rFonts w:ascii="Calibri" w:hAnsi="Calibri"/>
          <w:color w:val="666666"/>
          <w:sz w:val="20"/>
          <w:szCs w:val="20"/>
        </w:rPr>
        <w:t>622 av. Xavier de Ricard, Montpellier - etiennemillerioux@yahoo.fr - 06 68 42 23 88</w:t>
      </w:r>
    </w:p>
    <w:p>
      <w:pPr>
        <w:pStyle w:val="Normal"/>
        <w:jc w:val="center"/>
        <w:rPr>
          <w:rFonts w:ascii="Calibri" w:hAnsi="Calibri"/>
        </w:rPr>
      </w:pPr>
      <w:r>
        <w:rPr>
          <w:rFonts w:ascii="Calibri" w:hAnsi="Calibri"/>
          <w:i/>
          <w:iCs/>
          <w:color w:val="666666"/>
          <w:sz w:val="20"/>
          <w:szCs w:val="20"/>
        </w:rPr>
        <w:t>Document préparé en vue de l'accompagnement CEP (APEC Montpellier) et de la demande d'attestation du caractère réel et sérieux du projet auprès de la CPIR / Transitions Pro Occitanie</w:t>
      </w:r>
    </w:p>
    <w:p>
      <w:pPr>
        <w:pStyle w:val="Normal"/>
        <w:rPr>
          <w:rFonts w:ascii="Calibri" w:hAnsi="Calibri"/>
        </w:rPr>
      </w:pPr>
      <w:r>
        <w:rPr>
          <w:rFonts w:ascii="Calibri" w:hAnsi="Calibri"/>
        </w:rPr>
      </w:r>
      <w:r>
        <w:br w:type="page"/>
      </w:r>
    </w:p>
    <w:p>
      <w:pPr>
        <w:pStyle w:val="Heading1"/>
        <w:spacing w:before="0" w:after="200"/>
        <w:rPr>
          <w:rFonts w:ascii="Calibri" w:hAnsi="Calibri"/>
        </w:rPr>
      </w:pPr>
      <w:r>
        <w:rPr>
          <w:rFonts w:ascii="Calibri" w:hAnsi="Calibri"/>
        </w:rPr>
      </w:r>
      <w:r>
        <w:br w:type="page"/>
      </w:r>
    </w:p>
    <w:p>
      <w:pPr>
        <w:pStyle w:val="Heading1"/>
        <w:spacing w:before="0" w:after="200"/>
        <w:rPr>
          <w:rFonts w:ascii="Calibri" w:hAnsi="Calibri"/>
        </w:rPr>
      </w:pPr>
      <w:r>
        <w:rPr>
          <w:rFonts w:ascii="Calibri" w:hAnsi="Calibri"/>
        </w:rPr>
        <w:t>1. Synthèse du projet</w:t>
      </w:r>
    </w:p>
    <w:p>
      <w:pPr>
        <w:pStyle w:val="Normal"/>
        <w:spacing w:before="0" w:after="120"/>
        <w:jc w:val="both"/>
        <w:rPr>
          <w:rFonts w:ascii="Calibri" w:hAnsi="Calibri"/>
        </w:rPr>
      </w:pPr>
      <w:r>
        <w:rPr>
          <w:rFonts w:ascii="Calibri" w:hAnsi="Calibri"/>
          <w:b/>
          <w:bCs/>
        </w:rPr>
        <w:t xml:space="preserve">Projet : </w:t>
      </w:r>
      <w:r>
        <w:rPr>
          <w:rFonts w:ascii="Calibri" w:hAnsi="Calibri"/>
        </w:rPr>
        <w:t>création d'une activité indépendante de conseil, de développement et de formation en Intelligence Artificielle générative à destination des entreprises (PME, ETI, grands comptes, ESN), exercée en mon nom propre.</w:t>
      </w:r>
    </w:p>
    <w:p>
      <w:pPr>
        <w:pStyle w:val="Normal"/>
        <w:spacing w:before="0" w:after="120"/>
        <w:jc w:val="both"/>
        <w:rPr>
          <w:rFonts w:ascii="Calibri" w:hAnsi="Calibri"/>
        </w:rPr>
      </w:pPr>
      <w:r>
        <w:rPr>
          <w:rFonts w:ascii="Calibri" w:hAnsi="Calibri"/>
          <w:b/>
          <w:bCs/>
        </w:rPr>
        <w:t xml:space="preserve">Porteur : </w:t>
      </w:r>
      <w:r>
        <w:rPr>
          <w:rFonts w:ascii="Calibri" w:hAnsi="Calibri"/>
        </w:rPr>
        <w:t>Étienne Millerioux, 48 ans, Lead AI Engineer chez Studi (Montpellier), plus de 20 ans d'expérience en développement et architecture logicielle, dont 2 ans en ingénierie IA de niveau production (LLM, RAG, agents, évaluation), et 16 ans d'expérience de gérance de SARL (Kalisys, 2004-2020).</w:t>
      </w:r>
    </w:p>
    <w:p>
      <w:pPr>
        <w:pStyle w:val="Normal"/>
        <w:spacing w:before="0" w:after="120"/>
        <w:jc w:val="both"/>
        <w:rPr>
          <w:rFonts w:ascii="Calibri" w:hAnsi="Calibri"/>
        </w:rPr>
      </w:pPr>
      <w:r>
        <w:rPr>
          <w:rFonts w:ascii="Calibri" w:hAnsi="Calibri"/>
          <w:b/>
          <w:bCs/>
        </w:rPr>
        <w:t xml:space="preserve">Offre : </w:t>
      </w:r>
      <w:r>
        <w:rPr>
          <w:rFonts w:ascii="Calibri" w:hAnsi="Calibri"/>
        </w:rPr>
        <w:t>trois prestations complémentaires couvrant le cycle complet d'adoption de l'IA en entreprise :</w:t>
      </w:r>
    </w:p>
    <w:p>
      <w:pPr>
        <w:pStyle w:val="Normal"/>
        <w:spacing w:before="0" w:after="120"/>
        <w:jc w:val="both"/>
        <w:rPr>
          <w:rFonts w:ascii="Calibri" w:hAnsi="Calibri"/>
        </w:rPr>
      </w:pPr>
      <w:r>
        <w:rPr>
          <w:rFonts w:ascii="Calibri" w:hAnsi="Calibri"/>
        </w:rPr>
        <w:t>(1) conseil en intégration de l’IA dans les process organisationnels ou de développement logiciel, cadrage et conformité réglementaire (RGPD, AI Act).</w:t>
      </w:r>
    </w:p>
    <w:p>
      <w:pPr>
        <w:pStyle w:val="Normal"/>
        <w:spacing w:before="0" w:after="120"/>
        <w:jc w:val="both"/>
        <w:rPr>
          <w:rFonts w:ascii="Calibri" w:hAnsi="Calibri"/>
        </w:rPr>
      </w:pPr>
      <w:r>
        <w:rPr>
          <w:rFonts w:ascii="Calibri" w:hAnsi="Calibri"/>
        </w:rPr>
        <w:t>(2) missions d'exécution technique (AI Engineer / Forward Deployed Engineer), recouvrant aussi bien l’IA intégrée au produit que l’IA introduite dans la chaîne de développement (outillage du processus de build).</w:t>
      </w:r>
    </w:p>
    <w:p>
      <w:pPr>
        <w:pStyle w:val="Normal"/>
        <w:spacing w:before="0" w:after="120"/>
        <w:jc w:val="both"/>
        <w:rPr>
          <w:rFonts w:ascii="Calibri" w:hAnsi="Calibri"/>
        </w:rPr>
      </w:pPr>
      <w:r>
        <w:rPr>
          <w:rFonts w:ascii="Calibri" w:hAnsi="Calibri"/>
        </w:rPr>
        <w:t>(3) formation et acculturation des équipes agiles aux outils d’IA (PM, PO, dev, QA).</w:t>
      </w:r>
    </w:p>
    <w:p>
      <w:pPr>
        <w:pStyle w:val="Normal"/>
        <w:spacing w:before="0" w:after="120"/>
        <w:jc w:val="both"/>
        <w:rPr>
          <w:rFonts w:ascii="Calibri" w:hAnsi="Calibri"/>
        </w:rPr>
      </w:pPr>
      <w:r>
        <w:rPr>
          <w:rFonts w:ascii="Calibri" w:hAnsi="Calibri"/>
          <w:b/>
          <w:bCs/>
        </w:rPr>
        <w:t xml:space="preserve">Marché : </w:t>
      </w:r>
      <w:r>
        <w:rPr>
          <w:rFonts w:ascii="Calibri" w:hAnsi="Calibri"/>
        </w:rPr>
        <w:t>le marché français de l'IA générative est en forte croissance, tiré par l'adoption massive en entreprise et l'entrée en application de l'AI Act européen. Les profils expérimentés combinant ingénierie LLM de production et séniorité logicielle sont rares ; les TJM du segment (750-1 500 €/jour) en attestent.</w:t>
      </w:r>
    </w:p>
    <w:p>
      <w:pPr>
        <w:pStyle w:val="Normal"/>
        <w:spacing w:before="0" w:after="120"/>
        <w:jc w:val="both"/>
        <w:rPr>
          <w:rFonts w:ascii="Calibri" w:hAnsi="Calibri"/>
        </w:rPr>
      </w:pPr>
      <w:r>
        <w:rPr>
          <w:rFonts w:ascii="Calibri" w:hAnsi="Calibri"/>
          <w:b/>
          <w:bCs/>
        </w:rPr>
        <w:t xml:space="preserve">Modèle économique : </w:t>
      </w:r>
      <w:r>
        <w:rPr>
          <w:rFonts w:ascii="Calibri" w:hAnsi="Calibri"/>
        </w:rPr>
        <w:t>facturation essentiellement au temps passé (TJM différenciés : 1 200 € conseil, 800 € exécution, 1 100 € formation) ou, à l’occasion d’audits, de missions fonctionnelles encadrées, ou de formations packagées, au forfait . Objectif première année complète : 80 à 160 jours facturés, soit un chiffre d'affaires de 75 000 à 150 000 € HT.</w:t>
      </w:r>
    </w:p>
    <w:p>
      <w:pPr>
        <w:pStyle w:val="Normal"/>
        <w:spacing w:before="0" w:after="120"/>
        <w:jc w:val="both"/>
        <w:rPr>
          <w:rFonts w:ascii="Calibri" w:hAnsi="Calibri"/>
        </w:rPr>
      </w:pPr>
      <w:r>
        <w:rPr>
          <w:rFonts w:ascii="Calibri" w:hAnsi="Calibri"/>
          <w:b/>
          <w:bCs/>
        </w:rPr>
        <w:t xml:space="preserve">Moyens : </w:t>
      </w:r>
      <w:r>
        <w:rPr>
          <w:rFonts w:ascii="Calibri" w:hAnsi="Calibri"/>
        </w:rPr>
        <w:t>besoins financiers quasi nuls au démarrage. L’activité, purement intellectuelle, ne requiert ni local (exercice à domicile / chez les clients), ni recrutement, ni stock ; le matériel informatique est déjà détenu et le site web réalisé en propre. Le projet est intégralement auto-finançable sans besoin de financement externe.</w:t>
      </w:r>
    </w:p>
    <w:p>
      <w:pPr>
        <w:pStyle w:val="Normal"/>
        <w:spacing w:before="0" w:after="120"/>
        <w:jc w:val="both"/>
        <w:rPr>
          <w:rFonts w:ascii="Calibri" w:hAnsi="Calibri"/>
        </w:rPr>
      </w:pPr>
      <w:r>
        <w:rPr>
          <w:rFonts w:ascii="Calibri" w:hAnsi="Calibri"/>
          <w:b/>
          <w:bCs/>
        </w:rPr>
        <w:t xml:space="preserve">Statut : </w:t>
      </w:r>
      <w:r>
        <w:rPr>
          <w:rFonts w:ascii="Calibri" w:hAnsi="Calibri"/>
        </w:rPr>
        <w:t>démarrage en entreprise individuelle au régime micro-BNC pour la simplicité, avec bascule programmée en société (EURL ou SASU) dès l'approche des plafonds du régime micro, prévue au prévisionnel dès la première année en scénario médian.</w:t>
      </w:r>
    </w:p>
    <w:p>
      <w:pPr>
        <w:pStyle w:val="Normal"/>
        <w:spacing w:before="0" w:after="120"/>
        <w:jc w:val="both"/>
        <w:rPr>
          <w:rFonts w:ascii="Calibri" w:hAnsi="Calibri"/>
        </w:rPr>
      </w:pPr>
      <w:r>
        <w:rPr>
          <w:rFonts w:ascii="Calibri" w:hAnsi="Calibri"/>
          <w:b/>
          <w:bCs/>
        </w:rPr>
        <w:t xml:space="preserve">Calendrier : </w:t>
      </w:r>
      <w:r>
        <w:rPr>
          <w:rFonts w:ascii="Calibri" w:hAnsi="Calibri"/>
        </w:rPr>
        <w:t>accompagnement CEP à partir du 29 juin 2026 (APEC Montpellier), dépôt du dossier CPIR visé dès l’été 2026. L’objectif est un démarrage commercial le plus tôt possible : dès octobre 2026 dans le scénario optimiste, début 2027 dans le scénario prudent.</w:t>
      </w:r>
    </w:p>
    <w:p>
      <w:pPr>
        <w:pStyle w:val="Normal"/>
        <w:rPr>
          <w:rFonts w:ascii="Calibri" w:hAnsi="Calibri"/>
        </w:rPr>
      </w:pPr>
      <w:r>
        <w:rPr>
          <w:rFonts w:ascii="Calibri" w:hAnsi="Calibri"/>
        </w:rPr>
      </w:r>
      <w:r>
        <w:br w:type="page"/>
      </w:r>
    </w:p>
    <w:p>
      <w:pPr>
        <w:pStyle w:val="Heading1"/>
        <w:spacing w:before="0" w:after="200"/>
        <w:rPr>
          <w:rFonts w:ascii="Calibri" w:hAnsi="Calibri"/>
        </w:rPr>
      </w:pPr>
      <w:r>
        <w:rPr>
          <w:rFonts w:ascii="Calibri" w:hAnsi="Calibri"/>
        </w:rPr>
        <w:t>2. Mon parcours et ma légitimité</w:t>
      </w:r>
    </w:p>
    <w:p>
      <w:pPr>
        <w:pStyle w:val="Heading2"/>
        <w:rPr>
          <w:rFonts w:ascii="Calibri" w:hAnsi="Calibri"/>
        </w:rPr>
      </w:pPr>
      <w:r>
        <w:rPr>
          <w:rFonts w:ascii="Calibri" w:hAnsi="Calibri"/>
        </w:rPr>
        <w:t>2.1 Une double séniorité rare : ingénierie IA et architecture logicielle</w:t>
      </w:r>
    </w:p>
    <w:p>
      <w:pPr>
        <w:pStyle w:val="Normal"/>
        <w:spacing w:before="0" w:after="120"/>
        <w:jc w:val="both"/>
        <w:rPr>
          <w:rFonts w:ascii="Calibri" w:hAnsi="Calibri"/>
        </w:rPr>
      </w:pPr>
      <w:r>
        <w:rPr>
          <w:rFonts w:ascii="Calibri" w:hAnsi="Calibri"/>
        </w:rPr>
        <w:t>Je m'appuie sur un parcours de plus de 25 ans dans le développement logiciel, dont les deux dernières années entièrement consacrées à l'ingénierie de systèmes d'IA générative en production.</w:t>
      </w:r>
    </w:p>
    <w:p>
      <w:pPr>
        <w:pStyle w:val="Normal"/>
        <w:spacing w:before="0" w:after="120"/>
        <w:jc w:val="both"/>
        <w:rPr>
          <w:rFonts w:ascii="Calibri" w:hAnsi="Calibri"/>
        </w:rPr>
      </w:pPr>
      <w:r>
        <w:rPr>
          <w:rFonts w:ascii="Calibri" w:hAnsi="Calibri"/>
          <w:b/>
          <w:bCs/>
        </w:rPr>
        <w:t xml:space="preserve">Lead AI Engineer chez Studi (mars 2024 - aujourd'hui). </w:t>
      </w:r>
      <w:r>
        <w:rPr>
          <w:rFonts w:ascii="Calibri" w:hAnsi="Calibri"/>
        </w:rPr>
        <w:t>Je conçois et développe de bout en bout des chatbots et callbots pédagogiques fondés sur les LLM : pipelines RAG complets (ingestion, chunking, embeddings, recherche hybride, reranking, HyDE), architectures multi-agents (LangGraph, Google ADK, MCP), frameworks d'évaluation LLM-as-a-judge (Langfuse, RAGAs). Ces systèmes sont en production et servent quotidiennement les apprenants d'un des principaux organismes de formation en ligne français. Cette expérience couvre précisément les compétences les plus demandées du marché : LLM, RAG, agents, évaluation, automatisation.</w:t>
      </w:r>
    </w:p>
    <w:p>
      <w:pPr>
        <w:pStyle w:val="Normal"/>
        <w:spacing w:before="0" w:after="120"/>
        <w:jc w:val="both"/>
        <w:rPr>
          <w:rFonts w:ascii="Calibri" w:hAnsi="Calibri"/>
        </w:rPr>
      </w:pPr>
      <w:r>
        <w:rPr>
          <w:rFonts w:ascii="Calibri" w:hAnsi="Calibri"/>
          <w:b/>
          <w:bCs/>
        </w:rPr>
        <w:t xml:space="preserve">Lead développeur fullstack chez Studi (2020-2024). </w:t>
      </w:r>
      <w:r>
        <w:rPr>
          <w:rFonts w:ascii="Calibri" w:hAnsi="Calibri"/>
        </w:rPr>
        <w:t>J'ai assuré la direction technique d'une solution e-learning (C#/.NET, Angular, DDD, CQRS), ce qui me donne une maîtrise de l'architecture logicielle d'entreprise, des tests et de l'industrialisation - un différenciateur clé face aux profils IA récents sans culture du logiciel de production.</w:t>
      </w:r>
    </w:p>
    <w:p>
      <w:pPr>
        <w:pStyle w:val="Normal"/>
        <w:spacing w:before="0" w:after="120"/>
        <w:jc w:val="both"/>
        <w:rPr>
          <w:rFonts w:ascii="Calibri" w:hAnsi="Calibri"/>
        </w:rPr>
      </w:pPr>
      <w:r>
        <w:rPr>
          <w:rFonts w:ascii="Calibri" w:hAnsi="Calibri"/>
          <w:b/>
          <w:bCs/>
        </w:rPr>
        <w:t xml:space="preserve">Parcours antérieur. </w:t>
      </w:r>
      <w:r>
        <w:rPr>
          <w:rFonts w:ascii="Calibri" w:hAnsi="Calibri"/>
        </w:rPr>
        <w:t>J'ai été lead tech. et Scrum Master chez Schneider Electric, j'ai développé des solutions de trading algorithmique intégrant du machine learning (TensorFlow, reconnaissance de patterns) et mené des missions de conseil en régie multi-clients, avec une stack DevOps complète (Docker, CI/CD, GCP, Azure).</w:t>
      </w:r>
    </w:p>
    <w:p>
      <w:pPr>
        <w:pStyle w:val="Heading2"/>
        <w:rPr>
          <w:rFonts w:ascii="Calibri" w:hAnsi="Calibri"/>
        </w:rPr>
      </w:pPr>
      <w:r>
        <w:rPr>
          <w:rFonts w:ascii="Calibri" w:hAnsi="Calibri"/>
        </w:rPr>
        <w:t>2.2 Une expérience entrepreneuriale déjà acquise</w:t>
      </w:r>
    </w:p>
    <w:p>
      <w:pPr>
        <w:pStyle w:val="Normal"/>
        <w:spacing w:before="0" w:after="120"/>
        <w:jc w:val="both"/>
        <w:rPr>
          <w:rFonts w:ascii="Calibri" w:hAnsi="Calibri"/>
        </w:rPr>
      </w:pPr>
      <w:r>
        <w:rPr>
          <w:rFonts w:ascii="Calibri" w:hAnsi="Calibri"/>
        </w:rPr>
        <w:t xml:space="preserve">Élément déterminant pour la solidité du projet : j'ai </w:t>
      </w:r>
      <w:r>
        <w:rPr>
          <w:rFonts w:ascii="Calibri" w:hAnsi="Calibri"/>
          <w:b/>
          <w:bCs/>
        </w:rPr>
        <w:t>géré la SARL Kalisys pendant plus de 16 ans (2004-2020)</w:t>
      </w:r>
      <w:r>
        <w:rPr>
          <w:rFonts w:ascii="Calibri" w:hAnsi="Calibri"/>
        </w:rPr>
        <w:t>, où j'ai assuré la gérance, le management, la relation client, la maîtrise d'œuvre et le développement commercial. Créer et gérer une structure indépendante n'est donc pas pour moi une découverte, mais un retour à un mode d'exercice que j'ai pratiqué avec succès pendant une décennie et demie, enrichi depuis par six années de salariat à forte valeur technique.</w:t>
      </w:r>
    </w:p>
    <w:p>
      <w:pPr>
        <w:pStyle w:val="Heading2"/>
        <w:rPr>
          <w:rFonts w:ascii="Calibri" w:hAnsi="Calibri"/>
        </w:rPr>
      </w:pPr>
      <w:r>
        <w:rPr>
          <w:rFonts w:ascii="Calibri" w:hAnsi="Calibri"/>
        </w:rPr>
        <w:t>2.3 Adéquation personne / projet</w:t>
      </w:r>
    </w:p>
    <w:p>
      <w:pPr>
        <w:pStyle w:val="ListParagraph"/>
        <w:numPr>
          <w:ilvl w:val="0"/>
          <w:numId w:val="5"/>
        </w:numPr>
        <w:spacing w:before="0" w:after="60"/>
        <w:rPr>
          <w:rFonts w:ascii="Calibri" w:hAnsi="Calibri"/>
        </w:rPr>
      </w:pPr>
      <w:r>
        <w:rPr>
          <w:rFonts w:ascii="Calibri" w:hAnsi="Calibri"/>
          <w:b/>
          <w:bCs/>
        </w:rPr>
        <w:t xml:space="preserve">Compétences techniques : </w:t>
      </w:r>
      <w:r>
        <w:rPr>
          <w:rFonts w:ascii="Calibri" w:hAnsi="Calibri"/>
        </w:rPr>
        <w:t>couverture exacte du périmètre de l'offre (LLM, RAG, agents, évaluations, Python, architecture, DevOps).</w:t>
      </w:r>
    </w:p>
    <w:p>
      <w:pPr>
        <w:pStyle w:val="ListParagraph"/>
        <w:numPr>
          <w:ilvl w:val="0"/>
          <w:numId w:val="3"/>
        </w:numPr>
        <w:spacing w:before="0" w:after="60"/>
        <w:rPr>
          <w:rFonts w:ascii="Calibri" w:hAnsi="Calibri"/>
        </w:rPr>
      </w:pPr>
      <w:r>
        <w:rPr>
          <w:rFonts w:ascii="Calibri" w:hAnsi="Calibri"/>
          <w:b/>
          <w:bCs/>
        </w:rPr>
        <w:t xml:space="preserve">Compétences entrepreneuriales : </w:t>
      </w:r>
      <w:r>
        <w:rPr>
          <w:rFonts w:ascii="Calibri" w:hAnsi="Calibri"/>
        </w:rPr>
        <w:t>gérance, relation client, gestion administrative et commerciale déjà pratiquées (Kalisys).</w:t>
      </w:r>
    </w:p>
    <w:p>
      <w:pPr>
        <w:pStyle w:val="ListParagraph"/>
        <w:numPr>
          <w:ilvl w:val="0"/>
          <w:numId w:val="3"/>
        </w:numPr>
        <w:spacing w:before="0" w:after="60"/>
        <w:rPr>
          <w:rFonts w:ascii="Calibri" w:hAnsi="Calibri"/>
        </w:rPr>
      </w:pPr>
      <w:r>
        <w:rPr>
          <w:rFonts w:ascii="Calibri" w:hAnsi="Calibri"/>
          <w:b/>
          <w:bCs/>
        </w:rPr>
        <w:t xml:space="preserve">Compétences pédagogiques : </w:t>
      </w:r>
      <w:r>
        <w:rPr>
          <w:rFonts w:ascii="Calibri" w:hAnsi="Calibri"/>
        </w:rPr>
        <w:t>contexte EdTech (Studi), pratique du lead technique, de la formation et de la montée en compétence d'équipes.</w:t>
      </w:r>
    </w:p>
    <w:p>
      <w:pPr>
        <w:pStyle w:val="ListParagraph"/>
        <w:numPr>
          <w:ilvl w:val="0"/>
          <w:numId w:val="3"/>
        </w:numPr>
        <w:spacing w:before="0" w:after="60"/>
        <w:rPr>
          <w:rFonts w:ascii="Calibri" w:hAnsi="Calibri"/>
        </w:rPr>
      </w:pPr>
      <w:r>
        <w:rPr>
          <w:rFonts w:ascii="Calibri" w:hAnsi="Calibri"/>
          <w:b/>
          <w:bCs/>
        </w:rPr>
        <w:t xml:space="preserve">Capacité financière : </w:t>
      </w:r>
      <w:r>
        <w:rPr>
          <w:rFonts w:ascii="Calibri" w:hAnsi="Calibri"/>
        </w:rPr>
        <w:t>besoins de démarrage quasi nuls (activité intellectuelle, sans local ni stock) et filet de sécurité ARE le temps de la montée en charge.</w:t>
      </w:r>
    </w:p>
    <w:p>
      <w:pPr>
        <w:pStyle w:val="ListParagraph"/>
        <w:numPr>
          <w:ilvl w:val="0"/>
          <w:numId w:val="3"/>
        </w:numPr>
        <w:spacing w:before="0" w:after="60"/>
        <w:rPr>
          <w:rFonts w:ascii="Calibri" w:hAnsi="Calibri"/>
        </w:rPr>
      </w:pPr>
      <w:r>
        <w:rPr>
          <w:rFonts w:ascii="Calibri" w:hAnsi="Calibri"/>
          <w:b/>
          <w:bCs/>
        </w:rPr>
        <w:t xml:space="preserve">Anglais courant : </w:t>
      </w:r>
      <w:r>
        <w:rPr>
          <w:rFonts w:ascii="Calibri" w:hAnsi="Calibri"/>
        </w:rPr>
        <w:t>accès aux clients et écosystèmes internationaux, documentation et veille technologique.</w:t>
      </w:r>
    </w:p>
    <w:p>
      <w:pPr>
        <w:pStyle w:val="ListParagraph"/>
        <w:spacing w:before="0" w:after="60"/>
        <w:rPr>
          <w:rFonts w:ascii="Calibri" w:hAnsi="Calibri"/>
        </w:rPr>
      </w:pPr>
      <w:r>
        <w:rPr>
          <w:rFonts w:ascii="Calibri" w:hAnsi="Calibri"/>
        </w:rPr>
      </w:r>
    </w:p>
    <w:p>
      <w:pPr>
        <w:pStyle w:val="Heading2"/>
        <w:rPr>
          <w:rFonts w:ascii="Calibri" w:hAnsi="Calibri"/>
        </w:rPr>
      </w:pPr>
      <w:r>
        <w:rPr>
          <w:rFonts w:ascii="Calibri" w:hAnsi="Calibri"/>
        </w:rPr>
        <w:t xml:space="preserve">2.4 Éligibilité au dispositif démissionnaire </w:t>
      </w:r>
    </w:p>
    <w:p>
      <w:pPr>
        <w:pStyle w:val="BodyText"/>
        <w:spacing w:before="0" w:after="60"/>
        <w:rPr>
          <w:rFonts w:ascii="Calibri" w:hAnsi="Calibri"/>
        </w:rPr>
      </w:pPr>
      <w:r>
        <w:rPr>
          <w:rFonts w:ascii="Calibri" w:hAnsi="Calibri"/>
        </w:rPr>
        <w:t>Je remplis les conditions d'accès au dispositif de démission pour projet de création d'entreprise :</w:t>
      </w:r>
    </w:p>
    <w:p>
      <w:pPr>
        <w:pStyle w:val="BodyText"/>
        <w:numPr>
          <w:ilvl w:val="0"/>
          <w:numId w:val="2"/>
        </w:numPr>
        <w:tabs>
          <w:tab w:val="clear" w:pos="720"/>
          <w:tab w:val="left" w:pos="0" w:leader="none"/>
        </w:tabs>
        <w:spacing w:before="0" w:after="0"/>
        <w:ind w:hanging="283" w:start="709"/>
        <w:rPr>
          <w:rFonts w:ascii="Calibri" w:hAnsi="Calibri"/>
        </w:rPr>
      </w:pPr>
      <w:r>
        <w:rPr>
          <w:rStyle w:val="Strong"/>
          <w:rFonts w:ascii="Calibri" w:hAnsi="Calibri"/>
        </w:rPr>
        <w:t>Statut</w:t>
      </w:r>
      <w:r>
        <w:rPr>
          <w:rFonts w:ascii="Calibri" w:hAnsi="Calibri"/>
        </w:rPr>
        <w:t xml:space="preserve"> : salarié en contrat à durée indéterminée (CDI) dans le secteur privé. </w:t>
      </w:r>
    </w:p>
    <w:p>
      <w:pPr>
        <w:pStyle w:val="BodyText"/>
        <w:numPr>
          <w:ilvl w:val="0"/>
          <w:numId w:val="2"/>
        </w:numPr>
        <w:tabs>
          <w:tab w:val="clear" w:pos="720"/>
          <w:tab w:val="left" w:pos="0" w:leader="none"/>
        </w:tabs>
        <w:spacing w:before="0" w:after="0"/>
        <w:ind w:hanging="283" w:start="709"/>
        <w:rPr>
          <w:rFonts w:ascii="Calibri" w:hAnsi="Calibri"/>
        </w:rPr>
      </w:pPr>
      <w:r>
        <w:rPr>
          <w:rStyle w:val="Strong"/>
          <w:rFonts w:ascii="Calibri" w:hAnsi="Calibri"/>
        </w:rPr>
        <w:t>Ancienneté</w:t>
      </w:r>
      <w:r>
        <w:rPr>
          <w:rFonts w:ascii="Calibri" w:hAnsi="Calibri"/>
        </w:rPr>
        <w:t xml:space="preserve"> : en activité salariée continue chez Studi depuis mars 2020, soit plus de six ans de CDI ininterrompu à la date prévue de démission — bien au-delà de la condition d'affiliation de 1 300 jours travaillés (environ 5 ans) sur les 60 derniers mois exigée par le dispositif. </w:t>
      </w:r>
    </w:p>
    <w:p>
      <w:pPr>
        <w:pStyle w:val="BodyText"/>
        <w:numPr>
          <w:ilvl w:val="0"/>
          <w:numId w:val="2"/>
        </w:numPr>
        <w:tabs>
          <w:tab w:val="clear" w:pos="720"/>
          <w:tab w:val="left" w:pos="0" w:leader="none"/>
        </w:tabs>
        <w:ind w:hanging="283" w:start="709"/>
        <w:rPr>
          <w:rFonts w:ascii="Calibri" w:hAnsi="Calibri"/>
        </w:rPr>
      </w:pPr>
      <w:r>
        <w:rPr>
          <w:rStyle w:val="Strong"/>
          <w:rFonts w:ascii="Calibri" w:hAnsi="Calibri"/>
        </w:rPr>
        <w:t>Parcours du projet</w:t>
      </w:r>
      <w:r>
        <w:rPr>
          <w:rFonts w:ascii="Calibri" w:hAnsi="Calibri"/>
        </w:rPr>
        <w:t xml:space="preserve"> : accompagnement par un opérateur de Conseil en Évolution Professionnelle (APEC) engagé, en vue de la validation du caractère réel et sérieux du projet par la Commission Paritaire Interprofessionnelle Régionale (CPIR / Transitions Pro Occitanie). </w:t>
      </w:r>
    </w:p>
    <w:p>
      <w:pPr>
        <w:pStyle w:val="BodyText"/>
        <w:spacing w:before="0" w:after="60"/>
        <w:rPr>
          <w:rFonts w:ascii="Calibri" w:hAnsi="Calibri"/>
        </w:rPr>
      </w:pPr>
      <w:r>
        <w:rPr>
          <w:rFonts w:ascii="Calibri" w:hAnsi="Calibri"/>
        </w:rPr>
        <w:t>Le respect de la condition d'activité antérieure sera attesté par France Travail préalablement à la demande.</w:t>
      </w:r>
    </w:p>
    <w:p>
      <w:pPr>
        <w:pStyle w:val="ListParagraph"/>
        <w:spacing w:before="0" w:after="60"/>
        <w:rPr>
          <w:rFonts w:ascii="Calibri" w:hAnsi="Calibri"/>
        </w:rPr>
      </w:pPr>
      <w:r>
        <w:rPr>
          <w:rFonts w:ascii="Calibri" w:hAnsi="Calibri"/>
        </w:rPr>
      </w:r>
    </w:p>
    <w:p>
      <w:pPr>
        <w:pStyle w:val="Heading1"/>
        <w:spacing w:before="0" w:after="200"/>
        <w:rPr>
          <w:rFonts w:ascii="Calibri" w:hAnsi="Calibri"/>
        </w:rPr>
      </w:pPr>
      <w:r>
        <w:rPr>
          <w:rFonts w:ascii="Calibri" w:hAnsi="Calibri"/>
        </w:rPr>
        <w:t>3. Le projet : offre de services</w:t>
      </w:r>
    </w:p>
    <w:p>
      <w:pPr>
        <w:pStyle w:val="Normal"/>
        <w:spacing w:before="0" w:after="120"/>
        <w:jc w:val="both"/>
        <w:rPr>
          <w:rFonts w:ascii="Calibri" w:hAnsi="Calibri"/>
        </w:rPr>
      </w:pPr>
      <w:r>
        <w:rPr>
          <w:rFonts w:ascii="Calibri" w:hAnsi="Calibri"/>
        </w:rPr>
        <w:t>L'activité propose trois prestations complémentaires, qui couvrent l'ensemble du cycle d'adoption de l'IA générative par une entreprise - du cadrage stratégique à l'autonomie des équipes. Cette complémentarité crée un effet d'entraînement commercial : une mission de conseil débouche naturellement sur de l'exécution, qui débouche sur de la formation, et réciproquement.</w:t>
      </w:r>
    </w:p>
    <w:p>
      <w:pPr>
        <w:pStyle w:val="Heading2"/>
        <w:rPr>
          <w:rFonts w:ascii="Calibri" w:hAnsi="Calibri"/>
        </w:rPr>
      </w:pPr>
      <w:r>
        <w:rPr>
          <w:rFonts w:ascii="Calibri" w:hAnsi="Calibri"/>
        </w:rPr>
        <w:t>3.1 Prestation n° 1 - Conseil en intégration de l'IA</w:t>
      </w:r>
    </w:p>
    <w:p>
      <w:pPr>
        <w:pStyle w:val="Normal"/>
        <w:spacing w:before="0" w:after="120"/>
        <w:jc w:val="both"/>
        <w:rPr>
          <w:rFonts w:ascii="Calibri" w:hAnsi="Calibri"/>
        </w:rPr>
      </w:pPr>
      <w:r>
        <w:rPr>
          <w:rFonts w:ascii="Calibri" w:hAnsi="Calibri"/>
        </w:rPr>
        <w:t>Aider les entreprises à intégrer l’IA dans leurs process - qu’ils soient organisationnels (métiers, support, relation client) ou de développement logiciel (cycle de delivery, qualité, outillage des équipes). Cœur de la prestation : identifier les cas d’usage à forte valeur et cadrer leur mise en œuvre, en accompagnant directions générales, DSI et directions métiers :</w:t>
      </w:r>
    </w:p>
    <w:p>
      <w:pPr>
        <w:pStyle w:val="ListParagraph"/>
        <w:numPr>
          <w:ilvl w:val="0"/>
          <w:numId w:val="3"/>
        </w:numPr>
        <w:spacing w:before="0" w:after="60"/>
        <w:rPr>
          <w:rFonts w:ascii="Calibri" w:hAnsi="Calibri"/>
        </w:rPr>
      </w:pPr>
      <w:r>
        <w:rPr>
          <w:rFonts w:ascii="Calibri" w:hAnsi="Calibri"/>
        </w:rPr>
        <w:t>Audit des processus et identification des « pain points » adaptés à une résolution par l'IA (automatisation, assistance, génération, recherche d'information).</w:t>
      </w:r>
    </w:p>
    <w:p>
      <w:pPr>
        <w:pStyle w:val="ListParagraph"/>
        <w:numPr>
          <w:ilvl w:val="0"/>
          <w:numId w:val="3"/>
        </w:numPr>
        <w:spacing w:before="0" w:after="60"/>
        <w:rPr>
          <w:rFonts w:ascii="Calibri" w:hAnsi="Calibri"/>
        </w:rPr>
      </w:pPr>
      <w:r>
        <w:rPr>
          <w:rFonts w:ascii="Calibri" w:hAnsi="Calibri"/>
        </w:rPr>
        <w:t>Étude d'opportunité et de faisabilité : choix build/buy, sélection de modèles et d'architectures (RAG, agents, fine-tuning), estimation des coûts et du ROI.</w:t>
      </w:r>
    </w:p>
    <w:p>
      <w:pPr>
        <w:pStyle w:val="ListParagraph"/>
        <w:numPr>
          <w:ilvl w:val="0"/>
          <w:numId w:val="3"/>
        </w:numPr>
        <w:spacing w:before="0" w:after="60"/>
        <w:rPr>
          <w:rFonts w:ascii="Calibri" w:hAnsi="Calibri"/>
        </w:rPr>
      </w:pPr>
      <w:r>
        <w:rPr>
          <w:rFonts w:ascii="Calibri" w:hAnsi="Calibri"/>
        </w:rPr>
        <w:t>Intégration de l’IA dans les process : optimisation des flux organisationnels et métiers d’une part, modernisation du cycle de développement logiciel d’autre part (assistance au cadrage produit, qualité, outillage IA des équipes - en lien avec la prestation d’exécution).</w:t>
      </w:r>
    </w:p>
    <w:p>
      <w:pPr>
        <w:pStyle w:val="ListParagraph"/>
        <w:numPr>
          <w:ilvl w:val="0"/>
          <w:numId w:val="3"/>
        </w:numPr>
        <w:spacing w:before="0" w:after="60"/>
        <w:rPr>
          <w:rFonts w:ascii="Calibri" w:hAnsi="Calibri"/>
        </w:rPr>
      </w:pPr>
      <w:r>
        <w:rPr>
          <w:rFonts w:ascii="Calibri" w:hAnsi="Calibri"/>
          <w:b/>
          <w:bCs/>
        </w:rPr>
        <w:t xml:space="preserve">Conformité réglementaire : </w:t>
      </w:r>
      <w:r>
        <w:rPr>
          <w:rFonts w:ascii="Calibri" w:hAnsi="Calibri"/>
        </w:rPr>
        <w:t>analyse RGPD des traitements impliquant des LLM (données personnelles dans les prompts, sous-traitance, transferts), classification des systèmes selon l'AI Act européen (pratiques interdites, systèmes à haut risque, obligations de transparence), mise en conformité avec l'obligation de maîtrise de l'IA (« AI literacy », article 4). L'entrée en application progressive de l'AI Act (2025-2027) crée une demande de conseil immédiate et durable.</w:t>
      </w:r>
    </w:p>
    <w:p>
      <w:pPr>
        <w:pStyle w:val="ListParagraph"/>
        <w:numPr>
          <w:ilvl w:val="0"/>
          <w:numId w:val="3"/>
        </w:numPr>
        <w:spacing w:before="0" w:after="60"/>
        <w:rPr>
          <w:rFonts w:ascii="Calibri" w:hAnsi="Calibri"/>
        </w:rPr>
      </w:pPr>
      <w:r>
        <w:rPr>
          <w:rFonts w:ascii="Calibri" w:hAnsi="Calibri"/>
        </w:rPr>
        <w:t>Feuille de route d'intégration, gouvernance des données et stratégie d'évaluation de la qualité des systèmes IA.</w:t>
      </w:r>
    </w:p>
    <w:p>
      <w:pPr>
        <w:pStyle w:val="Heading2"/>
        <w:rPr>
          <w:rFonts w:ascii="Calibri" w:hAnsi="Calibri"/>
        </w:rPr>
      </w:pPr>
      <w:r>
        <w:rPr>
          <w:rFonts w:ascii="Calibri" w:hAnsi="Calibri"/>
        </w:rPr>
        <w:t>3.2 Prestation n° 2 - Missions d'exécution : AI Engineer / Forward Deployed Engineer</w:t>
      </w:r>
    </w:p>
    <w:p>
      <w:pPr>
        <w:pStyle w:val="Normal"/>
        <w:spacing w:before="0" w:after="120"/>
        <w:jc w:val="both"/>
        <w:rPr>
          <w:rFonts w:ascii="Calibri" w:hAnsi="Calibri"/>
        </w:rPr>
      </w:pPr>
      <w:r>
        <w:rPr>
          <w:rFonts w:ascii="Calibri" w:hAnsi="Calibri"/>
        </w:rPr>
        <w:t>Réalisation technique des projets d'IA générative, en autonomie complète ou en renfort d'équipes existantes. Ces missions recouvrent deux natures complémentaires : l’intégration de l’IA au sein du produit lui-même, et l’introduction d’outils d’IA dans la chaîne de développement (le processus de build).</w:t>
      </w:r>
    </w:p>
    <w:p>
      <w:pPr>
        <w:pStyle w:val="Normal"/>
        <w:spacing w:before="120" w:after="80"/>
        <w:rPr>
          <w:rFonts w:ascii="Calibri" w:hAnsi="Calibri"/>
        </w:rPr>
      </w:pPr>
      <w:r>
        <w:rPr>
          <w:rFonts w:ascii="Calibri" w:hAnsi="Calibri"/>
          <w:b/>
          <w:bCs/>
        </w:rPr>
        <w:t>A. L’IA intégrée au produit (rôle classique d’AI Engineer / FDE)</w:t>
      </w:r>
    </w:p>
    <w:p>
      <w:pPr>
        <w:pStyle w:val="ListParagraph"/>
        <w:numPr>
          <w:ilvl w:val="0"/>
          <w:numId w:val="3"/>
        </w:numPr>
        <w:spacing w:before="0" w:after="60"/>
        <w:rPr>
          <w:rFonts w:ascii="Calibri" w:hAnsi="Calibri"/>
        </w:rPr>
      </w:pPr>
      <w:r>
        <w:rPr>
          <w:rFonts w:ascii="Calibri" w:hAnsi="Calibri"/>
        </w:rPr>
        <w:t>Développement d'applications LLM de production : chatbots, assistants métiers, callbots, copilotes internes.</w:t>
      </w:r>
    </w:p>
    <w:p>
      <w:pPr>
        <w:pStyle w:val="ListParagraph"/>
        <w:numPr>
          <w:ilvl w:val="0"/>
          <w:numId w:val="3"/>
        </w:numPr>
        <w:spacing w:before="0" w:after="60"/>
        <w:rPr>
          <w:rFonts w:ascii="Calibri" w:hAnsi="Calibri"/>
        </w:rPr>
      </w:pPr>
      <w:r>
        <w:rPr>
          <w:rFonts w:ascii="Calibri" w:hAnsi="Calibri"/>
        </w:rPr>
        <w:t>Pipelines RAG industriels : ingestion documentaire, bases vectorielles, recherche hybride, reranking.</w:t>
      </w:r>
    </w:p>
    <w:p>
      <w:pPr>
        <w:pStyle w:val="ListParagraph"/>
        <w:numPr>
          <w:ilvl w:val="0"/>
          <w:numId w:val="3"/>
        </w:numPr>
        <w:spacing w:before="0" w:after="60"/>
        <w:rPr>
          <w:rFonts w:ascii="Calibri" w:hAnsi="Calibri"/>
        </w:rPr>
      </w:pPr>
      <w:r>
        <w:rPr>
          <w:rFonts w:ascii="Calibri" w:hAnsi="Calibri"/>
        </w:rPr>
        <w:t>Workflows d'agents et automatisation : orchestration multi-agents (LangGraph, Google ADK), outils et MCP, intégration aux SI existants.</w:t>
      </w:r>
    </w:p>
    <w:p>
      <w:pPr>
        <w:pStyle w:val="ListParagraph"/>
        <w:numPr>
          <w:ilvl w:val="0"/>
          <w:numId w:val="3"/>
        </w:numPr>
        <w:spacing w:before="0" w:after="60"/>
        <w:rPr>
          <w:rFonts w:ascii="Calibri" w:hAnsi="Calibri"/>
        </w:rPr>
      </w:pPr>
      <w:r>
        <w:rPr>
          <w:rFonts w:ascii="Calibri" w:hAnsi="Calibri"/>
        </w:rPr>
        <w:t>Frameworks d'évaluation : LLM-as-a-judge, datasets de test, observabilité (Langfuse, RAGAs) - condition de la fiabilité et de la conformité des systèmes.</w:t>
      </w:r>
    </w:p>
    <w:p>
      <w:pPr>
        <w:pStyle w:val="ListParagraph"/>
        <w:numPr>
          <w:ilvl w:val="0"/>
          <w:numId w:val="3"/>
        </w:numPr>
        <w:spacing w:before="0" w:after="60"/>
        <w:rPr>
          <w:rFonts w:ascii="Calibri" w:hAnsi="Calibri"/>
        </w:rPr>
      </w:pPr>
      <w:r>
        <w:rPr>
          <w:rFonts w:ascii="Calibri" w:hAnsi="Calibri"/>
        </w:rPr>
        <w:t>Posture « Forward Deployed Engineer » : immersion chez le client, du cadrage au déploiement, avec transfert de compétence systématique.</w:t>
      </w:r>
    </w:p>
    <w:p>
      <w:pPr>
        <w:pStyle w:val="Normal"/>
        <w:spacing w:before="120" w:after="80"/>
        <w:rPr>
          <w:rFonts w:ascii="Calibri" w:hAnsi="Calibri"/>
        </w:rPr>
      </w:pPr>
      <w:r>
        <w:rPr>
          <w:rFonts w:ascii="Calibri" w:hAnsi="Calibri"/>
          <w:b/>
          <w:bCs/>
        </w:rPr>
        <w:t>B. L’IA introduite dans la chaîne de développement (outillage du processus de build)</w:t>
      </w:r>
    </w:p>
    <w:p>
      <w:pPr>
        <w:pStyle w:val="Normal"/>
        <w:spacing w:before="0" w:after="120"/>
        <w:jc w:val="both"/>
        <w:rPr>
          <w:rFonts w:ascii="Calibri" w:hAnsi="Calibri"/>
        </w:rPr>
      </w:pPr>
      <w:r>
        <w:rPr>
          <w:rFonts w:ascii="Calibri" w:hAnsi="Calibri"/>
        </w:rPr>
        <w:t>Au-delà de l’IA embarquée dans le produit, l’activité accompagne les équipes dans l’injection d’IA générative au cœur même de leur processus de delivery, pour en accroître la vélocité et la qualité :</w:t>
      </w:r>
    </w:p>
    <w:p>
      <w:pPr>
        <w:pStyle w:val="ListParagraph"/>
        <w:numPr>
          <w:ilvl w:val="0"/>
          <w:numId w:val="3"/>
        </w:numPr>
        <w:spacing w:before="0" w:after="60"/>
        <w:rPr>
          <w:rFonts w:ascii="Calibri" w:hAnsi="Calibri"/>
        </w:rPr>
      </w:pPr>
      <w:r>
        <w:rPr>
          <w:rFonts w:ascii="Calibri" w:hAnsi="Calibri"/>
        </w:rPr>
        <w:t>Assistance aux Product Owners : aide à la rédaction des user stories et à la formalisation des critères d’acceptance (génération assistée, formats BDD / Gherkin).</w:t>
      </w:r>
    </w:p>
    <w:p>
      <w:pPr>
        <w:pStyle w:val="ListParagraph"/>
        <w:numPr>
          <w:ilvl w:val="0"/>
          <w:numId w:val="3"/>
        </w:numPr>
        <w:spacing w:before="0" w:after="60"/>
        <w:rPr>
          <w:rFonts w:ascii="Calibri" w:hAnsi="Calibri"/>
        </w:rPr>
      </w:pPr>
      <w:r>
        <w:rPr>
          <w:rFonts w:ascii="Calibri" w:hAnsi="Calibri"/>
        </w:rPr>
        <w:t>Agents de revue de code dans la CI/CD : vérification automatisée du respect des normes internes et des standards généraux de développement, détection des écarts en amont de la revue humaine.</w:t>
      </w:r>
    </w:p>
    <w:p>
      <w:pPr>
        <w:pStyle w:val="ListParagraph"/>
        <w:numPr>
          <w:ilvl w:val="0"/>
          <w:numId w:val="3"/>
        </w:numPr>
        <w:spacing w:before="0" w:after="60"/>
        <w:rPr>
          <w:rFonts w:ascii="Calibri" w:hAnsi="Calibri"/>
        </w:rPr>
      </w:pPr>
      <w:r>
        <w:rPr>
          <w:rFonts w:ascii="Calibri" w:hAnsi="Calibri"/>
        </w:rPr>
        <w:t>Intelligence du pipeline : automatisation IA d’étapes du cycle (documentation, génération de tests, synthèse de tickets, aide au triage), au service de la productivité et de la conformité aux pratiques de l’équipe.</w:t>
      </w:r>
    </w:p>
    <w:p>
      <w:pPr>
        <w:pStyle w:val="Heading2"/>
        <w:rPr>
          <w:rFonts w:ascii="Calibri" w:hAnsi="Calibri"/>
        </w:rPr>
      </w:pPr>
      <w:r>
        <w:rPr>
          <w:rFonts w:ascii="Calibri" w:hAnsi="Calibri"/>
        </w:rPr>
        <w:t>3.3 Prestation n° 3 - Formation et acculturation des équipes</w:t>
      </w:r>
    </w:p>
    <w:p>
      <w:pPr>
        <w:pStyle w:val="Normal"/>
        <w:spacing w:before="0" w:after="120"/>
        <w:jc w:val="both"/>
        <w:rPr>
          <w:rFonts w:ascii="Calibri" w:hAnsi="Calibri"/>
        </w:rPr>
      </w:pPr>
      <w:r>
        <w:rPr>
          <w:rFonts w:ascii="Calibri" w:hAnsi="Calibri"/>
        </w:rPr>
        <w:t>Former les équipes en place à l'IA moderne, pour ancrer l'autonomie du client :</w:t>
      </w:r>
    </w:p>
    <w:p>
      <w:pPr>
        <w:pStyle w:val="ListParagraph"/>
        <w:numPr>
          <w:ilvl w:val="0"/>
          <w:numId w:val="3"/>
        </w:numPr>
        <w:spacing w:before="0" w:after="60"/>
        <w:rPr>
          <w:rFonts w:ascii="Calibri" w:hAnsi="Calibri"/>
        </w:rPr>
      </w:pPr>
      <w:r>
        <w:rPr>
          <w:rFonts w:ascii="Calibri" w:hAnsi="Calibri"/>
        </w:rPr>
        <w:t>Équipes de développement : développement assisté par IA (Claude Code, Cursor), ingénierie LLM, RAG, agents, bonnes pratiques d'évaluation.</w:t>
      </w:r>
    </w:p>
    <w:p>
      <w:pPr>
        <w:pStyle w:val="ListParagraph"/>
        <w:numPr>
          <w:ilvl w:val="0"/>
          <w:numId w:val="3"/>
        </w:numPr>
        <w:spacing w:before="0" w:after="60"/>
        <w:rPr>
          <w:rFonts w:ascii="Calibri" w:hAnsi="Calibri"/>
        </w:rPr>
      </w:pPr>
      <w:r>
        <w:rPr>
          <w:rFonts w:ascii="Calibri" w:hAnsi="Calibri"/>
        </w:rPr>
        <w:t>Équipes Dev&amp;Ops : déploiement, observabilité et exploitation de systèmes IA.</w:t>
      </w:r>
    </w:p>
    <w:p>
      <w:pPr>
        <w:pStyle w:val="ListParagraph"/>
        <w:numPr>
          <w:ilvl w:val="0"/>
          <w:numId w:val="3"/>
        </w:numPr>
        <w:spacing w:before="0" w:after="60"/>
        <w:rPr>
          <w:rFonts w:ascii="Calibri" w:hAnsi="Calibri"/>
        </w:rPr>
      </w:pPr>
      <w:r>
        <w:rPr>
          <w:rFonts w:ascii="Calibri" w:hAnsi="Calibri"/>
        </w:rPr>
        <w:t>Équipes produit (PO, PM) : compréhension des capacités et limites des LLM, cadrage de produits IA, conformité (RGPD, AI Act) et acculturation réglementaire.</w:t>
      </w:r>
    </w:p>
    <w:p>
      <w:pPr>
        <w:pStyle w:val="Normal"/>
        <w:spacing w:before="0" w:after="120"/>
        <w:jc w:val="both"/>
        <w:rPr>
          <w:rFonts w:ascii="Calibri" w:hAnsi="Calibri"/>
        </w:rPr>
      </w:pPr>
      <w:r>
        <w:rPr>
          <w:rFonts w:ascii="Calibri" w:hAnsi="Calibri"/>
        </w:rPr>
        <w:t xml:space="preserve">À moyen terme, l'obtention de la </w:t>
      </w:r>
      <w:r>
        <w:rPr>
          <w:rFonts w:ascii="Calibri" w:hAnsi="Calibri"/>
          <w:b/>
          <w:bCs/>
        </w:rPr>
        <w:t>certification Qualiopi</w:t>
      </w:r>
      <w:r>
        <w:rPr>
          <w:rFonts w:ascii="Calibri" w:hAnsi="Calibri"/>
        </w:rPr>
        <w:t xml:space="preserve"> (avec déclaration d'activité de formation) ouvrira l'accès aux financements mutualisés (OPCO) des clients, levier commercial significatif sur ce segment.</w:t>
      </w:r>
    </w:p>
    <w:p>
      <w:pPr>
        <w:pStyle w:val="Heading1"/>
        <w:spacing w:before="0" w:after="200"/>
        <w:rPr>
          <w:rFonts w:ascii="Calibri" w:hAnsi="Calibri"/>
          <w:sz w:val="22"/>
          <w:szCs w:val="22"/>
        </w:rPr>
      </w:pPr>
      <w:r>
        <w:rPr>
          <w:rFonts w:ascii="Calibri" w:hAnsi="Calibri"/>
          <w:sz w:val="22"/>
          <w:szCs w:val="22"/>
        </w:rPr>
      </w:r>
    </w:p>
    <w:p>
      <w:pPr>
        <w:pStyle w:val="Heading1"/>
        <w:spacing w:before="0" w:after="200"/>
        <w:rPr>
          <w:rFonts w:ascii="Calibri" w:hAnsi="Calibri"/>
        </w:rPr>
      </w:pPr>
      <w:r>
        <w:rPr>
          <w:rFonts w:ascii="Calibri" w:hAnsi="Calibri"/>
        </w:rPr>
        <w:t>4. Étude de marché</w:t>
      </w:r>
    </w:p>
    <w:p>
      <w:pPr>
        <w:pStyle w:val="Heading2"/>
        <w:rPr>
          <w:rFonts w:ascii="Calibri" w:hAnsi="Calibri"/>
        </w:rPr>
      </w:pPr>
      <w:r>
        <w:rPr>
          <w:rFonts w:ascii="Calibri" w:hAnsi="Calibri"/>
        </w:rPr>
        <w:t>4.1 Une demande structurellement croissante</w:t>
      </w:r>
    </w:p>
    <w:p>
      <w:pPr>
        <w:pStyle w:val="Normal"/>
        <w:spacing w:before="0" w:after="120"/>
        <w:jc w:val="both"/>
        <w:rPr>
          <w:rFonts w:ascii="Calibri" w:hAnsi="Calibri"/>
        </w:rPr>
      </w:pPr>
      <w:r>
        <w:rPr>
          <w:rFonts w:ascii="Calibri" w:hAnsi="Calibri"/>
        </w:rPr>
        <w:t>Le marché de l'IA générative en entreprise connaît une croissance exceptionnelle. Les investissements européens en IA progressent à un rythme annuel d'environ 29 % sur la période 2023-2026 (environ 45,9 milliards d'euros), l'IA générative affichant pour sa part un taux de croissance annuel composé d'environ 73 %. Toutes les études de marché du freelancing IT convergent : les profils maîtrisant les LLM, le RAG et les agents sont les plus demandés et les mieux rémunérés du marché IT français en 2026, dans un contexte de pénurie durable de talents expérimentés.</w:t>
      </w:r>
    </w:p>
    <w:p>
      <w:pPr>
        <w:pStyle w:val="Normal"/>
        <w:spacing w:before="0" w:after="120"/>
        <w:jc w:val="both"/>
        <w:rPr>
          <w:rFonts w:ascii="Calibri" w:hAnsi="Calibri"/>
        </w:rPr>
      </w:pPr>
      <w:r>
        <w:rPr>
          <w:rFonts w:ascii="Calibri" w:hAnsi="Calibri"/>
        </w:rPr>
        <w:t>Trois moteurs soutiennent cette demande dans la durée :</w:t>
      </w:r>
    </w:p>
    <w:p>
      <w:pPr>
        <w:pStyle w:val="ListParagraph"/>
        <w:numPr>
          <w:ilvl w:val="0"/>
          <w:numId w:val="3"/>
        </w:numPr>
        <w:spacing w:before="0" w:after="60"/>
        <w:rPr>
          <w:rFonts w:ascii="Calibri" w:hAnsi="Calibri"/>
        </w:rPr>
      </w:pPr>
      <w:r>
        <w:rPr>
          <w:rFonts w:ascii="Calibri" w:hAnsi="Calibri"/>
          <w:b/>
          <w:bCs/>
        </w:rPr>
        <w:t xml:space="preserve">L'adoption opérationnelle : </w:t>
      </w:r>
      <w:r>
        <w:rPr>
          <w:rFonts w:ascii="Calibri" w:hAnsi="Calibri"/>
        </w:rPr>
        <w:t>après la phase d'expérimentation (2023-2024), les entreprises industrialisent ; elles ont besoin de profils capables de livrer des systèmes fiables, évalués et maintenables - exactement le positionnement du projet.</w:t>
      </w:r>
    </w:p>
    <w:p>
      <w:pPr>
        <w:pStyle w:val="ListParagraph"/>
        <w:numPr>
          <w:ilvl w:val="0"/>
          <w:numId w:val="3"/>
        </w:numPr>
        <w:spacing w:before="0" w:after="60"/>
        <w:rPr>
          <w:rFonts w:ascii="Calibri" w:hAnsi="Calibri"/>
        </w:rPr>
      </w:pPr>
      <w:r>
        <w:rPr>
          <w:rFonts w:ascii="Calibri" w:hAnsi="Calibri"/>
          <w:b/>
          <w:bCs/>
        </w:rPr>
        <w:t xml:space="preserve">La réglementation : </w:t>
      </w:r>
      <w:r>
        <w:rPr>
          <w:rFonts w:ascii="Calibri" w:hAnsi="Calibri"/>
        </w:rPr>
        <w:t>l'AI Act européen, d'application progressive jusqu'en 2027, impose classification des risques, transparence et formation des collaborateurs. Il crée mécaniquement une demande de conseil en conformité et de formation.</w:t>
      </w:r>
    </w:p>
    <w:p>
      <w:pPr>
        <w:pStyle w:val="ListParagraph"/>
        <w:numPr>
          <w:ilvl w:val="0"/>
          <w:numId w:val="3"/>
        </w:numPr>
        <w:spacing w:before="0" w:after="60"/>
        <w:rPr>
          <w:rFonts w:ascii="Calibri" w:hAnsi="Calibri"/>
        </w:rPr>
      </w:pPr>
      <w:r>
        <w:rPr>
          <w:rFonts w:ascii="Calibri" w:hAnsi="Calibri"/>
          <w:b/>
          <w:bCs/>
        </w:rPr>
        <w:t xml:space="preserve">La pénurie de séniorité : </w:t>
      </w:r>
      <w:r>
        <w:rPr>
          <w:rFonts w:ascii="Calibri" w:hAnsi="Calibri"/>
        </w:rPr>
        <w:t>le marché compte beaucoup de profils IA juniors mais peu de profils combinant ingénierie LLM de production et 20 ans d'architecture logicielle.</w:t>
      </w:r>
    </w:p>
    <w:p>
      <w:pPr>
        <w:pStyle w:val="Heading2"/>
        <w:rPr>
          <w:rFonts w:ascii="Calibri" w:hAnsi="Calibri"/>
        </w:rPr>
      </w:pPr>
      <w:r>
        <w:rPr>
          <w:rFonts w:ascii="Calibri" w:hAnsi="Calibri"/>
        </w:rPr>
        <w:t>4.2 Tarifs de marché et positionnement prix</w:t>
      </w:r>
    </w:p>
    <w:p>
      <w:pPr>
        <w:pStyle w:val="Normal"/>
        <w:spacing w:before="0" w:after="120"/>
        <w:jc w:val="both"/>
        <w:rPr>
          <w:rFonts w:ascii="Calibri" w:hAnsi="Calibri"/>
        </w:rPr>
      </w:pPr>
      <w:r>
        <w:rPr>
          <w:rFonts w:ascii="Calibri" w:hAnsi="Calibri"/>
        </w:rPr>
        <w:t>Les baromètres 2026 (Malt, Free-Work, LeHibou, Hays) situent le TJM des consultants IA confirmés entre 600 et 900 €/jour, la fourchette indicative des profils IA s'établissant entre 750 et 1 500 €/jour, avec des pointes au-delà pour l'expertise IA générative (LLM, RAG). Le développement du full-remote réduit l'écart tarifaire entre l'Île-de-France et les régions.</w:t>
      </w:r>
    </w:p>
    <w:tbl>
      <w:tblPr>
        <w:tblW w:w="9026" w:type="dxa"/>
        <w:jc w:val="start"/>
        <w:tblInd w:w="0" w:type="dxa"/>
        <w:tblLayout w:type="fixed"/>
        <w:tblCellMar>
          <w:top w:w="80" w:type="dxa"/>
          <w:start w:w="120" w:type="dxa"/>
          <w:bottom w:w="80" w:type="dxa"/>
          <w:end w:w="120" w:type="dxa"/>
        </w:tblCellMar>
      </w:tblPr>
      <w:tblGrid>
        <w:gridCol w:w="3198"/>
        <w:gridCol w:w="1500"/>
        <w:gridCol w:w="4328"/>
      </w:tblGrid>
      <w:tr>
        <w:trPr>
          <w:tblHeader w:val="true"/>
        </w:trPr>
        <w:tc>
          <w:tcPr>
            <w:tcW w:w="3198"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Prestation</w:t>
            </w:r>
          </w:p>
        </w:tc>
        <w:tc>
          <w:tcPr>
            <w:tcW w:w="1500"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TJM visé</w:t>
            </w:r>
          </w:p>
        </w:tc>
        <w:tc>
          <w:tcPr>
            <w:tcW w:w="4328"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Positionnement marché</w:t>
            </w:r>
          </w:p>
        </w:tc>
      </w:tr>
      <w:tr>
        <w:trPr/>
        <w:tc>
          <w:tcPr>
            <w:tcW w:w="3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Conseil en intégration IA (+ RGPD / AI Act)</w:t>
            </w:r>
          </w:p>
        </w:tc>
        <w:tc>
          <w:tcPr>
            <w:tcW w:w="15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1 200 € HT</w:t>
            </w:r>
          </w:p>
        </w:tc>
        <w:tc>
          <w:tcPr>
            <w:tcW w:w="43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Médian-haut du segment conseil IA, justifié par la double expertise technique/production</w:t>
            </w:r>
          </w:p>
        </w:tc>
      </w:tr>
      <w:tr>
        <w:trPr/>
        <w:tc>
          <w:tcPr>
            <w:tcW w:w="3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Exécution - AI Engineer / FDE</w:t>
            </w:r>
          </w:p>
        </w:tc>
        <w:tc>
          <w:tcPr>
            <w:tcW w:w="15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800 € HT</w:t>
            </w:r>
          </w:p>
        </w:tc>
        <w:tc>
          <w:tcPr>
            <w:tcW w:w="43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Médian du segment, volontairement compétitif pour l'amorçage</w:t>
            </w:r>
          </w:p>
        </w:tc>
      </w:tr>
      <w:tr>
        <w:trPr/>
        <w:tc>
          <w:tcPr>
            <w:tcW w:w="3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Formation d'équipes</w:t>
            </w:r>
          </w:p>
        </w:tc>
        <w:tc>
          <w:tcPr>
            <w:tcW w:w="15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1 100 € HT</w:t>
            </w:r>
          </w:p>
        </w:tc>
        <w:tc>
          <w:tcPr>
            <w:tcW w:w="43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Standard du marché de la formation technique spécialisée</w:t>
            </w:r>
          </w:p>
        </w:tc>
      </w:tr>
    </w:tbl>
    <w:p>
      <w:pPr>
        <w:pStyle w:val="Normal"/>
        <w:spacing w:before="0" w:after="120"/>
        <w:jc w:val="both"/>
        <w:rPr>
          <w:rFonts w:ascii="Calibri" w:hAnsi="Calibri"/>
        </w:rPr>
      </w:pPr>
      <w:r>
        <w:rPr>
          <w:rFonts w:ascii="Calibri" w:hAnsi="Calibri"/>
        </w:rPr>
      </w:r>
    </w:p>
    <w:p>
      <w:pPr>
        <w:pStyle w:val="Normal"/>
        <w:spacing w:before="0" w:after="120"/>
        <w:jc w:val="both"/>
        <w:rPr>
          <w:rFonts w:ascii="Calibri" w:hAnsi="Calibri"/>
        </w:rPr>
      </w:pPr>
      <w:r>
        <w:rPr>
          <w:rFonts w:ascii="Calibri" w:hAnsi="Calibri"/>
        </w:rPr>
        <w:t>Ce positionnement prudent (sous le haut de fourchette du marché) maximise le taux de transformation en phase de lancement tout en préservant la crédibilité d'un profil senior. Une revalorisation progressive est prévue à mesure de la constitution des références.</w:t>
      </w:r>
    </w:p>
    <w:p>
      <w:pPr>
        <w:pStyle w:val="Heading2"/>
        <w:rPr>
          <w:rFonts w:ascii="Calibri" w:hAnsi="Calibri"/>
        </w:rPr>
      </w:pPr>
      <w:r>
        <w:rPr>
          <w:rFonts w:ascii="Calibri" w:hAnsi="Calibri"/>
        </w:rPr>
        <w:t>4.3 Cibles</w:t>
      </w:r>
    </w:p>
    <w:p>
      <w:pPr>
        <w:pStyle w:val="ListParagraph"/>
        <w:numPr>
          <w:ilvl w:val="0"/>
          <w:numId w:val="3"/>
        </w:numPr>
        <w:spacing w:before="0" w:after="60"/>
        <w:rPr>
          <w:rFonts w:ascii="Calibri" w:hAnsi="Calibri"/>
        </w:rPr>
      </w:pPr>
      <w:r>
        <w:rPr>
          <w:rFonts w:ascii="Calibri" w:hAnsi="Calibri"/>
          <w:b/>
          <w:bCs/>
        </w:rPr>
        <w:t xml:space="preserve">PME et ETI </w:t>
      </w:r>
      <w:r>
        <w:rPr>
          <w:rFonts w:ascii="Calibri" w:hAnsi="Calibri"/>
        </w:rPr>
        <w:t>d'Occitanie et du Grand Est engagées dans leur transformation numérique : conseil, premiers cas d'usage, formation.</w:t>
      </w:r>
    </w:p>
    <w:p>
      <w:pPr>
        <w:pStyle w:val="ListParagraph"/>
        <w:numPr>
          <w:ilvl w:val="0"/>
          <w:numId w:val="3"/>
        </w:numPr>
        <w:spacing w:before="0" w:after="60"/>
        <w:rPr>
          <w:rFonts w:ascii="Calibri" w:hAnsi="Calibri"/>
        </w:rPr>
      </w:pPr>
      <w:r>
        <w:rPr>
          <w:rFonts w:ascii="Calibri" w:hAnsi="Calibri"/>
          <w:b/>
          <w:bCs/>
        </w:rPr>
        <w:t xml:space="preserve">ESN et cabinets de conseil : </w:t>
      </w:r>
      <w:r>
        <w:rPr>
          <w:rFonts w:ascii="Calibri" w:hAnsi="Calibri"/>
        </w:rPr>
        <w:t>sous-traitance de missions d'exécution - canal d'amorçage rapide grâce au réseau existant de dirigeants d'ESN.</w:t>
      </w:r>
    </w:p>
    <w:p>
      <w:pPr>
        <w:pStyle w:val="ListParagraph"/>
        <w:numPr>
          <w:ilvl w:val="0"/>
          <w:numId w:val="3"/>
        </w:numPr>
        <w:spacing w:before="0" w:after="60"/>
        <w:rPr>
          <w:rFonts w:ascii="Calibri" w:hAnsi="Calibri"/>
        </w:rPr>
      </w:pPr>
      <w:r>
        <w:rPr>
          <w:rFonts w:ascii="Calibri" w:hAnsi="Calibri"/>
          <w:b/>
          <w:bCs/>
        </w:rPr>
        <w:t xml:space="preserve">Grands comptes et scale-ups </w:t>
      </w:r>
      <w:r>
        <w:rPr>
          <w:rFonts w:ascii="Calibri" w:hAnsi="Calibri"/>
        </w:rPr>
        <w:t>(full-remote) : renfort d'équipes IA, frameworks d'évaluation, missions Forward Deployed.</w:t>
      </w:r>
    </w:p>
    <w:p>
      <w:pPr>
        <w:pStyle w:val="ListParagraph"/>
        <w:numPr>
          <w:ilvl w:val="0"/>
          <w:numId w:val="3"/>
        </w:numPr>
        <w:spacing w:before="0" w:after="60"/>
        <w:rPr>
          <w:rFonts w:ascii="Calibri" w:hAnsi="Calibri"/>
        </w:rPr>
      </w:pPr>
      <w:r>
        <w:rPr>
          <w:rFonts w:ascii="Calibri" w:hAnsi="Calibri"/>
          <w:b/>
          <w:bCs/>
        </w:rPr>
        <w:t xml:space="preserve">Organismes de formation et EdTech : </w:t>
      </w:r>
      <w:r>
        <w:rPr>
          <w:rFonts w:ascii="Calibri" w:hAnsi="Calibri"/>
        </w:rPr>
        <w:t>conception et animation de cursus IA - secteur connu de l'intérieur (Studi).</w:t>
      </w:r>
    </w:p>
    <w:p>
      <w:pPr>
        <w:pStyle w:val="Heading2"/>
        <w:rPr>
          <w:rFonts w:ascii="Calibri" w:hAnsi="Calibri"/>
        </w:rPr>
      </w:pPr>
      <w:r>
        <w:rPr>
          <w:rFonts w:ascii="Calibri" w:hAnsi="Calibri"/>
        </w:rPr>
        <w:t>4.4 Zone de chalandise : un double ancrage régional, une activité nativement remote</w:t>
      </w:r>
    </w:p>
    <w:p>
      <w:pPr>
        <w:pStyle w:val="Normal"/>
        <w:spacing w:before="0" w:after="120"/>
        <w:jc w:val="start"/>
        <w:rPr>
          <w:rFonts w:ascii="Calibri" w:hAnsi="Calibri"/>
        </w:rPr>
      </w:pPr>
      <w:r>
        <w:rPr>
          <w:rFonts w:ascii="Calibri" w:hAnsi="Calibri"/>
        </w:rPr>
        <w:t>Mon organisation distinguera deux modes d'intervention :</w:t>
        <w:br/>
        <w:t>Missions en présentiel ou hybrides : je cible prioritairement les bassins de Montpellier, Strasbourg et Paris — Montpellier au titre de mon implantation actuelle, Strasbourg dans le cadre de ma relocalisation prévue (ouvrant l'accès au Grand Est et à l'espace rhénan transfrontalier), Paris comme premier marché français de l'IA. Ces trois pôles sont reliés par des liaisons TGV directes, ce qui autorise des interventions ponctuelles sur site au-delà de mon lieu de résidence.</w:t>
        <w:br/>
        <w:t>Missions full-remote : la nature de l'activité (ingénierie et conseil IA) se prête bien  au travail à distance, ma zone de chalandise s'étendant alors à l'ensemble du territoire et à l'international, mon niveau d'anglais courant me permettant d'adresser les marchés anglophones, dont les États-Unis.</w:t>
      </w:r>
    </w:p>
    <w:p>
      <w:pPr>
        <w:pStyle w:val="Heading2"/>
        <w:rPr>
          <w:rFonts w:ascii="Calibri" w:hAnsi="Calibri"/>
        </w:rPr>
      </w:pPr>
      <w:r>
        <w:rPr>
          <w:rFonts w:ascii="Calibri" w:hAnsi="Calibri"/>
        </w:rPr>
        <w:t>4.5 Concurrence et différenciation</w:t>
      </w:r>
    </w:p>
    <w:p>
      <w:pPr>
        <w:pStyle w:val="Normal"/>
        <w:spacing w:before="0" w:after="120"/>
        <w:jc w:val="both"/>
        <w:rPr>
          <w:rFonts w:ascii="Calibri" w:hAnsi="Calibri"/>
        </w:rPr>
      </w:pPr>
      <w:r>
        <w:rPr>
          <w:rFonts w:ascii="Calibri" w:hAnsi="Calibri"/>
        </w:rPr>
        <w:t>La concurrence se compose de freelances IA (souvent juniors, centrés outillage), d'ESN et de cabinets spécialisés (TJM supérieurs, moindre séniorité individuelle affectée aux missions). La différenciation du projet repose sur quatre piliers :</w:t>
      </w:r>
    </w:p>
    <w:p>
      <w:pPr>
        <w:pStyle w:val="ListParagraph"/>
        <w:numPr>
          <w:ilvl w:val="0"/>
          <w:numId w:val="3"/>
        </w:numPr>
        <w:spacing w:before="0" w:after="60"/>
        <w:rPr>
          <w:rFonts w:ascii="Calibri" w:hAnsi="Calibri"/>
        </w:rPr>
      </w:pPr>
      <w:r>
        <w:rPr>
          <w:rFonts w:ascii="Calibri" w:hAnsi="Calibri"/>
        </w:rPr>
        <w:t>Expérience de production réelle : systèmes LLM en service chez un acteur majeur de l'EdTech, pas seulement des POC.</w:t>
      </w:r>
    </w:p>
    <w:p>
      <w:pPr>
        <w:pStyle w:val="ListParagraph"/>
        <w:numPr>
          <w:ilvl w:val="0"/>
          <w:numId w:val="3"/>
        </w:numPr>
        <w:spacing w:before="0" w:after="60"/>
        <w:rPr>
          <w:rFonts w:ascii="Calibri" w:hAnsi="Calibri"/>
        </w:rPr>
      </w:pPr>
      <w:r>
        <w:rPr>
          <w:rFonts w:ascii="Calibri" w:hAnsi="Calibri"/>
        </w:rPr>
        <w:t>Culture de l'évaluation : expertise rare en LLM-as-a-judge et observabilité, répondant à l'exigence croissante de fiabilité et de conformité.</w:t>
      </w:r>
    </w:p>
    <w:p>
      <w:pPr>
        <w:pStyle w:val="ListParagraph"/>
        <w:numPr>
          <w:ilvl w:val="0"/>
          <w:numId w:val="3"/>
        </w:numPr>
        <w:spacing w:before="0" w:after="60"/>
        <w:rPr>
          <w:rFonts w:ascii="Calibri" w:hAnsi="Calibri"/>
        </w:rPr>
      </w:pPr>
      <w:r>
        <w:rPr>
          <w:rFonts w:ascii="Calibri" w:hAnsi="Calibri"/>
        </w:rPr>
        <w:t>Double profil architecte/IA : capacité à intégrer l'IA dans des SI complexes, en respectant les standards du logiciel d'entreprise.</w:t>
      </w:r>
    </w:p>
    <w:p>
      <w:pPr>
        <w:pStyle w:val="ListParagraph"/>
        <w:numPr>
          <w:ilvl w:val="0"/>
          <w:numId w:val="3"/>
        </w:numPr>
        <w:spacing w:before="0" w:after="60"/>
        <w:rPr>
          <w:rFonts w:ascii="Calibri" w:hAnsi="Calibri"/>
        </w:rPr>
      </w:pPr>
      <w:r>
        <w:rPr>
          <w:rFonts w:ascii="Calibri" w:hAnsi="Calibri"/>
        </w:rPr>
        <w:t>Volet réglementaire (RGPD, AI Act) intégré au conseil : rare chez les profils techniques.</w:t>
      </w:r>
    </w:p>
    <w:p>
      <w:pPr>
        <w:pStyle w:val="Heading1"/>
        <w:spacing w:before="0" w:after="200"/>
        <w:rPr>
          <w:rFonts w:ascii="Calibri" w:hAnsi="Calibri"/>
        </w:rPr>
      </w:pPr>
      <w:r>
        <w:rPr>
          <w:rFonts w:ascii="Calibri" w:hAnsi="Calibri"/>
        </w:rPr>
      </w:r>
    </w:p>
    <w:p>
      <w:pPr>
        <w:pStyle w:val="Heading1"/>
        <w:spacing w:before="0" w:after="200"/>
        <w:rPr>
          <w:rFonts w:ascii="Calibri" w:hAnsi="Calibri"/>
        </w:rPr>
      </w:pPr>
      <w:r>
        <w:rPr>
          <w:rFonts w:ascii="Calibri" w:hAnsi="Calibri"/>
        </w:rPr>
        <w:t>5. Stratégie commerciale et plan d'action</w:t>
      </w:r>
    </w:p>
    <w:p>
      <w:pPr>
        <w:pStyle w:val="Normal"/>
        <w:spacing w:before="0" w:after="120"/>
        <w:jc w:val="both"/>
        <w:rPr>
          <w:rFonts w:ascii="Calibri" w:hAnsi="Calibri"/>
        </w:rPr>
      </w:pPr>
      <w:r>
        <w:rPr>
          <w:rFonts w:ascii="Calibri" w:hAnsi="Calibri"/>
        </w:rPr>
        <w:t>Le développement commercial constitue le chantier principal du lancement. Je dispose d'atouts réels - un réseau de dirigeants d'ESN, des contacts d'indépendants, un profil Malt créé et de premiers contenus publiés sur LinkedIn - mais ma prospection reste à structurer. Le plan d'action ci-dessous y répond par une approche séquencée : je privilégie d'abord les canaux à cycle de vente court, puis je construis les canaux à plus forte valeur.</w:t>
      </w:r>
    </w:p>
    <w:p>
      <w:pPr>
        <w:pStyle w:val="Heading2"/>
        <w:rPr>
          <w:rFonts w:ascii="Calibri" w:hAnsi="Calibri"/>
        </w:rPr>
      </w:pPr>
      <w:r>
        <w:rPr>
          <w:rFonts w:ascii="Calibri" w:hAnsi="Calibri"/>
        </w:rPr>
        <w:t>5.1 Phase 0 - Préparation (pendant le préavis, sans concurrence à l'employeur)</w:t>
      </w:r>
    </w:p>
    <w:p>
      <w:pPr>
        <w:pStyle w:val="ListParagraph"/>
        <w:numPr>
          <w:ilvl w:val="0"/>
          <w:numId w:val="3"/>
        </w:numPr>
        <w:spacing w:before="0" w:after="60"/>
        <w:rPr>
          <w:rFonts w:ascii="Calibri" w:hAnsi="Calibri"/>
        </w:rPr>
      </w:pPr>
      <w:r>
        <w:rPr>
          <w:rFonts w:ascii="Calibri" w:hAnsi="Calibri"/>
          <w:b/>
          <w:bCs/>
        </w:rPr>
        <w:t xml:space="preserve">Personal branding LinkedIn : </w:t>
      </w:r>
      <w:r>
        <w:rPr>
          <w:rFonts w:ascii="Calibri" w:hAnsi="Calibri"/>
        </w:rPr>
        <w:t>refonte du profil en page de vente (proposition de valeur claire), rythme éditorial de 2 publications par semaine (retours d'expérience LLM/RAG/évaluation, décryptages AI Act), capitalisant sur les vidéos déjà publiées. LinkedIn est identifié par l'ensemble des études comme le levier n° 1 des indépendants IT.</w:t>
      </w:r>
    </w:p>
    <w:p>
      <w:pPr>
        <w:pStyle w:val="ListParagraph"/>
        <w:numPr>
          <w:ilvl w:val="0"/>
          <w:numId w:val="3"/>
        </w:numPr>
        <w:spacing w:before="0" w:after="60"/>
        <w:rPr>
          <w:rFonts w:ascii="Calibri" w:hAnsi="Calibri"/>
        </w:rPr>
      </w:pPr>
      <w:r>
        <w:rPr>
          <w:rFonts w:ascii="Calibri" w:hAnsi="Calibri"/>
          <w:b/>
          <w:bCs/>
        </w:rPr>
        <w:t xml:space="preserve">Optimisation des plateformes : </w:t>
      </w:r>
      <w:r>
        <w:rPr>
          <w:rFonts w:ascii="Calibri" w:hAnsi="Calibri"/>
        </w:rPr>
        <w:t>profil Malt complété et mots-clés travaillés (LLM, RAG, LangGraph, évaluation), inscription sur Free-Work, Comet et LeHibou - canaux à résultats rapides recommandés en phase de démarrage.</w:t>
      </w:r>
    </w:p>
    <w:p>
      <w:pPr>
        <w:pStyle w:val="ListParagraph"/>
        <w:numPr>
          <w:ilvl w:val="0"/>
          <w:numId w:val="3"/>
        </w:numPr>
        <w:spacing w:before="0" w:after="60"/>
        <w:rPr>
          <w:rFonts w:ascii="Calibri" w:hAnsi="Calibri"/>
        </w:rPr>
      </w:pPr>
      <w:r>
        <w:rPr>
          <w:rFonts w:ascii="Calibri" w:hAnsi="Calibri"/>
          <w:b/>
          <w:bCs/>
        </w:rPr>
        <w:t xml:space="preserve">Cartographie du réseau : </w:t>
      </w:r>
      <w:r>
        <w:rPr>
          <w:rFonts w:ascii="Calibri" w:hAnsi="Calibri"/>
        </w:rPr>
        <w:t>recensement systématique des dirigeants d'ESN, indépendants, anciens collègues et contacts professionnels ; information progressive du réseau sur la disponibilité à venir (pratique recommandée en sortie de salariat), dans le strict respect de l'obligation de loyauté et après vérification des clauses du contrat de travail (non-concurrence, le cas échéant).</w:t>
      </w:r>
    </w:p>
    <w:p>
      <w:pPr>
        <w:pStyle w:val="ListParagraph"/>
        <w:numPr>
          <w:ilvl w:val="0"/>
          <w:numId w:val="3"/>
        </w:numPr>
        <w:spacing w:before="0" w:after="60"/>
        <w:rPr>
          <w:rFonts w:ascii="Calibri" w:hAnsi="Calibri"/>
        </w:rPr>
      </w:pPr>
      <w:r>
        <w:rPr>
          <w:rFonts w:ascii="Calibri" w:hAnsi="Calibri"/>
          <w:b/>
          <w:bCs/>
        </w:rPr>
        <w:t xml:space="preserve">Offres packagées : </w:t>
      </w:r>
      <w:r>
        <w:rPr>
          <w:rFonts w:ascii="Calibri" w:hAnsi="Calibri"/>
        </w:rPr>
        <w:t>formalisation de 2-3 offres à périmètre fixe facilitant l'achat : « Audit d'opportunité IA + conformité AI Act » (5 jours), « POC RAG sur vos données » (10 jours), « Formation IA pour équipe de développement » (2-3 jours).</w:t>
      </w:r>
    </w:p>
    <w:p>
      <w:pPr>
        <w:pStyle w:val="Heading2"/>
        <w:rPr>
          <w:rFonts w:ascii="Calibri" w:hAnsi="Calibri"/>
        </w:rPr>
      </w:pPr>
      <w:r>
        <w:rPr>
          <w:rFonts w:ascii="Calibri" w:hAnsi="Calibri"/>
        </w:rPr>
        <w:t>5.2 Phase 1 - Amorçage (mois 1 à 3) : générer les premières missions</w:t>
      </w:r>
    </w:p>
    <w:p>
      <w:pPr>
        <w:pStyle w:val="ListParagraph"/>
        <w:numPr>
          <w:ilvl w:val="0"/>
          <w:numId w:val="3"/>
        </w:numPr>
        <w:spacing w:before="0" w:after="60"/>
        <w:rPr>
          <w:rFonts w:ascii="Calibri" w:hAnsi="Calibri"/>
        </w:rPr>
      </w:pPr>
      <w:r>
        <w:rPr>
          <w:rFonts w:ascii="Calibri" w:hAnsi="Calibri"/>
          <w:b/>
          <w:bCs/>
        </w:rPr>
        <w:t xml:space="preserve">Activation du réseau ESN (canal prioritaire) : </w:t>
      </w:r>
      <w:r>
        <w:rPr>
          <w:rFonts w:ascii="Calibri" w:hAnsi="Calibri"/>
        </w:rPr>
        <w:t>rendez-vous systématiques avec les dirigeants d'ESN connus pour des missions en sous-traitance. Ce canal offre le cycle de vente le plus court et des volumes de jours importants ; il sécurise le démarrage du chiffre d'affaires, quitte à concéder une marge d'intermédiation.</w:t>
      </w:r>
    </w:p>
    <w:p>
      <w:pPr>
        <w:pStyle w:val="ListParagraph"/>
        <w:numPr>
          <w:ilvl w:val="0"/>
          <w:numId w:val="3"/>
        </w:numPr>
        <w:spacing w:before="0" w:after="60"/>
        <w:rPr>
          <w:rFonts w:ascii="Calibri" w:hAnsi="Calibri"/>
        </w:rPr>
      </w:pPr>
      <w:r>
        <w:rPr>
          <w:rFonts w:ascii="Calibri" w:hAnsi="Calibri"/>
          <w:b/>
          <w:bCs/>
        </w:rPr>
        <w:t xml:space="preserve">Plateformes : </w:t>
      </w:r>
      <w:r>
        <w:rPr>
          <w:rFonts w:ascii="Calibri" w:hAnsi="Calibri"/>
        </w:rPr>
        <w:t>candidatures ciblées quotidiennes sur Malt/Free-Work/LeHibou ; l'objectif est d'obtenir rapidement 2-3 premières missions et évaluations clients, qui conditionnent la visibilité algorithmique.</w:t>
      </w:r>
    </w:p>
    <w:p>
      <w:pPr>
        <w:pStyle w:val="ListParagraph"/>
        <w:numPr>
          <w:ilvl w:val="0"/>
          <w:numId w:val="3"/>
        </w:numPr>
        <w:spacing w:before="0" w:after="60"/>
        <w:rPr>
          <w:rFonts w:ascii="Calibri" w:hAnsi="Calibri"/>
        </w:rPr>
      </w:pPr>
      <w:r>
        <w:rPr>
          <w:rFonts w:ascii="Calibri" w:hAnsi="Calibri"/>
          <w:b/>
          <w:bCs/>
        </w:rPr>
        <w:t xml:space="preserve">Prospection directe ciblée : </w:t>
      </w:r>
      <w:r>
        <w:rPr>
          <w:rFonts w:ascii="Calibri" w:hAnsi="Calibri"/>
        </w:rPr>
        <w:t>séquences de prise de contact personnalisées (LinkedIn + e-mail) vers 20 PME/ETI identifiées par mois, en s'appuyant sur les offres packagées.</w:t>
      </w:r>
    </w:p>
    <w:p>
      <w:pPr>
        <w:pStyle w:val="ListParagraph"/>
        <w:numPr>
          <w:ilvl w:val="0"/>
          <w:numId w:val="3"/>
        </w:numPr>
        <w:spacing w:before="0" w:after="60"/>
        <w:rPr>
          <w:rFonts w:ascii="Calibri" w:hAnsi="Calibri"/>
        </w:rPr>
      </w:pPr>
      <w:r>
        <w:rPr>
          <w:rFonts w:ascii="Calibri" w:hAnsi="Calibri"/>
          <w:b/>
          <w:bCs/>
        </w:rPr>
        <w:t xml:space="preserve">Objectif de phase : </w:t>
      </w:r>
      <w:r>
        <w:rPr>
          <w:rFonts w:ascii="Calibri" w:hAnsi="Calibri"/>
        </w:rPr>
        <w:t>5 à 8 jours facturés par mois en moyenne, premières références formalisées (étude de cas anonymisée).</w:t>
      </w:r>
    </w:p>
    <w:p>
      <w:pPr>
        <w:pStyle w:val="Heading2"/>
        <w:rPr>
          <w:rFonts w:ascii="Calibri" w:hAnsi="Calibri"/>
        </w:rPr>
      </w:pPr>
      <w:r>
        <w:rPr>
          <w:rFonts w:ascii="Calibri" w:hAnsi="Calibri"/>
        </w:rPr>
        <w:t>5.3 Phase 2 - Développement (mois 4 à 12) : montée en gamme</w:t>
      </w:r>
    </w:p>
    <w:p>
      <w:pPr>
        <w:pStyle w:val="ListParagraph"/>
        <w:numPr>
          <w:ilvl w:val="0"/>
          <w:numId w:val="3"/>
        </w:numPr>
        <w:spacing w:before="0" w:after="60"/>
        <w:rPr>
          <w:rFonts w:ascii="Calibri" w:hAnsi="Calibri"/>
        </w:rPr>
      </w:pPr>
      <w:r>
        <w:rPr>
          <w:rFonts w:ascii="Calibri" w:hAnsi="Calibri"/>
          <w:b/>
          <w:bCs/>
        </w:rPr>
        <w:t xml:space="preserve">Contenu et inbound : </w:t>
      </w:r>
      <w:r>
        <w:rPr>
          <w:rFonts w:ascii="Calibri" w:hAnsi="Calibri"/>
        </w:rPr>
        <w:t>publication régulière (LinkedIn, blog technique), interventions dans les meetups et communautés IA (Montpellier, puis Strasbourg / écosystème rhénan), positionnement de conférencier-formateur.</w:t>
      </w:r>
    </w:p>
    <w:p>
      <w:pPr>
        <w:pStyle w:val="ListParagraph"/>
        <w:numPr>
          <w:ilvl w:val="0"/>
          <w:numId w:val="3"/>
        </w:numPr>
        <w:spacing w:before="0" w:after="60"/>
        <w:rPr>
          <w:rFonts w:ascii="Calibri" w:hAnsi="Calibri"/>
        </w:rPr>
      </w:pPr>
      <w:r>
        <w:rPr>
          <w:rFonts w:ascii="Calibri" w:hAnsi="Calibri"/>
          <w:b/>
          <w:bCs/>
        </w:rPr>
        <w:t xml:space="preserve">Bascule du mix vers le conseil et la formation : </w:t>
      </w:r>
      <w:r>
        <w:rPr>
          <w:rFonts w:ascii="Calibri" w:hAnsi="Calibri"/>
        </w:rPr>
        <w:t>utilisation des références d'exécution pour vendre les prestations à plus forte valeur (TJM 1 100-1 200 €).</w:t>
      </w:r>
    </w:p>
    <w:p>
      <w:pPr>
        <w:pStyle w:val="ListParagraph"/>
        <w:numPr>
          <w:ilvl w:val="0"/>
          <w:numId w:val="3"/>
        </w:numPr>
        <w:spacing w:before="0" w:after="60"/>
        <w:rPr>
          <w:rFonts w:ascii="Calibri" w:hAnsi="Calibri"/>
        </w:rPr>
      </w:pPr>
      <w:r>
        <w:rPr>
          <w:rFonts w:ascii="Calibri" w:hAnsi="Calibri"/>
          <w:b/>
          <w:bCs/>
        </w:rPr>
        <w:t xml:space="preserve">Démarche Qualiopi : </w:t>
      </w:r>
      <w:r>
        <w:rPr>
          <w:rFonts w:ascii="Calibri" w:hAnsi="Calibri"/>
        </w:rPr>
        <w:t>déclaration d'activité de formation puis certification, ouvrant les financements OPCO aux clients de la prestation n° 3.</w:t>
      </w:r>
    </w:p>
    <w:p>
      <w:pPr>
        <w:pStyle w:val="ListParagraph"/>
        <w:numPr>
          <w:ilvl w:val="0"/>
          <w:numId w:val="3"/>
        </w:numPr>
        <w:spacing w:before="0" w:after="60"/>
        <w:rPr>
          <w:rFonts w:ascii="Calibri" w:hAnsi="Calibri"/>
        </w:rPr>
      </w:pPr>
      <w:r>
        <w:rPr>
          <w:rFonts w:ascii="Calibri" w:hAnsi="Calibri"/>
          <w:b/>
          <w:bCs/>
        </w:rPr>
        <w:t xml:space="preserve">Partenariats : </w:t>
      </w:r>
      <w:r>
        <w:rPr>
          <w:rFonts w:ascii="Calibri" w:hAnsi="Calibri"/>
        </w:rPr>
        <w:t>alliances avec indépendants complémentaires (data engineering, design, cloud) pour adresser des missions en équipe, conformément au modèle d'organisation prévu (« seul ou en équipe »).</w:t>
      </w:r>
    </w:p>
    <w:p>
      <w:pPr>
        <w:pStyle w:val="ListParagraph"/>
        <w:numPr>
          <w:ilvl w:val="0"/>
          <w:numId w:val="3"/>
        </w:numPr>
        <w:spacing w:before="0" w:after="60"/>
        <w:rPr>
          <w:rFonts w:ascii="Calibri" w:hAnsi="Calibri"/>
        </w:rPr>
      </w:pPr>
      <w:r>
        <w:rPr>
          <w:rFonts w:ascii="Calibri" w:hAnsi="Calibri"/>
          <w:b/>
          <w:bCs/>
        </w:rPr>
        <w:t xml:space="preserve">Objectif de phase : </w:t>
      </w:r>
      <w:r>
        <w:rPr>
          <w:rFonts w:ascii="Calibri" w:hAnsi="Calibri"/>
        </w:rPr>
        <w:t>10 à 15 jours facturés par mois, pipeline de 3 mois de visibilité.</w:t>
      </w:r>
    </w:p>
    <w:p>
      <w:pPr>
        <w:pStyle w:val="Heading2"/>
        <w:rPr>
          <w:rFonts w:ascii="Calibri" w:hAnsi="Calibri"/>
        </w:rPr>
      </w:pPr>
      <w:r>
        <w:rPr>
          <w:rFonts w:ascii="Calibri" w:hAnsi="Calibri"/>
        </w:rPr>
        <w:t>5.4 Pilotage commercial</w:t>
      </w:r>
    </w:p>
    <w:p>
      <w:pPr>
        <w:pStyle w:val="Normal"/>
        <w:bidi w:val="0"/>
        <w:spacing w:before="0" w:after="120"/>
        <w:jc w:val="both"/>
        <w:rPr>
          <w:rFonts w:ascii="Calibri" w:hAnsi="Calibri"/>
        </w:rPr>
      </w:pPr>
      <w:r>
        <w:rPr>
          <w:rFonts w:ascii="Calibri" w:hAnsi="Calibri"/>
        </w:rPr>
        <w:t>Suivi mensuel d'indicateurs simples : nombre de rendez-vous qualifiés, taux de transformation, jours facturés, TJM moyen, part du chiffre d'affaires par canal et par prestation. Revue trimestrielle du plan d'action avec réallocation de l'effort vers les canaux les plus performants.</w:t>
      </w:r>
    </w:p>
    <w:p>
      <w:pPr>
        <w:pStyle w:val="Normal"/>
        <w:bidi w:val="0"/>
        <w:spacing w:before="0" w:after="120"/>
        <w:jc w:val="both"/>
        <w:rPr>
          <w:rFonts w:ascii="Calibri" w:hAnsi="Calibri"/>
        </w:rPr>
      </w:pPr>
      <w:r>
        <w:rPr>
          <w:rFonts w:ascii="Calibri" w:hAnsi="Calibri"/>
        </w:rPr>
      </w:r>
    </w:p>
    <w:p>
      <w:pPr>
        <w:pStyle w:val="Heading1"/>
        <w:spacing w:before="0" w:after="200"/>
        <w:rPr>
          <w:rFonts w:ascii="Calibri" w:hAnsi="Calibri"/>
        </w:rPr>
      </w:pPr>
      <w:r>
        <w:rPr>
          <w:rFonts w:ascii="Calibri" w:hAnsi="Calibri"/>
        </w:rPr>
        <w:t>6. Modèle économique et prévisionnel financier</w:t>
      </w:r>
    </w:p>
    <w:p>
      <w:pPr>
        <w:pStyle w:val="Heading2"/>
        <w:rPr>
          <w:rFonts w:ascii="Calibri" w:hAnsi="Calibri"/>
        </w:rPr>
      </w:pPr>
      <w:r>
        <w:rPr>
          <w:rFonts w:ascii="Calibri" w:hAnsi="Calibri"/>
        </w:rPr>
        <w:t>6.1 Hypothèses</w:t>
      </w:r>
    </w:p>
    <w:p>
      <w:pPr>
        <w:pStyle w:val="Normal"/>
        <w:spacing w:before="0" w:after="120"/>
        <w:jc w:val="both"/>
        <w:rPr>
          <w:rFonts w:ascii="Calibri" w:hAnsi="Calibri"/>
        </w:rPr>
      </w:pPr>
      <w:r>
        <w:rPr>
          <w:rFonts w:ascii="Calibri" w:hAnsi="Calibri"/>
        </w:rPr>
        <w:t>Le prévisionnel porte sur la première année complète d'activité. Il repose sur des hypothèses volontairement prudentes : montée en charge progressive (phase de prospection initiale), mix d'activité dominé par l'exécution en début de période (TJM 800 €), part du conseil et de la formation croissante ensuite. Mix retenu : 60 % exécution, 25 % conseil, 15 % formation.</w:t>
      </w:r>
    </w:p>
    <w:p>
      <w:pPr>
        <w:pStyle w:val="Heading2"/>
        <w:rPr>
          <w:rFonts w:ascii="Calibri" w:hAnsi="Calibri"/>
        </w:rPr>
      </w:pPr>
      <w:r>
        <w:rPr>
          <w:rFonts w:ascii="Calibri" w:hAnsi="Calibri"/>
        </w:rPr>
        <w:t>6.2 Trois scénarios de chiffre d'affaires</w:t>
      </w:r>
    </w:p>
    <w:tbl>
      <w:tblPr>
        <w:tblW w:w="9026" w:type="dxa"/>
        <w:jc w:val="start"/>
        <w:tblInd w:w="0" w:type="dxa"/>
        <w:tblLayout w:type="fixed"/>
        <w:tblCellMar>
          <w:top w:w="80" w:type="dxa"/>
          <w:start w:w="120" w:type="dxa"/>
          <w:bottom w:w="80" w:type="dxa"/>
          <w:end w:w="120" w:type="dxa"/>
        </w:tblCellMar>
      </w:tblPr>
      <w:tblGrid>
        <w:gridCol w:w="2198"/>
        <w:gridCol w:w="2400"/>
        <w:gridCol w:w="2202"/>
        <w:gridCol w:w="2226"/>
      </w:tblGrid>
      <w:tr>
        <w:trPr>
          <w:tblHeader w:val="true"/>
        </w:trPr>
        <w:tc>
          <w:tcPr>
            <w:tcW w:w="2198"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Scénario</w:t>
            </w:r>
          </w:p>
        </w:tc>
        <w:tc>
          <w:tcPr>
            <w:tcW w:w="2400"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Jours facturés / an</w:t>
            </w:r>
          </w:p>
        </w:tc>
        <w:tc>
          <w:tcPr>
            <w:tcW w:w="2202"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Jours / mois (moy.)</w:t>
            </w:r>
          </w:p>
        </w:tc>
        <w:tc>
          <w:tcPr>
            <w:tcW w:w="2226"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CA HT annuel</w:t>
            </w:r>
          </w:p>
        </w:tc>
      </w:tr>
      <w:tr>
        <w:trPr/>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Prudent</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80</w:t>
            </w:r>
          </w:p>
        </w:tc>
        <w:tc>
          <w:tcPr>
            <w:tcW w:w="2202"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6,7</w:t>
            </w:r>
          </w:p>
        </w:tc>
        <w:tc>
          <w:tcPr>
            <w:tcW w:w="22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75 600 €</w:t>
            </w:r>
          </w:p>
        </w:tc>
      </w:tr>
      <w:tr>
        <w:trPr/>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Médian</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120</w:t>
            </w:r>
          </w:p>
        </w:tc>
        <w:tc>
          <w:tcPr>
            <w:tcW w:w="2202"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10</w:t>
            </w:r>
          </w:p>
        </w:tc>
        <w:tc>
          <w:tcPr>
            <w:tcW w:w="22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113 400 €</w:t>
            </w:r>
          </w:p>
        </w:tc>
      </w:tr>
      <w:tr>
        <w:trPr/>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Ambitieux</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160</w:t>
            </w:r>
          </w:p>
        </w:tc>
        <w:tc>
          <w:tcPr>
            <w:tcW w:w="2202"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13,3</w:t>
            </w:r>
          </w:p>
        </w:tc>
        <w:tc>
          <w:tcPr>
            <w:tcW w:w="22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151 200 €</w:t>
            </w:r>
          </w:p>
        </w:tc>
      </w:tr>
    </w:tbl>
    <w:p>
      <w:pPr>
        <w:pStyle w:val="Normal"/>
        <w:spacing w:before="0" w:after="120"/>
        <w:jc w:val="both"/>
        <w:rPr>
          <w:rFonts w:ascii="Calibri" w:hAnsi="Calibri"/>
        </w:rPr>
      </w:pPr>
      <w:r>
        <w:rPr>
          <w:rFonts w:ascii="Calibri" w:hAnsi="Calibri"/>
        </w:rPr>
      </w:r>
    </w:p>
    <w:p>
      <w:pPr>
        <w:pStyle w:val="Normal"/>
        <w:spacing w:before="0" w:after="120"/>
        <w:jc w:val="both"/>
        <w:rPr>
          <w:rFonts w:ascii="Calibri" w:hAnsi="Calibri"/>
        </w:rPr>
      </w:pPr>
      <w:r>
        <w:rPr>
          <w:rFonts w:ascii="Calibri" w:hAnsi="Calibri"/>
        </w:rPr>
        <w:t>Détail du calcul (scénario prudent) : 48 j d'exécution × 800 € + 20 j de conseil × 1 200 € + 12 j de formation × 1 100 € = 38 400 + 24 000 + 13 200 = 75 600 € HT. Les scénarios médian et ambitieux appliquent le même mix à 120 et 160 jours. À titre de comparaison, un indépendant IT facture usuellement 130 à 180 jours par an : le scénario ambitieux reste en deçà du plein régime du marché, et le scénario prudent correspond à un taux d'occupation d'environ 36 %, atteignable même avec une prospection partant de zéro.</w:t>
      </w:r>
    </w:p>
    <w:p>
      <w:pPr>
        <w:pStyle w:val="Heading2"/>
        <w:rPr>
          <w:rFonts w:ascii="Calibri" w:hAnsi="Calibri"/>
        </w:rPr>
      </w:pPr>
      <w:r>
        <w:rPr>
          <w:rFonts w:ascii="Calibri" w:hAnsi="Calibri"/>
        </w:rPr>
        <w:t>6.3 Du chiffre d'affaires au revenu (régime micro-BNC, année 1)</w:t>
      </w:r>
    </w:p>
    <w:p>
      <w:pPr>
        <w:pStyle w:val="Normal"/>
        <w:spacing w:before="0" w:after="120"/>
        <w:jc w:val="both"/>
        <w:rPr>
          <w:rFonts w:ascii="Calibri" w:hAnsi="Calibri"/>
        </w:rPr>
      </w:pPr>
      <w:r>
        <w:rPr>
          <w:rFonts w:ascii="Calibri" w:hAnsi="Calibri"/>
        </w:rPr>
        <w:t>En micro-entreprise (BNC, activité libérale non réglementée), les cotisations sociales représentent 26,1 % du chiffre d'affaires encaissé en 2026, auxquelles s'ajoutent la contribution à la formation professionnelle (0,2 %) et les taxes consulaires. Charges d'exploitation réduites : assurance RC professionnelle, comptabilité, outils et abonnements IA/cloud, déplacements - estimées à environ 4 000 à 6 000 € par an.</w:t>
      </w:r>
    </w:p>
    <w:tbl>
      <w:tblPr>
        <w:tblW w:w="9026" w:type="dxa"/>
        <w:jc w:val="start"/>
        <w:tblInd w:w="0" w:type="dxa"/>
        <w:tblLayout w:type="fixed"/>
        <w:tblCellMar>
          <w:top w:w="80" w:type="dxa"/>
          <w:start w:w="120" w:type="dxa"/>
          <w:bottom w:w="80" w:type="dxa"/>
          <w:end w:w="120" w:type="dxa"/>
        </w:tblCellMar>
      </w:tblPr>
      <w:tblGrid>
        <w:gridCol w:w="1698"/>
        <w:gridCol w:w="1702"/>
        <w:gridCol w:w="2400"/>
        <w:gridCol w:w="2198"/>
        <w:gridCol w:w="1028"/>
      </w:tblGrid>
      <w:tr>
        <w:trPr>
          <w:tblHeader w:val="true"/>
        </w:trPr>
        <w:tc>
          <w:tcPr>
            <w:tcW w:w="1698"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Scénario</w:t>
            </w:r>
          </w:p>
        </w:tc>
        <w:tc>
          <w:tcPr>
            <w:tcW w:w="1702"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CA HT</w:t>
            </w:r>
          </w:p>
        </w:tc>
        <w:tc>
          <w:tcPr>
            <w:tcW w:w="2400"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Cotisations (~26,3 %)</w:t>
            </w:r>
          </w:p>
        </w:tc>
        <w:tc>
          <w:tcPr>
            <w:tcW w:w="2198"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Frais d'exploitation</w:t>
            </w:r>
          </w:p>
        </w:tc>
        <w:tc>
          <w:tcPr>
            <w:tcW w:w="1028"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Revenu avant IR</w:t>
            </w:r>
          </w:p>
        </w:tc>
      </w:tr>
      <w:tr>
        <w:trPr/>
        <w:tc>
          <w:tcPr>
            <w:tcW w:w="16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Prudent</w:t>
            </w:r>
          </w:p>
        </w:tc>
        <w:tc>
          <w:tcPr>
            <w:tcW w:w="1702"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75 600 €</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19 880 €</w:t>
            </w:r>
          </w:p>
        </w:tc>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4 500 €</w:t>
            </w:r>
          </w:p>
        </w:tc>
        <w:tc>
          <w:tcPr>
            <w:tcW w:w="10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 xml:space="preserve">≈ </w:t>
            </w:r>
            <w:r>
              <w:rPr>
                <w:rFonts w:ascii="Calibri" w:hAnsi="Calibri"/>
                <w:sz w:val="20"/>
                <w:szCs w:val="20"/>
              </w:rPr>
              <w:t>51 200 € (4 270 €/mois)</w:t>
            </w:r>
          </w:p>
        </w:tc>
      </w:tr>
      <w:tr>
        <w:trPr/>
        <w:tc>
          <w:tcPr>
            <w:tcW w:w="16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Médian</w:t>
            </w:r>
          </w:p>
        </w:tc>
        <w:tc>
          <w:tcPr>
            <w:tcW w:w="1702"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113 400 €</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29 820 €</w:t>
            </w:r>
          </w:p>
        </w:tc>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5 500 €</w:t>
            </w:r>
          </w:p>
        </w:tc>
        <w:tc>
          <w:tcPr>
            <w:tcW w:w="10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 xml:space="preserve">≈ </w:t>
            </w:r>
            <w:r>
              <w:rPr>
                <w:rFonts w:ascii="Calibri" w:hAnsi="Calibri"/>
                <w:sz w:val="20"/>
                <w:szCs w:val="20"/>
              </w:rPr>
              <w:t>78 100 € (6 500 €/mois)</w:t>
            </w:r>
          </w:p>
        </w:tc>
      </w:tr>
      <w:tr>
        <w:trPr/>
        <w:tc>
          <w:tcPr>
            <w:tcW w:w="16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Ambitieux</w:t>
            </w:r>
          </w:p>
        </w:tc>
        <w:tc>
          <w:tcPr>
            <w:tcW w:w="1702"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151 200 €</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39 770 €</w:t>
            </w:r>
          </w:p>
        </w:tc>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6 000 €</w:t>
            </w:r>
          </w:p>
        </w:tc>
        <w:tc>
          <w:tcPr>
            <w:tcW w:w="10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 xml:space="preserve">≈ </w:t>
            </w:r>
            <w:r>
              <w:rPr>
                <w:rFonts w:ascii="Calibri" w:hAnsi="Calibri"/>
                <w:sz w:val="20"/>
                <w:szCs w:val="20"/>
              </w:rPr>
              <w:t>105 400 € (8 780 €/mois)</w:t>
            </w:r>
          </w:p>
        </w:tc>
      </w:tr>
    </w:tbl>
    <w:p>
      <w:pPr>
        <w:pStyle w:val="Normal"/>
        <w:spacing w:before="0" w:after="120"/>
        <w:jc w:val="both"/>
        <w:rPr>
          <w:rFonts w:ascii="Calibri" w:hAnsi="Calibri"/>
        </w:rPr>
      </w:pPr>
      <w:r>
        <w:rPr>
          <w:rFonts w:ascii="Calibri" w:hAnsi="Calibri"/>
        </w:rPr>
      </w:r>
    </w:p>
    <w:p>
      <w:pPr>
        <w:pStyle w:val="Normal"/>
        <w:spacing w:before="0" w:after="120"/>
        <w:jc w:val="both"/>
        <w:rPr>
          <w:rFonts w:ascii="Calibri" w:hAnsi="Calibri"/>
        </w:rPr>
      </w:pPr>
      <w:r>
        <w:rPr>
          <w:rFonts w:ascii="Calibri" w:hAnsi="Calibri"/>
        </w:rPr>
        <w:t>Le scénario prudent assure donc déjà un revenu d’activité viable, sans même mobiliser le filet de sécurité de l’ARE. Les besoins de financement de la phase d’amorçage étant quasi nuls (aucun investissement matériel, aucune charge fixe d’exploitation significative), l’allocation d’aide au retour à l’emploi suffit à couvrir la période de montée en charge.</w:t>
      </w:r>
    </w:p>
    <w:p>
      <w:pPr>
        <w:pStyle w:val="Heading2"/>
        <w:rPr>
          <w:rFonts w:ascii="Calibri" w:hAnsi="Calibri"/>
        </w:rPr>
      </w:pPr>
      <w:r>
        <w:rPr>
          <w:rFonts w:ascii="Calibri" w:hAnsi="Calibri"/>
        </w:rPr>
        <w:t>6.4 Seuils réglementaires et trajectoire du régime</w:t>
      </w:r>
    </w:p>
    <w:p>
      <w:pPr>
        <w:pStyle w:val="ListParagraph"/>
        <w:numPr>
          <w:ilvl w:val="0"/>
          <w:numId w:val="3"/>
        </w:numPr>
        <w:spacing w:before="0" w:after="60"/>
        <w:rPr>
          <w:rFonts w:ascii="Calibri" w:hAnsi="Calibri"/>
        </w:rPr>
      </w:pPr>
      <w:r>
        <w:rPr>
          <w:rFonts w:ascii="Calibri" w:hAnsi="Calibri"/>
          <w:b/>
          <w:bCs/>
        </w:rPr>
        <w:t xml:space="preserve">Franchise de TVA : </w:t>
      </w:r>
      <w:r>
        <w:rPr>
          <w:rFonts w:ascii="Calibri" w:hAnsi="Calibri"/>
        </w:rPr>
        <w:t>seuil de 37 500 € (prestations de services), atteint en cours d'année 1 dans tous les scénarios. Impact commercial nul (clientèle B2B récupérant la TVA) ; impact administratif anticipé (facturation TVA, déclarations).</w:t>
      </w:r>
    </w:p>
    <w:p>
      <w:pPr>
        <w:pStyle w:val="ListParagraph"/>
        <w:numPr>
          <w:ilvl w:val="0"/>
          <w:numId w:val="3"/>
        </w:numPr>
        <w:spacing w:before="0" w:after="60"/>
        <w:rPr>
          <w:rFonts w:ascii="Calibri" w:hAnsi="Calibri"/>
        </w:rPr>
      </w:pPr>
      <w:r>
        <w:rPr>
          <w:rFonts w:ascii="Calibri" w:hAnsi="Calibri"/>
          <w:b/>
          <w:bCs/>
        </w:rPr>
        <w:t xml:space="preserve">Plafond micro-BNC : </w:t>
      </w:r>
      <w:r>
        <w:rPr>
          <w:rFonts w:ascii="Calibri" w:hAnsi="Calibri"/>
        </w:rPr>
        <w:t>77 700 € de chiffre d'affaires. Le scénario prudent s'en approche et les scénarios médian et ambitieux le dépassent : la bascule en société est donc planifiée dès le prévisionnel (cf. section 7) et non subie.</w:t>
      </w:r>
    </w:p>
    <w:p>
      <w:pPr>
        <w:pStyle w:val="Heading1"/>
        <w:spacing w:before="0" w:after="200"/>
        <w:rPr>
          <w:rFonts w:ascii="Calibri" w:hAnsi="Calibri"/>
        </w:rPr>
      </w:pPr>
      <w:r>
        <w:rPr>
          <w:rFonts w:ascii="Calibri" w:hAnsi="Calibri"/>
        </w:rPr>
      </w:r>
    </w:p>
    <w:p>
      <w:pPr>
        <w:pStyle w:val="Heading1"/>
        <w:spacing w:before="0" w:after="200"/>
        <w:rPr>
          <w:rFonts w:ascii="Calibri" w:hAnsi="Calibri"/>
        </w:rPr>
      </w:pPr>
      <w:r>
        <w:rPr>
          <w:rFonts w:ascii="Calibri" w:hAnsi="Calibri"/>
        </w:rPr>
        <w:t>7. Statut juridique : trajectoire en deux temps</w:t>
      </w:r>
    </w:p>
    <w:p>
      <w:pPr>
        <w:pStyle w:val="Heading2"/>
        <w:rPr>
          <w:rFonts w:ascii="Calibri" w:hAnsi="Calibri"/>
        </w:rPr>
      </w:pPr>
      <w:r>
        <w:rPr>
          <w:rFonts w:ascii="Calibri" w:hAnsi="Calibri"/>
        </w:rPr>
        <w:t>7.1 Démarrage : entreprise individuelle au régime micro-BNC</w:t>
      </w:r>
    </w:p>
    <w:p>
      <w:pPr>
        <w:pStyle w:val="Normal"/>
        <w:spacing w:before="0" w:after="120"/>
        <w:jc w:val="both"/>
        <w:rPr>
          <w:rFonts w:ascii="Calibri" w:hAnsi="Calibri"/>
        </w:rPr>
      </w:pPr>
      <w:r>
        <w:rPr>
          <w:rFonts w:ascii="Calibri" w:hAnsi="Calibri"/>
        </w:rPr>
        <w:t>Le régime de la micro-entreprise est retenu pour le lancement : immatriculation immédiate et gratuite, comptabilité ultra-légère, charges proportionnelles au chiffre d'affaires encaissé (aucune charge fixe en l'absence de revenus), compatibilité simple avec le cumul ARE. Il permet de concentrer l'énergie de la phase d'amorçage sur le développement commercial plutôt que sur la gestion.</w:t>
      </w:r>
    </w:p>
    <w:p>
      <w:pPr>
        <w:pStyle w:val="Heading2"/>
        <w:rPr>
          <w:rFonts w:ascii="Calibri" w:hAnsi="Calibri"/>
        </w:rPr>
      </w:pPr>
      <w:r>
        <w:rPr>
          <w:rFonts w:ascii="Calibri" w:hAnsi="Calibri"/>
        </w:rPr>
        <w:t>7.2 Bascule en société (EURL ou SASU) à l'approche des plafonds</w:t>
      </w:r>
    </w:p>
    <w:p>
      <w:pPr>
        <w:pStyle w:val="Normal"/>
        <w:spacing w:before="0" w:after="120"/>
        <w:jc w:val="both"/>
        <w:rPr>
          <w:rFonts w:ascii="Calibri" w:hAnsi="Calibri"/>
        </w:rPr>
      </w:pPr>
      <w:r>
        <w:rPr>
          <w:rFonts w:ascii="Calibri" w:hAnsi="Calibri"/>
        </w:rPr>
        <w:t>La création d'une société est programmée dès que l'activité approche le plafond micro-BNC (77 700 €) ou que la structuration le justifie (réponse à des appels d'offres, recours à la sous-traitance, constitution d'une équipe, optimisation de la rémunération et protection du patrimoine). Selon les scénarios, cette bascule intervient entre la fin de l'année 1 et le courant de l'année 2. J'arrêterai le choix entre EURL et SASU avec un expert-comptable au moment de la bascule, en fonction de ma situation (arbitrage cotisations/dividendes, protection sociale du dirigeant).</w:t>
      </w:r>
    </w:p>
    <w:p>
      <w:pPr>
        <w:pStyle w:val="Normal"/>
        <w:spacing w:before="0" w:after="120"/>
        <w:jc w:val="both"/>
        <w:rPr>
          <w:rFonts w:ascii="Calibri" w:hAnsi="Calibri"/>
        </w:rPr>
      </w:pPr>
      <w:r>
        <w:rPr>
          <w:rFonts w:ascii="Calibri" w:hAnsi="Calibri"/>
        </w:rPr>
        <w:t>Cette trajectoire en deux temps - éprouvée et recommandée pour les activités de conseil - démontre que la croissance de l'activité est anticipée dès la conception du projet.</w:t>
      </w:r>
    </w:p>
    <w:p>
      <w:pPr>
        <w:pStyle w:val="Heading2"/>
        <w:rPr>
          <w:rFonts w:ascii="Calibri" w:hAnsi="Calibri"/>
        </w:rPr>
      </w:pPr>
      <w:r>
        <w:rPr>
          <w:rFonts w:ascii="Calibri" w:hAnsi="Calibri"/>
        </w:rPr>
        <w:t>7.3 Assurances et cadre contractuel</w:t>
      </w:r>
    </w:p>
    <w:p>
      <w:pPr>
        <w:pStyle w:val="ListParagraph"/>
        <w:numPr>
          <w:ilvl w:val="0"/>
          <w:numId w:val="3"/>
        </w:numPr>
        <w:spacing w:before="0" w:after="60"/>
        <w:rPr>
          <w:rFonts w:ascii="Calibri" w:hAnsi="Calibri"/>
        </w:rPr>
      </w:pPr>
      <w:r>
        <w:rPr>
          <w:rFonts w:ascii="Calibri" w:hAnsi="Calibri"/>
        </w:rPr>
        <w:t>Responsabilité civile professionnelle adaptée aux prestations intellectuelles et au développement logiciel (couverture cyber incluse).</w:t>
      </w:r>
    </w:p>
    <w:p>
      <w:pPr>
        <w:pStyle w:val="ListParagraph"/>
        <w:numPr>
          <w:ilvl w:val="0"/>
          <w:numId w:val="3"/>
        </w:numPr>
        <w:spacing w:before="0" w:after="60"/>
        <w:rPr>
          <w:rFonts w:ascii="Calibri" w:hAnsi="Calibri"/>
        </w:rPr>
      </w:pPr>
      <w:r>
        <w:rPr>
          <w:rFonts w:ascii="Calibri" w:hAnsi="Calibri"/>
        </w:rPr>
        <w:t>Conditions générales de vente et contrats-types (mission, sous-traitance ESN, formation) établis dès le lancement, incluant les clauses de propriété intellectuelle, de confidentialité et de traitement des données (RGPD).</w:t>
      </w:r>
    </w:p>
    <w:p>
      <w:pPr>
        <w:pStyle w:val="ListParagraph"/>
        <w:spacing w:before="0" w:after="60"/>
        <w:rPr>
          <w:rFonts w:ascii="Calibri" w:hAnsi="Calibri"/>
        </w:rPr>
      </w:pPr>
      <w:r>
        <w:rPr>
          <w:rFonts w:ascii="Calibri" w:hAnsi="Calibri"/>
        </w:rPr>
      </w:r>
    </w:p>
    <w:p>
      <w:pPr>
        <w:pStyle w:val="ListParagraph"/>
        <w:spacing w:before="0" w:after="60"/>
        <w:rPr>
          <w:rFonts w:ascii="Calibri" w:hAnsi="Calibri"/>
        </w:rPr>
      </w:pPr>
      <w:r>
        <w:rPr>
          <w:rFonts w:ascii="Calibri" w:hAnsi="Calibri"/>
        </w:rPr>
      </w:r>
    </w:p>
    <w:p>
      <w:pPr>
        <w:pStyle w:val="Heading1"/>
        <w:spacing w:before="0" w:after="200"/>
        <w:rPr>
          <w:rFonts w:ascii="Calibri" w:hAnsi="Calibri"/>
        </w:rPr>
      </w:pPr>
      <w:r>
        <w:rPr>
          <w:rFonts w:ascii="Calibri" w:hAnsi="Calibri"/>
        </w:rPr>
        <w:t>8. Plan de financement et solidité du démarrage</w:t>
      </w:r>
    </w:p>
    <w:p>
      <w:pPr>
        <w:pStyle w:val="Heading2"/>
        <w:rPr>
          <w:rFonts w:ascii="Calibri" w:hAnsi="Calibri"/>
        </w:rPr>
      </w:pPr>
      <w:r>
        <w:rPr>
          <w:rFonts w:ascii="Calibri" w:hAnsi="Calibri"/>
        </w:rPr>
        <w:t>8.1 Besoins de démarrage : structurellement faibles</w:t>
      </w:r>
    </w:p>
    <w:tbl>
      <w:tblPr>
        <w:tblW w:w="9026" w:type="dxa"/>
        <w:jc w:val="start"/>
        <w:tblInd w:w="0" w:type="dxa"/>
        <w:tblLayout w:type="fixed"/>
        <w:tblCellMar>
          <w:top w:w="80" w:type="dxa"/>
          <w:start w:w="120" w:type="dxa"/>
          <w:bottom w:w="80" w:type="dxa"/>
          <w:end w:w="120" w:type="dxa"/>
        </w:tblCellMar>
      </w:tblPr>
      <w:tblGrid>
        <w:gridCol w:w="6326"/>
        <w:gridCol w:w="2700"/>
      </w:tblGrid>
      <w:tr>
        <w:trPr>
          <w:tblHeader w:val="true"/>
        </w:trPr>
        <w:tc>
          <w:tcPr>
            <w:tcW w:w="6326"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Poste</w:t>
            </w:r>
          </w:p>
        </w:tc>
        <w:tc>
          <w:tcPr>
            <w:tcW w:w="2700"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Montant estimé</w:t>
            </w:r>
          </w:p>
        </w:tc>
      </w:tr>
      <w:tr>
        <w:trPr/>
        <w:tc>
          <w:tcPr>
            <w:tcW w:w="63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Matériel informatique (déjà détenu, complément éventuel)</w:t>
            </w:r>
          </w:p>
        </w:tc>
        <w:tc>
          <w:tcPr>
            <w:tcW w:w="27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0 - 2 000 €</w:t>
            </w:r>
          </w:p>
        </w:tc>
      </w:tr>
      <w:tr>
        <w:trPr/>
        <w:tc>
          <w:tcPr>
            <w:tcW w:w="63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Assurance RC pro (année 1)</w:t>
            </w:r>
          </w:p>
        </w:tc>
        <w:tc>
          <w:tcPr>
            <w:tcW w:w="27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600 - 1 000 €</w:t>
            </w:r>
          </w:p>
        </w:tc>
      </w:tr>
      <w:tr>
        <w:trPr/>
        <w:tc>
          <w:tcPr>
            <w:tcW w:w="63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Outils, abonnements IA / cloud, licences</w:t>
            </w:r>
          </w:p>
        </w:tc>
        <w:tc>
          <w:tcPr>
            <w:tcW w:w="27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1 500 - 2 500 €</w:t>
            </w:r>
          </w:p>
        </w:tc>
      </w:tr>
      <w:tr>
        <w:trPr/>
        <w:tc>
          <w:tcPr>
            <w:tcW w:w="63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Site web, identité visuelle, supports commerciaux</w:t>
            </w:r>
          </w:p>
        </w:tc>
        <w:tc>
          <w:tcPr>
            <w:tcW w:w="27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500 - 1 500 €</w:t>
            </w:r>
          </w:p>
        </w:tc>
      </w:tr>
      <w:tr>
        <w:trPr/>
        <w:tc>
          <w:tcPr>
            <w:tcW w:w="63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Comptabilité / juridique (CGV, contrats-types)</w:t>
            </w:r>
          </w:p>
        </w:tc>
        <w:tc>
          <w:tcPr>
            <w:tcW w:w="27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1 000 - 2 000 €</w:t>
            </w:r>
          </w:p>
        </w:tc>
      </w:tr>
      <w:tr>
        <w:trPr/>
        <w:tc>
          <w:tcPr>
            <w:tcW w:w="63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Formations complémentaires (cf. section 10)</w:t>
            </w:r>
          </w:p>
        </w:tc>
        <w:tc>
          <w:tcPr>
            <w:tcW w:w="27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2 000 - 5 000 €</w:t>
            </w:r>
          </w:p>
        </w:tc>
      </w:tr>
      <w:tr>
        <w:trPr/>
        <w:tc>
          <w:tcPr>
            <w:tcW w:w="63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Total besoins année 1</w:t>
            </w:r>
          </w:p>
        </w:tc>
        <w:tc>
          <w:tcPr>
            <w:tcW w:w="27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 xml:space="preserve">≈ </w:t>
            </w:r>
            <w:r>
              <w:rPr>
                <w:rFonts w:ascii="Calibri" w:hAnsi="Calibri"/>
                <w:sz w:val="20"/>
                <w:szCs w:val="20"/>
              </w:rPr>
              <w:t>6 000 - 14 000 €</w:t>
            </w:r>
          </w:p>
        </w:tc>
      </w:tr>
    </w:tbl>
    <w:p>
      <w:pPr>
        <w:pStyle w:val="Normal"/>
        <w:spacing w:before="0" w:after="120"/>
        <w:jc w:val="both"/>
        <w:rPr>
          <w:rFonts w:ascii="Calibri" w:hAnsi="Calibri"/>
        </w:rPr>
      </w:pPr>
      <w:r>
        <w:rPr>
          <w:rFonts w:ascii="Calibri" w:hAnsi="Calibri"/>
        </w:rPr>
      </w:r>
    </w:p>
    <w:p>
      <w:pPr>
        <w:pStyle w:val="Heading2"/>
        <w:rPr>
          <w:rFonts w:ascii="Calibri" w:hAnsi="Calibri"/>
        </w:rPr>
      </w:pPr>
      <w:r>
        <w:rPr>
          <w:rFonts w:ascii="Calibri" w:hAnsi="Calibri"/>
        </w:rPr>
        <w:t>8.2 Ressources</w:t>
      </w:r>
    </w:p>
    <w:p>
      <w:pPr>
        <w:pStyle w:val="ListParagraph"/>
        <w:numPr>
          <w:ilvl w:val="0"/>
          <w:numId w:val="3"/>
        </w:numPr>
        <w:spacing w:before="0" w:after="60"/>
        <w:rPr>
          <w:rFonts w:ascii="Calibri" w:hAnsi="Calibri"/>
        </w:rPr>
      </w:pPr>
      <w:r>
        <w:rPr>
          <w:rFonts w:ascii="Calibri" w:hAnsi="Calibri"/>
          <w:b/>
          <w:bCs/>
        </w:rPr>
        <w:t xml:space="preserve">Autofinancement : </w:t>
      </w:r>
      <w:r>
        <w:rPr>
          <w:rFonts w:ascii="Calibri" w:hAnsi="Calibri"/>
        </w:rPr>
        <w:t>les besoins de démarrage, très faibles (cf. § 8.1), sont intégralement couverts par mes ressources propres, sans recours à l’emprunt ni à un financement externe. L’activité génère sa propre trésorerie dès les premières facturations.</w:t>
      </w:r>
    </w:p>
    <w:p>
      <w:pPr>
        <w:pStyle w:val="ListParagraph"/>
        <w:numPr>
          <w:ilvl w:val="0"/>
          <w:numId w:val="3"/>
        </w:numPr>
        <w:spacing w:before="0" w:after="60"/>
        <w:rPr>
          <w:rFonts w:ascii="Calibri" w:hAnsi="Calibri"/>
        </w:rPr>
      </w:pPr>
      <w:r>
        <w:rPr>
          <w:rFonts w:ascii="Calibri" w:hAnsi="Calibri"/>
          <w:b/>
          <w:bCs/>
        </w:rPr>
        <w:t xml:space="preserve">Absence de charges fixes d’exploitation : </w:t>
      </w:r>
      <w:r>
        <w:rPr>
          <w:rFonts w:ascii="Calibri" w:hAnsi="Calibri"/>
        </w:rPr>
        <w:t>ni local professionnel, ni équipement à acquérir, ni personnel - ce qui abaisse fortement le point mort de l’activité et sécurise la phase de lancement.</w:t>
      </w:r>
    </w:p>
    <w:p>
      <w:pPr>
        <w:pStyle w:val="ListParagraph"/>
        <w:numPr>
          <w:ilvl w:val="0"/>
          <w:numId w:val="3"/>
        </w:numPr>
        <w:spacing w:before="0" w:after="60"/>
        <w:rPr>
          <w:rFonts w:ascii="Calibri" w:hAnsi="Calibri"/>
        </w:rPr>
      </w:pPr>
      <w:r>
        <w:rPr>
          <w:rFonts w:ascii="Calibri" w:hAnsi="Calibri"/>
          <w:b/>
          <w:bCs/>
        </w:rPr>
        <w:t xml:space="preserve">Allocation d'aide au retour à l'emploi (ARE) : </w:t>
      </w:r>
      <w:r>
        <w:rPr>
          <w:rFonts w:ascii="Calibri" w:hAnsi="Calibri"/>
        </w:rPr>
        <w:t>filet de sécurité pendant la montée en charge, dans le cadre du dispositif démissionnaire. L'ARCE (versement en capital de 60 % des droits) constitue une option alternative qui sera arbitrée à la création.</w:t>
      </w:r>
    </w:p>
    <w:p>
      <w:pPr>
        <w:pStyle w:val="ListParagraph"/>
        <w:numPr>
          <w:ilvl w:val="0"/>
          <w:numId w:val="3"/>
        </w:numPr>
        <w:spacing w:before="0" w:after="60"/>
        <w:rPr>
          <w:rFonts w:ascii="Calibri" w:hAnsi="Calibri"/>
        </w:rPr>
      </w:pPr>
      <w:r>
        <w:rPr>
          <w:rFonts w:ascii="Calibri" w:hAnsi="Calibri"/>
          <w:b/>
          <w:bCs/>
        </w:rPr>
        <w:t xml:space="preserve">Aides à la création : </w:t>
      </w:r>
      <w:r>
        <w:rPr>
          <w:rFonts w:ascii="Calibri" w:hAnsi="Calibri"/>
        </w:rPr>
        <w:t>ACRE (exonération partielle de cotisations la première année), dispositifs régionaux d'accompagnement (Occitanie / Grand Est), financement des formations via CPF.</w:t>
      </w:r>
    </w:p>
    <w:p>
      <w:pPr>
        <w:pStyle w:val="Normal"/>
        <w:spacing w:before="0" w:after="120"/>
        <w:jc w:val="both"/>
        <w:rPr>
          <w:rFonts w:ascii="Calibri" w:hAnsi="Calibri"/>
        </w:rPr>
      </w:pPr>
      <w:r>
        <w:rPr>
          <w:rFonts w:ascii="Calibri" w:hAnsi="Calibri"/>
        </w:rPr>
        <w:t xml:space="preserve">Conclusion : </w:t>
      </w:r>
      <w:r>
        <w:rPr>
          <w:rFonts w:ascii="Calibri" w:hAnsi="Calibri"/>
          <w:b/>
          <w:bCs/>
        </w:rPr>
        <w:t>le projet ne nécessite aucun financement externe</w:t>
      </w:r>
      <w:r>
        <w:rPr>
          <w:rFonts w:ascii="Calibri" w:hAnsi="Calibri"/>
        </w:rPr>
        <w:t xml:space="preserve"> et présente un profil de risque financier personnel très faible - la principale ressource à sécuriser est le temps de constitution du portefeuille clients, précisément l'objet du dispositif démissionnaire.</w:t>
      </w:r>
    </w:p>
    <w:p>
      <w:pPr>
        <w:pStyle w:val="Heading1"/>
        <w:spacing w:before="0" w:after="200"/>
        <w:rPr>
          <w:rFonts w:ascii="Calibri" w:hAnsi="Calibri"/>
        </w:rPr>
      </w:pPr>
      <w:r>
        <w:rPr>
          <w:rFonts w:ascii="Calibri" w:hAnsi="Calibri"/>
        </w:rPr>
      </w:r>
    </w:p>
    <w:p>
      <w:pPr>
        <w:pStyle w:val="Heading1"/>
        <w:spacing w:before="0" w:after="200"/>
        <w:rPr>
          <w:rFonts w:ascii="Calibri" w:hAnsi="Calibri"/>
        </w:rPr>
      </w:pPr>
      <w:r>
        <w:rPr>
          <w:rFonts w:ascii="Calibri" w:hAnsi="Calibri"/>
        </w:rPr>
        <w:t>9. Calendrier prévisionnel</w:t>
      </w:r>
    </w:p>
    <w:p>
      <w:pPr>
        <w:pStyle w:val="Normal"/>
        <w:spacing w:before="0" w:after="120"/>
        <w:jc w:val="both"/>
        <w:rPr>
          <w:rFonts w:ascii="Calibri" w:hAnsi="Calibri"/>
        </w:rPr>
      </w:pPr>
      <w:r>
        <w:rPr>
          <w:rFonts w:ascii="Calibri" w:hAnsi="Calibri"/>
        </w:rPr>
        <w:t>Mon objectif est de démarrer l’activité le plus tôt possible. J’envisage deux trajectoires selon la rapidité de l’accompagnement CEP et de l’instruction CPIR :</w:t>
      </w:r>
    </w:p>
    <w:p>
      <w:pPr>
        <w:pStyle w:val="ListParagraph"/>
        <w:numPr>
          <w:ilvl w:val="0"/>
          <w:numId w:val="3"/>
        </w:numPr>
        <w:spacing w:before="0" w:after="60"/>
        <w:rPr>
          <w:rFonts w:ascii="Calibri" w:hAnsi="Calibri"/>
        </w:rPr>
      </w:pPr>
      <w:r>
        <w:rPr>
          <w:rFonts w:ascii="Calibri" w:hAnsi="Calibri"/>
          <w:b/>
          <w:bCs/>
        </w:rPr>
        <w:t xml:space="preserve">Scénario optimiste (visé) : </w:t>
      </w:r>
      <w:r>
        <w:rPr>
          <w:rFonts w:ascii="Calibri" w:hAnsi="Calibri"/>
        </w:rPr>
        <w:t>CEP et dépôt CPIR finalisés durant l’été 2026, validation à la rentrée, démission et préavis enclenchés sans délai, pour un démarrage commercial dès octobre 2026.</w:t>
      </w:r>
    </w:p>
    <w:p>
      <w:pPr>
        <w:pStyle w:val="ListParagraph"/>
        <w:numPr>
          <w:ilvl w:val="0"/>
          <w:numId w:val="3"/>
        </w:numPr>
        <w:spacing w:before="0" w:after="60"/>
        <w:rPr>
          <w:rFonts w:ascii="Calibri" w:hAnsi="Calibri"/>
        </w:rPr>
      </w:pPr>
      <w:r>
        <w:rPr>
          <w:rFonts w:ascii="Calibri" w:hAnsi="Calibri"/>
          <w:b/>
          <w:bCs/>
        </w:rPr>
        <w:t xml:space="preserve">Scénario prudent (détaillé ci-dessous) : </w:t>
      </w:r>
      <w:r>
        <w:rPr>
          <w:rFonts w:ascii="Calibri" w:hAnsi="Calibri"/>
        </w:rPr>
        <w:t>intégrant les délais réglementaires maximaux (instruction CPIR de 2 mois, préavis cadre de 3 mois), pour un démarrage début 2027.</w:t>
      </w:r>
    </w:p>
    <w:tbl>
      <w:tblPr>
        <w:tblW w:w="9026" w:type="dxa"/>
        <w:jc w:val="start"/>
        <w:tblInd w:w="0" w:type="dxa"/>
        <w:tblLayout w:type="fixed"/>
        <w:tblCellMar>
          <w:top w:w="80" w:type="dxa"/>
          <w:start w:w="120" w:type="dxa"/>
          <w:bottom w:w="80" w:type="dxa"/>
          <w:end w:w="120" w:type="dxa"/>
        </w:tblCellMar>
      </w:tblPr>
      <w:tblGrid>
        <w:gridCol w:w="2198"/>
        <w:gridCol w:w="2400"/>
        <w:gridCol w:w="4428"/>
      </w:tblGrid>
      <w:tr>
        <w:trPr>
          <w:tblHeader w:val="true"/>
        </w:trPr>
        <w:tc>
          <w:tcPr>
            <w:tcW w:w="2198"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Échéance</w:t>
            </w:r>
          </w:p>
        </w:tc>
        <w:tc>
          <w:tcPr>
            <w:tcW w:w="2400"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Étape</w:t>
            </w:r>
          </w:p>
        </w:tc>
        <w:tc>
          <w:tcPr>
            <w:tcW w:w="4428"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Détail</w:t>
            </w:r>
          </w:p>
        </w:tc>
      </w:tr>
      <w:tr>
        <w:trPr/>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29 juin 2026</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1er rendez-vous CEP</w:t>
            </w:r>
          </w:p>
        </w:tc>
        <w:tc>
          <w:tcPr>
            <w:tcW w:w="44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APEC Montpellier (« Conseil cadre ») : analyse de la demande, lancement de l'accompagnement</w:t>
            </w:r>
          </w:p>
        </w:tc>
      </w:tr>
      <w:tr>
        <w:trPr/>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Juillet - août 2026</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Accompagnement CEP</w:t>
            </w:r>
          </w:p>
        </w:tc>
        <w:tc>
          <w:tcPr>
            <w:tcW w:w="44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Travail sur le projet avec le conseiller, consolidation du présent dossier, plan d'action</w:t>
            </w:r>
          </w:p>
        </w:tc>
      </w:tr>
      <w:tr>
        <w:trPr/>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Été - septembre 2026</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Dépôt du dossier CPIR</w:t>
            </w:r>
          </w:p>
        </w:tc>
        <w:tc>
          <w:tcPr>
            <w:tcW w:w="44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Demande d'attestation du caractère réel et sérieux auprès de Transitions Pro Occitanie</w:t>
            </w:r>
          </w:p>
        </w:tc>
      </w:tr>
      <w:tr>
        <w:trPr/>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Octobre - novembre 2026</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Décision CPIR</w:t>
            </w:r>
          </w:p>
        </w:tc>
        <w:tc>
          <w:tcPr>
            <w:tcW w:w="44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Réponse de la commission (délai réglementaire de 2 mois)</w:t>
            </w:r>
          </w:p>
        </w:tc>
      </w:tr>
      <w:tr>
        <w:trPr/>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Novembre 2026</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Démission</w:t>
            </w:r>
          </w:p>
        </w:tc>
        <w:tc>
          <w:tcPr>
            <w:tcW w:w="44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Notification à l'employeur après validation ; préavis cadre de 3 mois, réduction négociée si possible</w:t>
            </w:r>
          </w:p>
        </w:tc>
      </w:tr>
      <w:tr>
        <w:trPr/>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Décembre 2026 - février 2027</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Préavis et phase 0</w:t>
            </w:r>
          </w:p>
        </w:tc>
        <w:tc>
          <w:tcPr>
            <w:tcW w:w="44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Exécution du préavis ; préparation commerciale (branding, plateformes, cartographie réseau)</w:t>
            </w:r>
          </w:p>
        </w:tc>
      </w:tr>
      <w:tr>
        <w:trPr/>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Février - mars 2027</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Inscription France Travail</w:t>
            </w:r>
          </w:p>
        </w:tc>
        <w:tc>
          <w:tcPr>
            <w:tcW w:w="44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Dans les 6 mois suivant la validation CPIR ; ouverture des droits ARE</w:t>
            </w:r>
          </w:p>
        </w:tc>
      </w:tr>
      <w:tr>
        <w:trPr/>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Mars 2027</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Immatriculation</w:t>
            </w:r>
          </w:p>
        </w:tc>
        <w:tc>
          <w:tcPr>
            <w:tcW w:w="44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Création de la micro-entreprise, souscription RC pro, lancement commercial (phase 1)</w:t>
            </w:r>
          </w:p>
        </w:tc>
      </w:tr>
      <w:tr>
        <w:trPr/>
        <w:tc>
          <w:tcPr>
            <w:tcW w:w="21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Fin 2027 - 2028</w:t>
            </w:r>
          </w:p>
        </w:tc>
        <w:tc>
          <w:tcPr>
            <w:tcW w:w="2400"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Bascule en société</w:t>
            </w:r>
          </w:p>
        </w:tc>
        <w:tc>
          <w:tcPr>
            <w:tcW w:w="442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EURL/SASU à l'approche du plafond micro-BNC, selon scénario réalisé</w:t>
            </w:r>
          </w:p>
        </w:tc>
      </w:tr>
    </w:tbl>
    <w:p>
      <w:pPr>
        <w:pStyle w:val="Normal"/>
        <w:spacing w:before="0" w:after="120"/>
        <w:jc w:val="both"/>
        <w:rPr>
          <w:rFonts w:ascii="Calibri" w:hAnsi="Calibri"/>
        </w:rPr>
      </w:pPr>
      <w:r>
        <w:rPr>
          <w:rFonts w:ascii="Calibri" w:hAnsi="Calibri"/>
        </w:rPr>
      </w:r>
    </w:p>
    <w:p>
      <w:pPr>
        <w:pStyle w:val="Normal"/>
        <w:spacing w:before="0" w:after="120"/>
        <w:jc w:val="both"/>
        <w:rPr>
          <w:rFonts w:ascii="Calibri" w:hAnsi="Calibri"/>
        </w:rPr>
      </w:pPr>
      <w:r>
        <w:rPr>
          <w:rFonts w:ascii="Calibri" w:hAnsi="Calibri"/>
        </w:rPr>
        <w:t>Quel que soit le scénario, ce calendrier respecte strictement l'ordre imposé par le dispositif : accompagnement CEP avant toute démarche, validation CPIR avant la démission, inscription à France Travail dans les six mois suivant la validation, création de l'entreprise ensuite. Le scénario optimiste se distingue uniquement par la compression des délais d’instruction et de préavis, sans modification de cet enchaînement. La relocalisation envisagée vers Strasbourg interviendra sans impact sur l'activité (exercice full-remote) et élargira le réseau commercial au Grand Est.</w:t>
      </w:r>
    </w:p>
    <w:p>
      <w:pPr>
        <w:pStyle w:val="Heading1"/>
        <w:spacing w:before="0" w:after="200"/>
        <w:rPr>
          <w:rFonts w:ascii="Calibri" w:hAnsi="Calibri"/>
        </w:rPr>
      </w:pPr>
      <w:r>
        <w:rPr>
          <w:rFonts w:ascii="Calibri" w:hAnsi="Calibri"/>
        </w:rPr>
      </w:r>
    </w:p>
    <w:p>
      <w:pPr>
        <w:pStyle w:val="Heading1"/>
        <w:spacing w:before="0" w:after="200"/>
        <w:rPr>
          <w:rFonts w:ascii="Calibri" w:hAnsi="Calibri"/>
        </w:rPr>
      </w:pPr>
      <w:r>
        <w:rPr>
          <w:rFonts w:ascii="Calibri" w:hAnsi="Calibri"/>
        </w:rPr>
      </w:r>
      <w:r>
        <w:br w:type="page"/>
      </w:r>
    </w:p>
    <w:p>
      <w:pPr>
        <w:pStyle w:val="Heading1"/>
        <w:spacing w:before="0" w:after="200"/>
        <w:rPr>
          <w:rFonts w:ascii="Calibri" w:hAnsi="Calibri"/>
        </w:rPr>
      </w:pPr>
      <w:r>
        <w:rPr>
          <w:rFonts w:ascii="Calibri" w:hAnsi="Calibri"/>
        </w:rPr>
        <w:t>10. Formations complémentaires envisagées</w:t>
      </w:r>
    </w:p>
    <w:p>
      <w:pPr>
        <w:pStyle w:val="Normal"/>
        <w:spacing w:before="0" w:after="120"/>
        <w:jc w:val="both"/>
        <w:rPr>
          <w:rFonts w:ascii="Calibri" w:hAnsi="Calibri"/>
        </w:rPr>
      </w:pPr>
      <w:r>
        <w:rPr>
          <w:rFonts w:ascii="Calibri" w:hAnsi="Calibri"/>
        </w:rPr>
        <w:t>Pour renforcer le projet, les formations et certifications suivantes sont identifiées, finançables notamment via le CPF ou les aides individuelles à la formation :</w:t>
      </w:r>
    </w:p>
    <w:p>
      <w:pPr>
        <w:pStyle w:val="ListParagraph"/>
        <w:numPr>
          <w:ilvl w:val="0"/>
          <w:numId w:val="3"/>
        </w:numPr>
        <w:spacing w:before="0" w:after="60"/>
        <w:rPr>
          <w:rFonts w:ascii="Calibri" w:hAnsi="Calibri"/>
        </w:rPr>
      </w:pPr>
      <w:r>
        <w:rPr>
          <w:rFonts w:ascii="Calibri" w:hAnsi="Calibri"/>
          <w:b/>
          <w:bCs/>
        </w:rPr>
        <w:t xml:space="preserve">Gouvernance et conformité IA : </w:t>
      </w:r>
      <w:r>
        <w:rPr>
          <w:rFonts w:ascii="Calibri" w:hAnsi="Calibri"/>
        </w:rPr>
        <w:t>certification dédiée à l'AI Act et à la gouvernance de l'IA (ex. IAPP AIGP - Artificial Intelligence Governance Professional, ou certifications françaises équivalentes), consolidant le volet réglementaire de l'offre de conseil.</w:t>
      </w:r>
    </w:p>
    <w:p>
      <w:pPr>
        <w:pStyle w:val="ListParagraph"/>
        <w:numPr>
          <w:ilvl w:val="0"/>
          <w:numId w:val="3"/>
        </w:numPr>
        <w:spacing w:before="0" w:after="60"/>
        <w:rPr>
          <w:rFonts w:ascii="Calibri" w:hAnsi="Calibri"/>
        </w:rPr>
      </w:pPr>
      <w:r>
        <w:rPr>
          <w:rFonts w:ascii="Calibri" w:hAnsi="Calibri"/>
          <w:b/>
          <w:bCs/>
        </w:rPr>
        <w:t xml:space="preserve">Ingénierie IA avancée : </w:t>
      </w:r>
      <w:r>
        <w:rPr>
          <w:rFonts w:ascii="Calibri" w:hAnsi="Calibri"/>
        </w:rPr>
        <w:t>certifications éditeurs et cloud (Azure AI Engineer, certifications LLMOps), maintien à l'état de l'art des pratiques Forward Deployed Engineering.</w:t>
      </w:r>
    </w:p>
    <w:p>
      <w:pPr>
        <w:pStyle w:val="ListParagraph"/>
        <w:numPr>
          <w:ilvl w:val="0"/>
          <w:numId w:val="3"/>
        </w:numPr>
        <w:spacing w:before="0" w:after="60"/>
        <w:rPr>
          <w:rFonts w:ascii="Calibri" w:hAnsi="Calibri"/>
        </w:rPr>
      </w:pPr>
      <w:r>
        <w:rPr>
          <w:rFonts w:ascii="Calibri" w:hAnsi="Calibri"/>
          <w:b/>
          <w:bCs/>
        </w:rPr>
        <w:t xml:space="preserve">Pédagogie et certification de l'activité de formation : </w:t>
      </w:r>
      <w:r>
        <w:rPr>
          <w:rFonts w:ascii="Calibri" w:hAnsi="Calibri"/>
        </w:rPr>
        <w:t>déclaration d'activité (NDA) puis démarche Qualiopi, condition d'accès aux financements OPCO pour les clients de l'offre de formation.</w:t>
      </w:r>
    </w:p>
    <w:p>
      <w:pPr>
        <w:pStyle w:val="ListParagraph"/>
        <w:numPr>
          <w:ilvl w:val="0"/>
          <w:numId w:val="3"/>
        </w:numPr>
        <w:spacing w:before="0" w:after="60"/>
        <w:rPr>
          <w:rFonts w:ascii="Calibri" w:hAnsi="Calibri"/>
        </w:rPr>
      </w:pPr>
      <w:r>
        <w:rPr>
          <w:rFonts w:ascii="Calibri" w:hAnsi="Calibri"/>
          <w:b/>
          <w:bCs/>
        </w:rPr>
        <w:t xml:space="preserve">Développement commercial : </w:t>
      </w:r>
      <w:r>
        <w:rPr>
          <w:rFonts w:ascii="Calibri" w:hAnsi="Calibri"/>
        </w:rPr>
        <w:t>formation courte à la vente de prestations intellectuelles et au social selling, en appui direct du plan d'action commercial (point de vigilance identifié du projet).</w:t>
      </w:r>
    </w:p>
    <w:p>
      <w:pPr>
        <w:pStyle w:val="Heading1"/>
        <w:spacing w:before="0" w:after="200"/>
        <w:rPr>
          <w:rFonts w:ascii="Calibri" w:hAnsi="Calibri"/>
        </w:rPr>
      </w:pPr>
      <w:r>
        <w:rPr>
          <w:rFonts w:ascii="Calibri" w:hAnsi="Calibri"/>
        </w:rPr>
      </w:r>
    </w:p>
    <w:p>
      <w:pPr>
        <w:pStyle w:val="Heading1"/>
        <w:spacing w:before="0" w:after="200"/>
        <w:rPr>
          <w:rFonts w:ascii="Calibri" w:hAnsi="Calibri"/>
        </w:rPr>
      </w:pPr>
      <w:r>
        <w:rPr>
          <w:rFonts w:ascii="Calibri" w:hAnsi="Calibri"/>
        </w:rPr>
        <w:t>11. Analyse des risques et plans de mitigation</w:t>
      </w:r>
    </w:p>
    <w:tbl>
      <w:tblPr>
        <w:tblW w:w="9026" w:type="dxa"/>
        <w:jc w:val="start"/>
        <w:tblInd w:w="0" w:type="dxa"/>
        <w:tblLayout w:type="fixed"/>
        <w:tblCellMar>
          <w:top w:w="80" w:type="dxa"/>
          <w:start w:w="120" w:type="dxa"/>
          <w:bottom w:w="80" w:type="dxa"/>
          <w:end w:w="120" w:type="dxa"/>
        </w:tblCellMar>
      </w:tblPr>
      <w:tblGrid>
        <w:gridCol w:w="2698"/>
        <w:gridCol w:w="1302"/>
        <w:gridCol w:w="5026"/>
      </w:tblGrid>
      <w:tr>
        <w:trPr>
          <w:tblHeader w:val="true"/>
        </w:trPr>
        <w:tc>
          <w:tcPr>
            <w:tcW w:w="2698"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Risque</w:t>
            </w:r>
          </w:p>
        </w:tc>
        <w:tc>
          <w:tcPr>
            <w:tcW w:w="1302"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Niveau</w:t>
            </w:r>
          </w:p>
        </w:tc>
        <w:tc>
          <w:tcPr>
            <w:tcW w:w="5026" w:type="dxa"/>
            <w:tcBorders>
              <w:top w:val="single" w:sz="2" w:space="0" w:color="BBBBBB"/>
              <w:start w:val="single" w:sz="2" w:space="0" w:color="BBBBBB"/>
              <w:bottom w:val="single" w:sz="2" w:space="0" w:color="BBBBBB"/>
              <w:end w:val="single" w:sz="2" w:space="0" w:color="BBBBBB"/>
            </w:tcBorders>
            <w:shd w:fill="E8F1F4" w:val="clear"/>
          </w:tcPr>
          <w:p>
            <w:pPr>
              <w:pStyle w:val="Normal"/>
              <w:rPr>
                <w:rFonts w:ascii="Calibri" w:hAnsi="Calibri"/>
              </w:rPr>
            </w:pPr>
            <w:r>
              <w:rPr>
                <w:rFonts w:ascii="Calibri" w:hAnsi="Calibri"/>
                <w:b/>
                <w:bCs/>
                <w:sz w:val="20"/>
                <w:szCs w:val="20"/>
              </w:rPr>
              <w:t>Mitigation</w:t>
            </w:r>
          </w:p>
        </w:tc>
      </w:tr>
      <w:tr>
        <w:trPr/>
        <w:tc>
          <w:tcPr>
            <w:tcW w:w="26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Prospection partant de zéro : délai d'obtention des premières missions</w:t>
            </w:r>
          </w:p>
        </w:tc>
        <w:tc>
          <w:tcPr>
            <w:tcW w:w="1302"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Principal</w:t>
            </w:r>
          </w:p>
        </w:tc>
        <w:tc>
          <w:tcPr>
            <w:tcW w:w="50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Plan commercial séquencé multi-canaux (§5) ; canal ESN en sous-traitance à cycle court ; offres packagées ; phase 0 engagée dès le préavis ; besoins de démarrage quasi nuls et ARE couvrant largement la période d’amorçage</w:t>
            </w:r>
          </w:p>
        </w:tc>
      </w:tr>
      <w:tr>
        <w:trPr/>
        <w:tc>
          <w:tcPr>
            <w:tcW w:w="26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Dépendance à un client ou à un canal unique</w:t>
            </w:r>
          </w:p>
        </w:tc>
        <w:tc>
          <w:tcPr>
            <w:tcW w:w="1302"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Modéré</w:t>
            </w:r>
          </w:p>
        </w:tc>
        <w:tc>
          <w:tcPr>
            <w:tcW w:w="50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Trois prestations, quatre canaux ; règle de plafonnement à ~60 % du CA par client dès l'année 2 ; suivi mensuel du mix</w:t>
            </w:r>
          </w:p>
        </w:tc>
      </w:tr>
      <w:tr>
        <w:trPr/>
        <w:tc>
          <w:tcPr>
            <w:tcW w:w="26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Évolution technologique rapide du secteur IA</w:t>
            </w:r>
          </w:p>
        </w:tc>
        <w:tc>
          <w:tcPr>
            <w:tcW w:w="1302"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Modéré</w:t>
            </w:r>
          </w:p>
        </w:tc>
        <w:tc>
          <w:tcPr>
            <w:tcW w:w="50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Veille structurelle (pratique déjà quotidienne), formations continues, positionnement sur les fondamentaux durables (architecture, évaluation, conformité) plutôt que sur des outils éphémères</w:t>
            </w:r>
          </w:p>
        </w:tc>
      </w:tr>
      <w:tr>
        <w:trPr/>
        <w:tc>
          <w:tcPr>
            <w:tcW w:w="26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Pression tarifaire des profils juniors / offshore</w:t>
            </w:r>
          </w:p>
        </w:tc>
        <w:tc>
          <w:tcPr>
            <w:tcW w:w="1302"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Faible</w:t>
            </w:r>
          </w:p>
        </w:tc>
        <w:tc>
          <w:tcPr>
            <w:tcW w:w="50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Différenciation séniorité + production + évaluation + réglementaire ; cibles valorisant la fiabilité (ETI, grands comptes, secteurs régulés)</w:t>
            </w:r>
          </w:p>
        </w:tc>
      </w:tr>
      <w:tr>
        <w:trPr/>
        <w:tc>
          <w:tcPr>
            <w:tcW w:w="26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Relocalisation à Strasbourg en cours d'activité</w:t>
            </w:r>
          </w:p>
        </w:tc>
        <w:tc>
          <w:tcPr>
            <w:tcW w:w="1302"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Faible</w:t>
            </w:r>
          </w:p>
        </w:tc>
        <w:tc>
          <w:tcPr>
            <w:tcW w:w="50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Activité full-remote par conception ; double ancrage réseau Occitanie / Grand Est ; aucun investissement immobilisé localement</w:t>
            </w:r>
          </w:p>
        </w:tc>
      </w:tr>
      <w:tr>
        <w:trPr/>
        <w:tc>
          <w:tcPr>
            <w:tcW w:w="2698"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Clauses contractuelles du contrat de travail actuel</w:t>
            </w:r>
          </w:p>
        </w:tc>
        <w:tc>
          <w:tcPr>
            <w:tcW w:w="1302"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À vérifier</w:t>
            </w:r>
          </w:p>
        </w:tc>
        <w:tc>
          <w:tcPr>
            <w:tcW w:w="5026" w:type="dxa"/>
            <w:tcBorders>
              <w:top w:val="single" w:sz="2" w:space="0" w:color="BBBBBB"/>
              <w:start w:val="single" w:sz="2" w:space="0" w:color="BBBBBB"/>
              <w:bottom w:val="single" w:sz="2" w:space="0" w:color="BBBBBB"/>
              <w:end w:val="single" w:sz="2" w:space="0" w:color="BBBBBB"/>
            </w:tcBorders>
          </w:tcPr>
          <w:p>
            <w:pPr>
              <w:pStyle w:val="Normal"/>
              <w:rPr>
                <w:rFonts w:ascii="Calibri" w:hAnsi="Calibri"/>
              </w:rPr>
            </w:pPr>
            <w:r>
              <w:rPr>
                <w:rFonts w:ascii="Calibri" w:hAnsi="Calibri"/>
                <w:sz w:val="20"/>
                <w:szCs w:val="20"/>
              </w:rPr>
              <w:t>Revue du contrat (non-concurrence, propriété intellectuelle) avant la phase 0 ; respect strict de l'obligation de loyauté pendant le préavis</w:t>
            </w:r>
          </w:p>
        </w:tc>
      </w:tr>
    </w:tbl>
    <w:p>
      <w:pPr>
        <w:pStyle w:val="Heading1"/>
        <w:spacing w:before="0" w:after="200"/>
        <w:rPr>
          <w:rFonts w:ascii="Calibri" w:hAnsi="Calibri"/>
        </w:rPr>
      </w:pPr>
      <w:r>
        <w:rPr>
          <w:rFonts w:ascii="Calibri" w:hAnsi="Calibri"/>
        </w:rPr>
      </w:r>
    </w:p>
    <w:p>
      <w:pPr>
        <w:pStyle w:val="Heading1"/>
        <w:spacing w:before="0" w:after="200"/>
        <w:rPr>
          <w:rFonts w:ascii="Calibri" w:hAnsi="Calibri"/>
        </w:rPr>
      </w:pPr>
      <w:r>
        <w:rPr>
          <w:rFonts w:ascii="Calibri" w:hAnsi="Calibri"/>
        </w:rPr>
      </w:r>
      <w:r>
        <w:br w:type="page"/>
      </w:r>
    </w:p>
    <w:p>
      <w:pPr>
        <w:pStyle w:val="Heading1"/>
        <w:spacing w:before="0" w:after="200"/>
        <w:rPr>
          <w:rFonts w:ascii="Calibri" w:hAnsi="Calibri"/>
        </w:rPr>
      </w:pPr>
      <w:r>
        <w:rPr>
          <w:rFonts w:ascii="Calibri" w:hAnsi="Calibri"/>
        </w:rPr>
        <w:t>12. Conclusion</w:t>
      </w:r>
    </w:p>
    <w:p>
      <w:pPr>
        <w:pStyle w:val="Normal"/>
        <w:spacing w:before="0" w:after="120"/>
        <w:jc w:val="both"/>
        <w:rPr>
          <w:rFonts w:ascii="Calibri" w:hAnsi="Calibri"/>
        </w:rPr>
      </w:pPr>
      <w:r>
        <w:rPr>
          <w:rFonts w:ascii="Calibri" w:hAnsi="Calibri"/>
        </w:rPr>
        <w:t>Le projet présente l'ensemble des caractéristiques d'un projet réel et sérieux au sens du dispositif démissionnaire :</w:t>
      </w:r>
    </w:p>
    <w:p>
      <w:pPr>
        <w:pStyle w:val="ListParagraph"/>
        <w:numPr>
          <w:ilvl w:val="0"/>
          <w:numId w:val="3"/>
        </w:numPr>
        <w:spacing w:before="0" w:after="60"/>
        <w:rPr>
          <w:rFonts w:ascii="Calibri" w:hAnsi="Calibri"/>
        </w:rPr>
      </w:pPr>
      <w:r>
        <w:rPr>
          <w:rFonts w:ascii="Calibri" w:hAnsi="Calibri"/>
          <w:b/>
          <w:bCs/>
        </w:rPr>
        <w:t xml:space="preserve">Légitimité : </w:t>
      </w:r>
      <w:r>
        <w:rPr>
          <w:rFonts w:ascii="Calibri" w:hAnsi="Calibri"/>
          <w:b w:val="false"/>
          <w:bCs w:val="false"/>
        </w:rPr>
        <w:t>répond</w:t>
      </w:r>
      <w:r>
        <w:rPr>
          <w:rFonts w:ascii="Calibri" w:hAnsi="Calibri"/>
          <w:b/>
          <w:bCs/>
        </w:rPr>
        <w:t xml:space="preserve"> </w:t>
      </w:r>
      <w:r>
        <w:rPr>
          <w:rFonts w:ascii="Calibri" w:hAnsi="Calibri"/>
          <w:b w:val="false"/>
          <w:bCs w:val="false"/>
        </w:rPr>
        <w:t>aux exigences du dispositif, et</w:t>
      </w:r>
      <w:r>
        <w:rPr>
          <w:rFonts w:ascii="Calibri" w:hAnsi="Calibri"/>
          <w:b/>
          <w:bCs/>
        </w:rPr>
        <w:t xml:space="preserve"> </w:t>
      </w:r>
      <w:r>
        <w:rPr>
          <w:rFonts w:ascii="Calibri" w:hAnsi="Calibri"/>
        </w:rPr>
        <w:t>adéquation entre le projet et l’expérience (25 ans de parcours, dont 2 ans d'ingénierie IA et 16 ans de gérance d'entreprise).</w:t>
      </w:r>
    </w:p>
    <w:p>
      <w:pPr>
        <w:pStyle w:val="ListParagraph"/>
        <w:numPr>
          <w:ilvl w:val="0"/>
          <w:numId w:val="3"/>
        </w:numPr>
        <w:spacing w:before="0" w:after="60"/>
        <w:rPr>
          <w:rFonts w:ascii="Calibri" w:hAnsi="Calibri"/>
        </w:rPr>
      </w:pPr>
      <w:r>
        <w:rPr>
          <w:rFonts w:ascii="Calibri" w:hAnsi="Calibri"/>
          <w:b/>
          <w:bCs/>
        </w:rPr>
        <w:t xml:space="preserve">Marché porteur et documenté : </w:t>
      </w:r>
      <w:r>
        <w:rPr>
          <w:rFonts w:ascii="Calibri" w:hAnsi="Calibri"/>
        </w:rPr>
        <w:t>demande en forte croissance, pénurie de profils seniors, tarification validée par les baromètres 2026.</w:t>
      </w:r>
    </w:p>
    <w:p>
      <w:pPr>
        <w:pStyle w:val="ListParagraph"/>
        <w:numPr>
          <w:ilvl w:val="0"/>
          <w:numId w:val="3"/>
        </w:numPr>
        <w:spacing w:before="0" w:after="60"/>
        <w:rPr>
          <w:rFonts w:ascii="Calibri" w:hAnsi="Calibri"/>
        </w:rPr>
      </w:pPr>
      <w:r>
        <w:rPr>
          <w:rFonts w:ascii="Calibri" w:hAnsi="Calibri"/>
          <w:b/>
          <w:bCs/>
        </w:rPr>
        <w:t xml:space="preserve">Modèle économique viable : </w:t>
      </w:r>
      <w:r>
        <w:rPr>
          <w:rFonts w:ascii="Calibri" w:hAnsi="Calibri"/>
        </w:rPr>
        <w:t>rentabilité atteinte dès le scénario prudent (80 jours facturés), sans financement externe.</w:t>
      </w:r>
    </w:p>
    <w:p>
      <w:pPr>
        <w:pStyle w:val="ListParagraph"/>
        <w:numPr>
          <w:ilvl w:val="0"/>
          <w:numId w:val="3"/>
        </w:numPr>
        <w:spacing w:before="0" w:after="60"/>
        <w:rPr>
          <w:rFonts w:ascii="Calibri" w:hAnsi="Calibri"/>
        </w:rPr>
      </w:pPr>
      <w:r>
        <w:rPr>
          <w:rFonts w:ascii="Calibri" w:hAnsi="Calibri"/>
          <w:b/>
          <w:bCs/>
        </w:rPr>
        <w:t xml:space="preserve">Préparation concrète : </w:t>
      </w:r>
      <w:r>
        <w:rPr>
          <w:rFonts w:ascii="Calibri" w:hAnsi="Calibri"/>
        </w:rPr>
        <w:t>offre structurée, plan commercial séquencé, trajectoire juridique anticipée, calendrier conforme au dispositif, risques identifiés et traités.</w:t>
      </w:r>
    </w:p>
    <w:p>
      <w:pPr>
        <w:pStyle w:val="ListParagraph"/>
        <w:numPr>
          <w:ilvl w:val="0"/>
          <w:numId w:val="3"/>
        </w:numPr>
        <w:spacing w:before="0" w:after="60"/>
        <w:rPr>
          <w:rFonts w:ascii="Calibri" w:hAnsi="Calibri"/>
        </w:rPr>
      </w:pPr>
      <w:r>
        <w:rPr>
          <w:rFonts w:ascii="Calibri" w:hAnsi="Calibri"/>
          <w:b/>
          <w:bCs/>
        </w:rPr>
        <w:t xml:space="preserve">Solidité financière : </w:t>
      </w:r>
      <w:r>
        <w:rPr>
          <w:rFonts w:ascii="Calibri" w:hAnsi="Calibri"/>
        </w:rPr>
        <w:t>activité autofinancée, sans charges fixes d’exploitation ni investissement, aux besoins de démarrage minimes.</w:t>
      </w:r>
    </w:p>
    <w:p>
      <w:pPr>
        <w:pStyle w:val="Normal"/>
        <w:spacing w:before="0" w:after="120"/>
        <w:jc w:val="both"/>
        <w:rPr>
          <w:rFonts w:ascii="Calibri" w:hAnsi="Calibri"/>
        </w:rPr>
      </w:pPr>
      <w:r>
        <w:rPr>
          <w:rFonts w:ascii="Calibri" w:hAnsi="Calibri"/>
        </w:rPr>
        <w:t>La démission pour projet de création d'entreprise constitue le cadre sécurisé dont j'ai besoin pour mener cette transition : elle me donne le temps de constituer mon portefeuille clients - le seul véritable enjeu de ce lancement - en m'appuyant sur des compétences immédiatement monétisables, sur l'un des segments les plus dynamiques du marché.</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Page </w:t>
    </w: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Page </w:t>
    </w:r>
    <w:r>
      <w:rPr/>
      <w:fldChar w:fldCharType="begin"/>
    </w:r>
    <w:r>
      <w:rPr/>
      <w:instrText xml:space="preserve"> PAGE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CCCCCC"/>
      </w:pBdr>
      <w:tabs>
        <w:tab w:val="clear" w:pos="720"/>
        <w:tab w:val="right" w:pos="9026" w:leader="none"/>
      </w:tabs>
      <w:rPr/>
    </w:pPr>
    <w:r>
      <w:rPr>
        <w:color w:val="888888"/>
        <w:sz w:val="16"/>
        <w:szCs w:val="16"/>
      </w:rPr>
      <w:t>Dossier de projet de création d'entreprise</w:t>
      <w:tab/>
      <w:t>Étienne Millerioux - juin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CCCCCC"/>
      </w:pBdr>
      <w:tabs>
        <w:tab w:val="clear" w:pos="720"/>
        <w:tab w:val="right" w:pos="9026" w:leader="none"/>
      </w:tabs>
      <w:rPr/>
    </w:pPr>
    <w:r>
      <w:rPr>
        <w:color w:val="888888"/>
        <w:sz w:val="16"/>
        <w:szCs w:val="16"/>
      </w:rPr>
      <w:t>Dossier de projet de création d'entreprise</w:t>
      <w:tab/>
      <w:t>Étienne Millerioux - juin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B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fr-BE" w:eastAsia="zh-CN" w:bidi="hi-IN"/>
    </w:rPr>
  </w:style>
  <w:style w:type="paragraph" w:styleId="Heading1">
    <w:name w:val="heading 1"/>
    <w:basedOn w:val="Titreuser"/>
    <w:qFormat/>
    <w:pPr>
      <w:spacing w:before="280" w:after="200"/>
      <w:outlineLvl w:val="0"/>
    </w:pPr>
    <w:rPr>
      <w:rFonts w:ascii="Arial" w:hAnsi="Arial" w:eastAsia="Arial" w:cs="Arial"/>
      <w:b/>
      <w:bCs/>
      <w:color w:val="1F4E5F"/>
      <w:sz w:val="30"/>
      <w:szCs w:val="30"/>
    </w:rPr>
  </w:style>
  <w:style w:type="paragraph" w:styleId="Heading2">
    <w:name w:val="heading 2"/>
    <w:basedOn w:val="Titreuser"/>
    <w:qFormat/>
    <w:pPr>
      <w:spacing w:before="220" w:after="140"/>
      <w:outlineLvl w:val="1"/>
    </w:pPr>
    <w:rPr>
      <w:rFonts w:ascii="Arial" w:hAnsi="Arial" w:eastAsia="Arial" w:cs="Arial"/>
      <w:b/>
      <w:bCs/>
      <w:color w:val="333333"/>
      <w:sz w:val="25"/>
      <w:szCs w:val="25"/>
    </w:rPr>
  </w:style>
  <w:style w:type="paragraph" w:styleId="Heading3">
    <w:name w:val="heading 3"/>
    <w:basedOn w:val="Titreuser"/>
    <w:qFormat/>
    <w:pPr>
      <w:spacing w:before="160" w:after="100"/>
      <w:outlineLvl w:val="2"/>
    </w:pPr>
    <w:rPr>
      <w:rFonts w:ascii="Arial" w:hAnsi="Arial" w:eastAsia="Arial" w:cs="Arial"/>
      <w:b/>
      <w:bCs/>
      <w:i/>
      <w:iCs/>
      <w:sz w:val="22"/>
      <w:szCs w:val="22"/>
    </w:rPr>
  </w:style>
  <w:style w:type="paragraph" w:styleId="Heading4">
    <w:name w:val="heading 4"/>
    <w:basedOn w:val="Titreuser"/>
    <w:qFormat/>
    <w:pPr/>
    <w:rPr>
      <w:i/>
      <w:iCs/>
      <w:color w:val="2E74B5"/>
    </w:rPr>
  </w:style>
  <w:style w:type="paragraph" w:styleId="Heading5">
    <w:name w:val="heading 5"/>
    <w:basedOn w:val="Titreuser"/>
    <w:qFormat/>
    <w:pPr/>
    <w:rPr>
      <w:color w:val="2E74B5"/>
    </w:rPr>
  </w:style>
  <w:style w:type="paragraph" w:styleId="Heading6">
    <w:name w:val="heading 6"/>
    <w:basedOn w:val="Titreuser"/>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user">
    <w:name w:val="Caractères de note de fin (user)"/>
    <w:uiPriority w:val="99"/>
    <w:semiHidden/>
    <w:unhideWhenUsed/>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rong">
    <w:name w:val="Strong"/>
    <w:qFormat/>
    <w:rPr>
      <w:b/>
      <w:bCs/>
    </w:rPr>
  </w:style>
  <w:style w:type="character" w:styleId="Pucesuser">
    <w:name w:val="Puces (user)"/>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Titreuser"/>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fr-BE"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fr-B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En-tteetpieddepageuser"/>
    <w:pPr/>
    <w:rPr/>
  </w:style>
  <w:style w:type="paragraph" w:styleId="Footer">
    <w:name w:val="footer"/>
    <w:basedOn w:val="En-tteetpieddepageus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LibreOffice/26.2.3.2$Windows_X86_64 LibreOffice_project/70e089b17412e4cb7773e41413306b17a2328c34</Application>
  <AppVersion>15.0000</AppVersion>
  <Pages>14</Pages>
  <Words>4839</Words>
  <Characters>27345</Characters>
  <CharactersWithSpaces>31846</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2026-06-09T22:32:03Z</dcterms:created>
  <dc:creator>Un-named</dc:creator>
  <dc:description/>
  <dc:language>fr-BE</dc:language>
  <cp:lastModifiedBy/>
  <cp:lastPrinted>2026-06-29T12:02:05Z</cp:lastPrinted>
  <dcterms:modified xsi:type="dcterms:W3CDTF">2026-06-29T12:11:40Z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