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the Reviewers</w:t>
      </w:r>
    </w:p>
    <w:p>
      <w:r>
        <w:t>**Manuscript Reference:** JCTA-D-24-XXXXX (Revision R4)</w:t>
      </w:r>
    </w:p>
    <w:p>
      <w:r>
        <w:t>**Title:** *Swahili Sign Language Recognition Using Bidirectional LSTM with Temporal Attention*</w:t>
      </w:r>
    </w:p>
    <w:p>
      <w:r>
        <w:t>**Authors:** Festo Manolo et al.</w:t>
      </w:r>
    </w:p>
    <w:p>
      <w:r>
        <w:t>**Journal:** *Journal of Computer and System Sciences (JCTA)*</w:t>
      </w:r>
    </w:p>
    <w:p>
      <w:pPr>
        <w:pStyle w:val="Heading2"/>
      </w:pPr>
      <w:r>
        <w:t>Cover Letter &amp; Overview of Revisions</w:t>
      </w:r>
    </w:p>
    <w:p>
      <w:r>
        <w:t>Dear Editor and Reviewers,</w:t>
      </w:r>
    </w:p>
    <w:p>
      <w:r>
        <w:t>We express our sincere gratitude to the Associate Editor and both Reviewers for their constructive, thorough, and highly insightful feedback on our manuscript. The reviewers' comments have fundamentally strengthened the scientific rigor, reproducibility, and transparency of our work.</w:t>
      </w:r>
    </w:p>
    <w:p>
      <w:r>
        <w:t>In response to the feedback, we executed a complete empirical research overhaul consisting of 29 rigorous experimental sections, training 10 multi-paradigm baseline architectures and 23 ablation variants under an identical protocol. We also conducted Leave-One-Signer-Out (LOSO) cross-validation, an analytical layer-by-layer FLOPs/MACs parameter audit, edge hardware latency benchmarking, and end-to-end Swahili speech synthesis via MMS-VITS.</w:t>
      </w:r>
    </w:p>
    <w:p>
      <w:r>
        <w:t>Furthermore, we established an open GitHub repository ([festomanolo/swahili-SL](https://github.com/festomanolo/swahili-SL)) and created **22 dedicated GitHub issues** corresponding directly to all 32 reviewer comments, tracking every empirical resolution with complete commit histories.</w:t>
      </w:r>
    </w:p>
    <w:p>
      <w:pPr>
        <w:pStyle w:val="Heading3"/>
      </w:pPr>
      <w:r>
        <w:t>The Five Mandatory Manuscript Corrections</w:t>
      </w:r>
    </w:p>
    <w:p>
      <w:r>
        <w:t>1. **Parameter Count Reconciliation (Reviewer B, Comment 10):**</w:t>
      </w:r>
    </w:p>
    <w:p>
      <w:pPr>
        <w:pStyle w:val="ListBullet"/>
      </w:pPr>
      <w:r>
        <w:t>*Previous Statement:* Reported 177,607 parameters in Table 5 with a footnote claiming "weight sharing" between BiLSTM layers.</w:t>
      </w:r>
    </w:p>
    <w:p>
      <w:pPr>
        <w:pStyle w:val="ListBullet"/>
      </w:pPr>
      <w:r>
        <w:t>*Empirical Correction:* Our analytical audit proves that BiLSTM Layer 1 (396,288 params), BiLSTM Layer 2 (164,352 params), Temporal Attention (16,640 params), and Dense classification layers (27,271 params) strictly total **604,551 parameters**. The weight sharing footnote described an invalid configuration and has been retracted. The abstract, Table 5, Table 10, Table 11, and Section 4.7.2 now report 604,551 parameters.</w:t>
      </w:r>
    </w:p>
    <w:p>
      <w:r>
        <w:t>2. **Dataset &amp; Augmentation Arithmetic Reconciliation (Reviewer A, Comment 6):**</w:t>
      </w:r>
    </w:p>
    <w:p>
      <w:pPr>
        <w:pStyle w:val="ListBullet"/>
      </w:pPr>
      <w:r>
        <w:t>*Previous Statement:* Reported 5,880 augmented training clips alongside 126 test clips (18 per class).</w:t>
      </w:r>
    </w:p>
    <w:p>
      <w:pPr>
        <w:pStyle w:val="ListBullet"/>
      </w:pPr>
      <w:r>
        <w:t>*Empirical Correction:* Splitting the 837 quality-filtered clips 70/15/15 prior to augmentation yields 585 training, 126 validation, and 126 test clips ($126 / 7 = 18$ test clips per class, exactly reproducing the confusion matrix support). Applying $7\times$ geometric data augmentation strictly to the training split produces **4,095 augmented training sequences** (not 5,880). The figure 5,880 inadvertently described augmenting before splitting. The pipeline now structurally guarantees split-first, augment-second isolation.</w:t>
      </w:r>
    </w:p>
    <w:p>
      <w:r>
        <w:t>3. **Class Weighting Analysis (Reviewer B, Comment 11):**</w:t>
      </w:r>
    </w:p>
    <w:p>
      <w:pPr>
        <w:pStyle w:val="ListBullet"/>
      </w:pPr>
      <w:r>
        <w:t>*Previous Statement:* Asserted that class weighting was necessary to handle potential imbalance.</w:t>
      </w:r>
    </w:p>
    <w:p>
      <w:pPr>
        <w:pStyle w:val="ListBullet"/>
      </w:pPr>
      <w:r>
        <w:t>*Empirical Correction:* Empirical measurement across all 7 pipeline stages confirms an imbalance ratio of **1.012** in the augmented training partition. Class weighting was mathematically redundant (a no-op) and has been formally disabled in the code and clarified in Section 3.6.</w:t>
      </w:r>
    </w:p>
    <w:p>
      <w:r>
        <w:t>4. **Signer Independence &amp; LOSO Generalization Gap (Reviewer B, Comment 15):**</w:t>
      </w:r>
    </w:p>
    <w:p>
      <w:pPr>
        <w:pStyle w:val="ListBullet"/>
      </w:pPr>
      <w:r>
        <w:t>*Previous Statement:* Asserted that Leave-One-Signer-Out evaluation was impossible due to having only two signers.</w:t>
      </w:r>
    </w:p>
    <w:p>
      <w:pPr>
        <w:pStyle w:val="ListBullet"/>
      </w:pPr>
      <w:r>
        <w:t>*Empirical Correction:* We implemented a 2-fold LOSO cross-validation protocol (Train Festo / Test Grace: 52.40%; Train Grace / Test Festo: 59.20%; Mean LOSO Accuracy: **55.80%**, Macro F1: **54.10%**). Comparing this against the signer-dependent stratified benchmark (**97.62%**) reveals an exact **41.82 percentage point signer generalization gap**. We have retracted the impossibility claim and prominently highlighted this gap as a primary limitation in the Abstract, Section 4.1, and Section 4.7.1.</w:t>
      </w:r>
    </w:p>
    <w:p>
      <w:r>
        <w:t>5. **Real-Time Hardware Latency Benchmarks (Reviewer B, Comment 14):**</w:t>
      </w:r>
    </w:p>
    <w:p>
      <w:pPr>
        <w:pStyle w:val="ListBullet"/>
      </w:pPr>
      <w:r>
        <w:t>*Previous Statement:* Unqualified claim of "real-time mobile 30 fps operation".</w:t>
      </w:r>
    </w:p>
    <w:p>
      <w:pPr>
        <w:pStyle w:val="ListBullet"/>
      </w:pPr>
      <w:r>
        <w:t>*Empirical Correction:* Rigorous benchmarking on CPU demonstrates that MediaPipe landmark extraction requires **71.43 ms per frame** (**14.0 fps sustained**), which **exceeds the 33.3 ms real-time frame budget by 38.1 ms per frame**. We retracted the unqualified real-time claim and provided full percentile latency breakdowns ($p50, p90, p99$) for extraction (71.43 ms), classifier inference (1,301.74 ms/clip), and TTS synthesis (930.00 ms).</w:t>
      </w:r>
    </w:p>
    <w:p>
      <w:pPr>
        <w:pStyle w:val="Heading2"/>
      </w:pPr>
      <w:r>
        <w:t>Detailed Responses to Reviewer A</w:t>
      </w:r>
    </w:p>
    <w:p>
      <w:pPr>
        <w:pStyle w:val="Heading3"/>
      </w:pPr>
      <w:r>
        <w:t>Comment A1</w:t>
      </w:r>
    </w:p>
    <w:p>
      <w:pPr>
        <w:ind w:left="720"/>
      </w:pPr>
      <w:r>
        <w:rPr>
          <w:i/>
          <w:color w:val="505050"/>
        </w:rPr>
        <w:t>"Strengthen the problem-to-method rationale in the Introduction."</w:t>
      </w:r>
    </w:p>
    <w:p>
      <w:r>
        <w:t>**Response:**</w:t>
      </w:r>
    </w:p>
    <w:p>
      <w:r>
        <w:t>We have revised the Introduction (Section 1) to formulate the SwSL recognition problem as a sample-efficiency trade-off. We now provide empirical evidence from our baseline zoo (`figures/fig_accuracy_vs_parameters.png` and `tables/table_parameters_vs_accuracy.csv`) showing that compact landmark-based representations (0.60M parameters) drastically outperform high-capacity pixel-based 2D/3D CNNs (which overfit severely in the small-sample regime of 585 training clips). Furthermore, our ablation study demonstrates that sequence augmentation is essential for regularizing coordinate sequences.</w:t>
      </w:r>
    </w:p>
    <w:p>
      <w:pPr>
        <w:pStyle w:val="ListBullet"/>
      </w:pPr>
      <w:r>
        <w:t>**GitHub Issue:** Resolved in [#11](https://github.com/festomanolo/swahili-SL/issues/11).</w:t>
      </w:r>
    </w:p>
    <w:p>
      <w:pPr>
        <w:pStyle w:val="ListBullet"/>
      </w:pPr>
      <w:r>
        <w:t>**Manuscript Updates:** Section 1 (P18-P25), Figure 1.</w:t>
      </w:r>
    </w:p>
    <w:p>
      <w:pPr>
        <w:pStyle w:val="Heading3"/>
      </w:pPr>
      <w:r>
        <w:t>Comment A2 &amp; A3</w:t>
      </w:r>
    </w:p>
    <w:p>
      <w:pPr>
        <w:ind w:left="720"/>
      </w:pPr>
      <w:r>
        <w:rPr>
          <w:i/>
          <w:color w:val="505050"/>
        </w:rPr>
        <w:t>"Section 2 must build a research gap, not summarize theory. Table 1 needs signers, classes, scale, availability, setting, and gaps."</w:t>
      </w:r>
    </w:p>
    <w:p>
      <w:r>
        <w:t>**Response:**</w:t>
      </w:r>
    </w:p>
    <w:p>
      <w:r>
        <w:t>Section 2 has been thoroughly restructured around an explicit research-gap synthesis. We constructed a standardized comparative taxonomy (`tables/table01_positioning_template.csv`) benchmarking SwSL against existing international sign language corpora (WLASL, SignGraph, AUTSL, CSL) across vocabulary scale, signer diversity, coordinate representations, and open-access availability. In accordance with reviewer guidance, accuracy columns have been omitted by construction to avoid invalid cross-corpus comparisons.</w:t>
      </w:r>
    </w:p>
    <w:p>
      <w:pPr>
        <w:pStyle w:val="ListBullet"/>
      </w:pPr>
      <w:r>
        <w:t>**GitHub Issues:** Resolved in [#3](https://github.com/festomanolo/swahili-SL/issues/3).</w:t>
      </w:r>
    </w:p>
    <w:p>
      <w:pPr>
        <w:pStyle w:val="ListBullet"/>
      </w:pPr>
      <w:r>
        <w:t>**Manuscript Updates:** Section 2.5, Table 1.</w:t>
      </w:r>
    </w:p>
    <w:p>
      <w:pPr>
        <w:pStyle w:val="Heading3"/>
      </w:pPr>
      <w:r>
        <w:t>Comment A4</w:t>
      </w:r>
    </w:p>
    <w:p>
      <w:pPr>
        <w:ind w:left="720"/>
      </w:pPr>
      <w:r>
        <w:rPr>
          <w:i/>
          <w:color w:val="505050"/>
        </w:rPr>
        <w:t>"Justify depth, width, dropout, dense layers and regularization."</w:t>
      </w:r>
    </w:p>
    <w:p>
      <w:r>
        <w:t>**Response:**</w:t>
      </w:r>
    </w:p>
    <w:p>
      <w:r>
        <w:t>In Section 4.5 and `tables/table09_ablation_study.csv`, every architectural hyperparameter has been evaluated as an isolated, single-variable ablation:</w:t>
      </w:r>
    </w:p>
    <w:p>
      <w:pPr>
        <w:pStyle w:val="ListBullet"/>
      </w:pPr>
      <w:r>
        <w:t>**Depth:** 1-layer BiLSTM (96.83%), 2-layer BiLSTM (97.62% - optimal), 3-layer BiLSTM (95.24% - capacity bottleneck).</w:t>
      </w:r>
    </w:p>
    <w:p>
      <w:pPr>
        <w:pStyle w:val="ListBullet"/>
      </w:pPr>
      <w:r>
        <w:t>**Width:** 64-32 units (95.24%), 128-64 units (97.62% - optimal), 256-128 units (96.83%).</w:t>
      </w:r>
    </w:p>
    <w:p>
      <w:pPr>
        <w:pStyle w:val="ListBullet"/>
      </w:pPr>
      <w:r>
        <w:t>**Regularization:** Removing input dropout drops accuracy by -1.59 pp; removing L2 weight regularization drops accuracy by -0.79 pp; removing gradient clipping at 1.0 results in training instability.</w:t>
      </w:r>
    </w:p>
    <w:p>
      <w:pPr>
        <w:pStyle w:val="ListBullet"/>
      </w:pPr>
      <w:r>
        <w:t>**GitHub Issue:** Resolved in [#9](https://github.com/festomanolo/swahili-SL/issues/9).</w:t>
      </w:r>
    </w:p>
    <w:p>
      <w:pPr>
        <w:pStyle w:val="ListBullet"/>
      </w:pPr>
      <w:r>
        <w:t>**Manuscript Updates:** Section 3.5, Section 4.5, Table 9.</w:t>
      </w:r>
    </w:p>
    <w:p>
      <w:pPr>
        <w:pStyle w:val="Heading3"/>
      </w:pPr>
      <w:r>
        <w:t>Comment A5</w:t>
      </w:r>
    </w:p>
    <w:p>
      <w:pPr>
        <w:ind w:left="720"/>
      </w:pPr>
      <w:r>
        <w:rPr>
          <w:i/>
          <w:color w:val="505050"/>
        </w:rPr>
        <w:t>"Specify the attention mechanism fully and reproducibly."</w:t>
      </w:r>
    </w:p>
    <w:p>
      <w:r>
        <w:t>**Response:**</w:t>
      </w:r>
    </w:p>
    <w:p>
      <w:r>
        <w:t>We provided a complete mathematical specification of the additive temporal attention mechanism in Section 3.5 (Eqs. 10–13), accompanied by an architectural schematic (`figures/fig_attention_block.png`), a machine-readable JSON specification (`attention_specification.json`), and empirical attention weight distributions (`figures/fig07_attention_weights.png`). We also evaluated five alternative scoring mechanisms (Additive, Dot-Product, Scaled Dot-Product, General, and Multi-Head), confirming that Additive Bahdanau attention achieves the highest validation selectivity and concentrates 96% of its mass on the top-10 salient frames (`attention_top10_mass = 0.96`).</w:t>
      </w:r>
    </w:p>
    <w:p>
      <w:pPr>
        <w:pStyle w:val="ListBullet"/>
      </w:pPr>
      <w:r>
        <w:t>**GitHub Issue:** Resolved in [#6](https://github.com/festomanolo/swahili-SL/issues/6).</w:t>
      </w:r>
    </w:p>
    <w:p>
      <w:pPr>
        <w:pStyle w:val="ListBullet"/>
      </w:pPr>
      <w:r>
        <w:t>**Manuscript Updates:** Section 3.5, Section 4.6, Table 9, Figure 7.</w:t>
      </w:r>
    </w:p>
    <w:p>
      <w:pPr>
        <w:pStyle w:val="Heading3"/>
      </w:pPr>
      <w:r>
        <w:t>Comment A6</w:t>
      </w:r>
    </w:p>
    <w:p>
      <w:pPr>
        <w:ind w:left="720"/>
      </w:pPr>
      <w:r>
        <w:rPr>
          <w:i/>
          <w:color w:val="505050"/>
        </w:rPr>
        <w:t>"Reconcile 840 / 5,880 / 126 and state the split order."</w:t>
      </w:r>
    </w:p>
    <w:p>
      <w:r>
        <w:t>**Response:**</w:t>
      </w:r>
    </w:p>
    <w:p>
      <w:r>
        <w:t>We have fully reconciled the dataset arithmetic. The 837 usable clips were partitioned 70/15/15 prior to augmentation: 585 training clips, 126 validation clips, and 126 test clips (18 per class). Seven-fold geometric augmentation was applied strictly to the training split ($585 \times 7 = \mathbf{4,095}$ sequences). The previous figure of 5,880 inadvertently described augmenting all partitions. The split-first, augment-second procedure eliminates test-set leakage.</w:t>
      </w:r>
    </w:p>
    <w:p>
      <w:pPr>
        <w:pStyle w:val="ListBullet"/>
      </w:pPr>
      <w:r>
        <w:t>**GitHub Issue:** Resolved in [#1](https://github.com/festomanolo/swahili-SL/issues/1).</w:t>
      </w:r>
    </w:p>
    <w:p>
      <w:pPr>
        <w:pStyle w:val="ListBullet"/>
      </w:pPr>
      <w:r>
        <w:t>**Manuscript Updates:** Section 3.2.3, Section 3.4, Table 2, Table 3.</w:t>
      </w:r>
    </w:p>
    <w:p>
      <w:pPr>
        <w:pStyle w:val="Heading3"/>
      </w:pPr>
      <w:r>
        <w:t>Comment A7 &amp; A8</w:t>
      </w:r>
    </w:p>
    <w:p>
      <w:pPr>
        <w:ind w:left="720"/>
      </w:pPr>
      <w:r>
        <w:rPr>
          <w:i/>
          <w:color w:val="505050"/>
        </w:rPr>
        <w:t>"Compare with CNN/MLP, BiLSTM/GRU, Transformer and skeleton models. Clarify optimizer and schedule."</w:t>
      </w:r>
    </w:p>
    <w:p>
      <w:r>
        <w:t>**Response:**</w:t>
      </w:r>
    </w:p>
    <w:p>
      <w:r>
        <w:t>We benchmarked 10 distinct architectures under identical conditions (`tables/table07_baseline_comparison.csv`):</w:t>
      </w:r>
    </w:p>
    <w:p>
      <w:pPr>
        <w:pStyle w:val="ListBullet"/>
      </w:pPr>
      <w:r>
        <w:t>Transformer encoder (2 layers): **99.21%**</w:t>
      </w:r>
    </w:p>
    <w:p>
      <w:pPr>
        <w:pStyle w:val="ListBullet"/>
      </w:pPr>
      <w:r>
        <w:t>BiGRU (64 units): **98.41%**</w:t>
      </w:r>
    </w:p>
    <w:p>
      <w:pPr>
        <w:pStyle w:val="ListBullet"/>
      </w:pPr>
      <w:r>
        <w:t>Unidirectional LSTM: **98.41%**</w:t>
      </w:r>
    </w:p>
    <w:p>
      <w:pPr>
        <w:pStyle w:val="ListBullet"/>
      </w:pPr>
      <w:r>
        <w:t>ST-GCN (75 nodes): **98.41%**</w:t>
      </w:r>
    </w:p>
    <w:p>
      <w:pPr>
        <w:pStyle w:val="ListBullet"/>
      </w:pPr>
      <w:r>
        <w:t>Proposed BiLSTM + Attention: **97.62%**</w:t>
      </w:r>
    </w:p>
    <w:p>
      <w:pPr>
        <w:pStyle w:val="ListBullet"/>
      </w:pPr>
      <w:r>
        <w:t>Plain BiLSTM (no attention): **96.03%**</w:t>
      </w:r>
    </w:p>
    <w:p>
      <w:pPr>
        <w:pStyle w:val="ListBullet"/>
      </w:pPr>
      <w:r>
        <w:t>Temporal CNN (1-D): **96.83%**</w:t>
      </w:r>
    </w:p>
    <w:p>
      <w:pPr>
        <w:pStyle w:val="ListBullet"/>
      </w:pPr>
      <w:r>
        <w:t>CNN-LSTM: **94.44%**</w:t>
      </w:r>
    </w:p>
    <w:p>
      <w:pPr>
        <w:pStyle w:val="ListBullet"/>
      </w:pPr>
      <w:r>
        <w:t>MLP (flattened): **78.57%**</w:t>
      </w:r>
    </w:p>
    <w:p>
      <w:r>
        <w:t>The optimizer configuration has been formally specified: Adam ($\beta_1=0.9, \beta_2=0.999$), initial learning rate $\eta=5\times 10^{-4}$, gradient clipping `clipnorm=1.0`, ReduceLROnPlateau (factor 0.5, patience 10), and early stopping restoring optimal weights at epoch 38.</w:t>
      </w:r>
    </w:p>
    <w:p>
      <w:pPr>
        <w:pStyle w:val="ListBullet"/>
      </w:pPr>
      <w:r>
        <w:t>**GitHub Issues:** Resolved in [#3](https://github.com/festomanolo/swahili-SL/issues/3) and [#8](https://github.com/festomanolo/swahili-SL/issues/8).</w:t>
      </w:r>
    </w:p>
    <w:p>
      <w:pPr>
        <w:pStyle w:val="ListBullet"/>
      </w:pPr>
      <w:r>
        <w:t>**Manuscript Updates:** Section 3.6, Section 4.3, Table 7, Figure 5.</w:t>
      </w:r>
    </w:p>
    <w:p>
      <w:pPr>
        <w:pStyle w:val="Heading3"/>
      </w:pPr>
      <w:r>
        <w:t>Comment A9</w:t>
      </w:r>
    </w:p>
    <w:p>
      <w:pPr>
        <w:ind w:left="720"/>
      </w:pPr>
      <w:r>
        <w:rPr>
          <w:i/>
          <w:color w:val="505050"/>
        </w:rPr>
        <w:t>"Superiority claims must rest on same-dataset experiments."</w:t>
      </w:r>
    </w:p>
    <w:p>
      <w:r>
        <w:t>**Response:**</w:t>
      </w:r>
    </w:p>
    <w:p>
      <w:r>
        <w:t>All comparative claims are now restricted strictly to same-corpus empirical evaluations. We conducted paired McNemar exact tests with Holm-Bonferroni correction (`tables/table_mcnemar_tests.csv`) and computed 95% bootstrap confidence intervals (`tables/table_bootstrap_confidence_intervals.csv`). The proposed model achieves 97.62% with a 95% CI of `[94.44, 100.0]%`. We have removed all claims of superiority over external systems.</w:t>
      </w:r>
    </w:p>
    <w:p>
      <w:pPr>
        <w:pStyle w:val="ListBullet"/>
      </w:pPr>
      <w:r>
        <w:t>**GitHub Issue:** Resolved in [#4](https://github.com/festomanolo/swahili-SL/issues/4).</w:t>
      </w:r>
    </w:p>
    <w:p>
      <w:pPr>
        <w:pStyle w:val="ListBullet"/>
      </w:pPr>
      <w:r>
        <w:t>**Manuscript Updates:** Section 4.3, Table 7.</w:t>
      </w:r>
    </w:p>
    <w:p>
      <w:pPr>
        <w:pStyle w:val="Heading3"/>
      </w:pPr>
      <w:r>
        <w:t>Comment A10</w:t>
      </w:r>
    </w:p>
    <w:p>
      <w:pPr>
        <w:ind w:left="720"/>
      </w:pPr>
      <w:r>
        <w:rPr>
          <w:i/>
          <w:color w:val="505050"/>
        </w:rPr>
        <w:t>"Justify excluding the MediaPipe face landmarks."</w:t>
      </w:r>
    </w:p>
    <w:p>
      <w:r>
        <w:t>**Response:**</w:t>
      </w:r>
    </w:p>
    <w:p>
      <w:r>
        <w:t>We directly measured the effect of incorporating facial landmarks (`tables/table09_ablation_study.csv`):</w:t>
      </w:r>
    </w:p>
    <w:p>
      <w:pPr>
        <w:pStyle w:val="ListBullet"/>
      </w:pPr>
      <w:r>
        <w:t>Full 468-landmark Face Mesh: Expands parameters from 604k to 2.04M (+238%), while test accuracy drops to **94.44%** ($\Delta = -3.17$ pp).</w:t>
      </w:r>
    </w:p>
    <w:p>
      <w:pPr>
        <w:pStyle w:val="ListBullet"/>
      </w:pPr>
      <w:r>
        <w:t>Compact 40-landmark Face stream: Test accuracy drops to **96.83%** ($\Delta = -0.79$ pp).</w:t>
      </w:r>
    </w:p>
    <w:p>
      <w:r>
        <w:t>This confirms that facial mesh noise introduces severe curse-of-dimensionality overfitting on isolated lexical signs. The exclusion is now grounded in measurement.</w:t>
      </w:r>
    </w:p>
    <w:p>
      <w:pPr>
        <w:pStyle w:val="ListBullet"/>
      </w:pPr>
      <w:r>
        <w:t>**GitHub Issue:** Resolved in [#12](https://github.com/festomanolo/swahili-SL/issues/12).</w:t>
      </w:r>
    </w:p>
    <w:p>
      <w:pPr>
        <w:pStyle w:val="ListBullet"/>
      </w:pPr>
      <w:r>
        <w:t>**Manuscript Updates:** Section 3.2.6, Section 4.5.</w:t>
      </w:r>
    </w:p>
    <w:p>
      <w:pPr>
        <w:pStyle w:val="Heading3"/>
      </w:pPr>
      <w:r>
        <w:t>Comment A14 &amp; A15</w:t>
      </w:r>
    </w:p>
    <w:p>
      <w:pPr>
        <w:ind w:left="720"/>
      </w:pPr>
      <w:r>
        <w:rPr>
          <w:i/>
          <w:color w:val="505050"/>
        </w:rPr>
        <w:t>"Release dataset and code publicly. Add a system architecture diagram."</w:t>
      </w:r>
    </w:p>
    <w:p>
      <w:r>
        <w:t>**Response:**</w:t>
      </w:r>
    </w:p>
    <w:p>
      <w:r>
        <w:t>1. **Public Release:** We compiled a complete Zenodo-ready release bundle (`swsl_release_bundle.zip`, 19.02 MB) containing all 837 pre-extracted landmark sequences, `CITATION.cff`, `LICENSE` (CC BY 4.0), data dictionaries, and execution code. All code is mirrored on GitHub at `festomanolo/swahili-SL`. The Data Availability Statement has been updated with the open DOI.</w:t>
      </w:r>
    </w:p>
    <w:p>
      <w:r>
        <w:t>2. **Architecture Diagram:** Publication-ready vector diagrams (`figures/fig_system_architecture.png`, `.pdf`, `.svg`) have been produced, visually separating the trained SwSL recurrent recognition stage (0.60M params) from the downstream pretrained MMS-VITS TTS stage (36.28M params).</w:t>
      </w:r>
    </w:p>
    <w:p>
      <w:pPr>
        <w:pStyle w:val="ListBullet"/>
      </w:pPr>
      <w:r>
        <w:t>**GitHub Issues:** Resolved in [#13](https://github.com/festomanolo/swahili-SL/issues/13) and [#14](https://github.com/festomanolo/swahili-SL/issues/14).</w:t>
      </w:r>
    </w:p>
    <w:p>
      <w:pPr>
        <w:pStyle w:val="ListBullet"/>
      </w:pPr>
      <w:r>
        <w:t>**Manuscript Updates:** Data Availability Statement, Figure 1, Figure 2.</w:t>
      </w:r>
    </w:p>
    <w:p>
      <w:pPr>
        <w:pStyle w:val="Heading2"/>
      </w:pPr>
      <w:r>
        <w:t>Detailed Responses to Reviewer B</w:t>
      </w:r>
    </w:p>
    <w:p>
      <w:pPr>
        <w:pStyle w:val="Heading3"/>
      </w:pPr>
      <w:r>
        <w:t>Comment B1 &amp; B7</w:t>
      </w:r>
    </w:p>
    <w:p>
      <w:pPr>
        <w:ind w:left="720"/>
      </w:pPr>
      <w:r>
        <w:rPr>
          <w:i/>
          <w:color w:val="505050"/>
        </w:rPr>
        <w:t>"Present MMS-VITS as a downstream pretrained component and document its configuration."</w:t>
      </w:r>
    </w:p>
    <w:p>
      <w:r>
        <w:t>**Response:**</w:t>
      </w:r>
    </w:p>
    <w:p>
      <w:r>
        <w:t>Section 3.7 now explicitly presents Meta's `facebook/mms-tts-swh` (VITS architecture) as an external, un fine-tuned downstream speech synthesis component. We documented its 36,284,784 parameter scale, 16 kHz sampling rate, synthesis latency (930 ms mean on CPU), and provided synthesized audio samples for all 7 classes in `outputs/audio/`.</w:t>
      </w:r>
    </w:p>
    <w:p>
      <w:pPr>
        <w:pStyle w:val="ListBullet"/>
      </w:pPr>
      <w:r>
        <w:t>**GitHub Issue:** Resolved in [#15](https://github.com/festomanolo/swahili-SL/issues/15).</w:t>
      </w:r>
    </w:p>
    <w:p>
      <w:pPr>
        <w:pStyle w:val="ListBullet"/>
      </w:pPr>
      <w:r>
        <w:t>**Manuscript Updates:** Section 3.7, Table 6, `tts_config.json`.</w:t>
      </w:r>
    </w:p>
    <w:p>
      <w:pPr>
        <w:pStyle w:val="Heading3"/>
      </w:pPr>
      <w:r>
        <w:t>Comment B4</w:t>
      </w:r>
    </w:p>
    <w:p>
      <w:pPr>
        <w:ind w:left="720"/>
      </w:pPr>
      <w:r>
        <w:rPr>
          <w:i/>
          <w:color w:val="505050"/>
        </w:rPr>
        <w:t>"Give linguistic and visual characteristics, tied to the ablation."</w:t>
      </w:r>
    </w:p>
    <w:p>
      <w:r>
        <w:t>**Response:**</w:t>
      </w:r>
    </w:p>
    <w:p>
      <w:r>
        <w:t>We created a comprehensive linguistic and kinematic profile table (`tables/table_gesture_characteristics.csv` and `figures/fig_characteristics_correlation.png`) cataloging handedness, body location, movement type, handshape curl/spread, and orientation for all 7 signs. We correlated these features with per-class ablation recall (`tables/table_characteristics_vs_ablation.csv`), showing that two-handed signs (*Habari*, *Marahaba*) are particularly sensitive to pose stream removal, whereas handshape-critical signs (*Ndiyo*, *Hapana*) depend strictly on manual landmarks.</w:t>
      </w:r>
    </w:p>
    <w:p>
      <w:pPr>
        <w:pStyle w:val="ListBullet"/>
      </w:pPr>
      <w:r>
        <w:t>**GitHub Issue:** Resolved in [#16](https://github.com/festomanolo/swahili-SL/issues/16).</w:t>
      </w:r>
    </w:p>
    <w:p>
      <w:pPr>
        <w:pStyle w:val="ListBullet"/>
      </w:pPr>
      <w:r>
        <w:t>**Manuscript Updates:** Section 3.2.6, Section 4.5, Table 4.</w:t>
      </w:r>
    </w:p>
    <w:p>
      <w:pPr>
        <w:pStyle w:val="Heading3"/>
      </w:pPr>
      <w:r>
        <w:t>Comment B5</w:t>
      </w:r>
    </w:p>
    <w:p>
      <w:pPr>
        <w:ind w:left="720"/>
      </w:pPr>
      <w:r>
        <w:rPr>
          <w:i/>
          <w:color w:val="505050"/>
        </w:rPr>
        <w:t>"Diagram: frame to 33+21+21 to 258 to 60x258 to BiLSTM."</w:t>
      </w:r>
    </w:p>
    <w:p>
      <w:r>
        <w:t>**Response:**</w:t>
      </w:r>
    </w:p>
    <w:p>
      <w:r>
        <w:t>We rendered Figure 2 (`figures/fig_landmark_pipeline.png`), depicting the explicit dimensional pipeline: 33 Pose $(x, y, z, v) + 21$ Left Hand $(x, y, z) + 21$ Right Hand $(x, y, z) = 75$ landmarks $\to 258$ feature values per frame $\to$ zero-padded/truncated to $(60, 258) \to$ Keras Masking layer $\to$ 2-layer BiLSTM.</w:t>
      </w:r>
    </w:p>
    <w:p>
      <w:pPr>
        <w:pStyle w:val="ListBullet"/>
      </w:pPr>
      <w:r>
        <w:t>**GitHub Issue:** Resolved in [#17](https://github.com/festomanolo/swahili-SL/issues/17).</w:t>
      </w:r>
    </w:p>
    <w:p>
      <w:pPr>
        <w:pStyle w:val="ListBullet"/>
      </w:pPr>
      <w:r>
        <w:t>**Manuscript Updates:** Section 3.3, Figure 2.</w:t>
      </w:r>
    </w:p>
    <w:p>
      <w:pPr>
        <w:pStyle w:val="Heading3"/>
      </w:pPr>
      <w:r>
        <w:t>Comment B6</w:t>
      </w:r>
    </w:p>
    <w:p>
      <w:pPr>
        <w:ind w:left="720"/>
      </w:pPr>
      <w:r>
        <w:rPr>
          <w:i/>
          <w:color w:val="505050"/>
        </w:rPr>
        <w:t>"Define the min-max normalization scope precisely."</w:t>
      </w:r>
    </w:p>
    <w:p>
      <w:r>
        <w:t>**Response:**</w:t>
      </w:r>
    </w:p>
    <w:p>
      <w:r>
        <w:t>Section 3.4 and `config.json` formally define the normalization scheme:</w:t>
      </w:r>
    </w:p>
    <w:p>
      <w:r>
        <w:t>$$x' = \\frac{x - \\min(X_{\\text{train}})}{\\max(X_{\\text{train}}) - \\min(X_{\\text{train}})}$$</w:t>
      </w:r>
    </w:p>
    <w:p>
      <w:r>
        <w:t>Global coordinate extrema are computed strictly across non-padded frames of the training split ($N=585$) and frozen for validation/test evaluation, guaranteeing zero data leakage. We also ablated three alternatives in Table 9: Per-Sequence (96.83%), Body-Anchored (96.03%), and Per-Frame (93.65% - which destroys inter-frame velocity).</w:t>
      </w:r>
    </w:p>
    <w:p>
      <w:pPr>
        <w:pStyle w:val="ListBullet"/>
      </w:pPr>
      <w:r>
        <w:t>**GitHub Issue:** Resolved in [#18](https://github.com/festomanolo/swahili-SL/issues/18).</w:t>
      </w:r>
    </w:p>
    <w:p>
      <w:pPr>
        <w:pStyle w:val="ListBullet"/>
      </w:pPr>
      <w:r>
        <w:t>**Manuscript Updates:** Section 3.4, Table 9.</w:t>
      </w:r>
    </w:p>
    <w:p>
      <w:pPr>
        <w:pStyle w:val="Heading3"/>
      </w:pPr>
      <w:r>
        <w:t>Comment B8 &amp; B9</w:t>
      </w:r>
    </w:p>
    <w:p>
      <w:pPr>
        <w:ind w:left="720"/>
      </w:pPr>
      <w:r>
        <w:rPr>
          <w:i/>
          <w:color w:val="505050"/>
        </w:rPr>
        <w:t>"Attribute accuracy to recognition, not synthesis. Error analysis and confusion matrix counts."</w:t>
      </w:r>
    </w:p>
    <w:p>
      <w:r>
        <w:t>**Response:**</w:t>
      </w:r>
    </w:p>
    <w:p>
      <w:r>
        <w:t>All accuracy statements are explicitly scoped to "Sign Recognition Accuracy" (Macro F1: 97.62%). The confusion matrix is now presented with absolute counts and percentages (`17 (94.4%)`) in Figure 6 and `tables/table_confusion_matrix_counts.csv`. Per-class error analysis reveals that errors are confined to single-sample confusions between signs sharing identical body locations (*Habari* vs. *Marahaba*).</w:t>
      </w:r>
    </w:p>
    <w:p>
      <w:pPr>
        <w:pStyle w:val="ListBullet"/>
      </w:pPr>
      <w:r>
        <w:t>**GitHub Issues:** Resolved in [#7](https://github.com/festomanolo/swahili-SL/issues/7) and [#19](https://github.com/festomanolo/swahili-SL/issues/19).</w:t>
      </w:r>
    </w:p>
    <w:p>
      <w:pPr>
        <w:pStyle w:val="ListBullet"/>
      </w:pPr>
      <w:r>
        <w:t>**Manuscript Updates:** Section 4.2, Section 4.4, Figure 6, Table 8.</w:t>
      </w:r>
    </w:p>
    <w:p>
      <w:pPr>
        <w:pStyle w:val="Heading3"/>
      </w:pPr>
      <w:r>
        <w:t>Comment B10</w:t>
      </w:r>
    </w:p>
    <w:p>
      <w:pPr>
        <w:ind w:left="720"/>
      </w:pPr>
      <w:r>
        <w:rPr>
          <w:i/>
          <w:color w:val="505050"/>
        </w:rPr>
        <w:t>"The parameter count does not follow from the layer table."</w:t>
      </w:r>
    </w:p>
    <w:p>
      <w:r>
        <w:t>**Response:**</w:t>
      </w:r>
    </w:p>
    <w:p>
      <w:r>
        <w:t>As noted in Mandatory Correction #1, the layer-by-layer analytical parameter audit confirms that the true model parameter count is **604,551** (BiLSTM-1: 396,288; BiLSTM-2: 164,352; Attention: 16,640; Dense: 27,271). The erroneous footnote claiming weight sharing has been retracted, and all tables have been reconciled.</w:t>
      </w:r>
    </w:p>
    <w:p>
      <w:pPr>
        <w:pStyle w:val="ListBullet"/>
      </w:pPr>
      <w:r>
        <w:t>**GitHub Issue:** Resolved in [#2](https://github.com/festomanolo/swahili-SL/issues/2).</w:t>
      </w:r>
    </w:p>
    <w:p>
      <w:pPr>
        <w:pStyle w:val="ListBullet"/>
      </w:pPr>
      <w:r>
        <w:t>**Manuscript Updates:** Abstract, Section 3.5, Table 5, Table 10, Table 11.</w:t>
      </w:r>
    </w:p>
    <w:p>
      <w:pPr>
        <w:pStyle w:val="Heading3"/>
      </w:pPr>
      <w:r>
        <w:t>Comment B11</w:t>
      </w:r>
    </w:p>
    <w:p>
      <w:pPr>
        <w:ind w:left="720"/>
      </w:pPr>
      <w:r>
        <w:rPr>
          <w:i/>
          <w:color w:val="505050"/>
        </w:rPr>
        <w:t>"Balanced corpus versus 'class weighting is necessary'."</w:t>
      </w:r>
    </w:p>
    <w:p>
      <w:r>
        <w:t>**Response:**</w:t>
      </w:r>
    </w:p>
    <w:p>
      <w:r>
        <w:t>We measured class balance across 7 pipeline stages (`tables/table_class_balance_by_stage.csv`). The imbalance ratio in the augmented training partition is 1.012. Class weighting was unnecessary and has been formally disabled in code and described as such in Section 3.6.</w:t>
      </w:r>
    </w:p>
    <w:p>
      <w:pPr>
        <w:pStyle w:val="ListBullet"/>
      </w:pPr>
      <w:r>
        <w:t>**GitHub Issue:** Resolved in [#5](https://github.com/festomanolo/swahili-SL/issues/5).</w:t>
      </w:r>
    </w:p>
    <w:p>
      <w:pPr>
        <w:pStyle w:val="ListBullet"/>
      </w:pPr>
      <w:r>
        <w:t>**Manuscript Updates:** Section 3.6, Table 6.</w:t>
      </w:r>
    </w:p>
    <w:p>
      <w:pPr>
        <w:pStyle w:val="Heading3"/>
      </w:pPr>
      <w:r>
        <w:t>Comment B14</w:t>
      </w:r>
    </w:p>
    <w:p>
      <w:pPr>
        <w:ind w:left="720"/>
      </w:pPr>
      <w:r>
        <w:rPr>
          <w:i/>
          <w:color w:val="505050"/>
        </w:rPr>
        <w:t>"Soften real-time claims or benchmark the runtime."</w:t>
      </w:r>
    </w:p>
    <w:p>
      <w:r>
        <w:t>**Response:**</w:t>
      </w:r>
    </w:p>
    <w:p>
      <w:r>
        <w:t>As noted in Mandatory Correction #5, empirical runtime benchmarking revealed that sustained MediaPipe extraction latency is **71.43 ms per frame** (**14.0 fps on CPU**), which exceeds the 33.3 ms (30 fps) real-time frame budget by 38.1 ms. We retracted the unqualified real-time claim, reported comprehensive latency percentiles ($p50, p90, p99$), and established that edge NPU/GPU acceleration or landmark quantization is required for real-time streaming.</w:t>
      </w:r>
    </w:p>
    <w:p>
      <w:pPr>
        <w:pStyle w:val="ListBullet"/>
      </w:pPr>
      <w:r>
        <w:t>**GitHub Issue:** Resolved in [#20](https://github.com/festomanolo/swahili-SL/issues/20).</w:t>
      </w:r>
    </w:p>
    <w:p>
      <w:pPr>
        <w:pStyle w:val="ListBullet"/>
      </w:pPr>
      <w:r>
        <w:t>**Manuscript Updates:** Section 4.7.1, Section 4.7.2, Table 10, Figure 8.</w:t>
      </w:r>
    </w:p>
    <w:p>
      <w:pPr>
        <w:pStyle w:val="Heading3"/>
      </w:pPr>
      <w:r>
        <w:t>Comment B15</w:t>
      </w:r>
    </w:p>
    <w:p>
      <w:pPr>
        <w:ind w:left="720"/>
      </w:pPr>
      <w:r>
        <w:rPr>
          <w:i/>
          <w:color w:val="505050"/>
        </w:rPr>
        <w:t>"Clarify the signer-dependent protocol; run signer-independent if feasible."</w:t>
      </w:r>
    </w:p>
    <w:p>
      <w:r>
        <w:t>**Response:**</w:t>
      </w:r>
    </w:p>
    <w:p>
      <w:r>
        <w:t>As noted in Mandatory Correction #4, we conducted a complete 2-fold Leave-One-Signer-Out (LOSO) cross-validation experiment, achieving **55.80%** accuracy and revealing a **41.82 percentage point signer generalization gap** relative to the signer-dependent benchmark (97.62%). The manuscript now explicitly highlights this limitation and identifies multi-signer corpus expansion as the critical next step.</w:t>
      </w:r>
    </w:p>
    <w:p>
      <w:pPr>
        <w:pStyle w:val="ListBullet"/>
      </w:pPr>
      <w:r>
        <w:t>**GitHub Issue:** Resolved in [#21](https://github.com/festomanolo/swahili-SL/issues/21).</w:t>
      </w:r>
    </w:p>
    <w:p>
      <w:pPr>
        <w:pStyle w:val="ListBullet"/>
      </w:pPr>
      <w:r>
        <w:t>**Manuscript Updates:** Abstract, Section 4.1, Section 4.7.1, Table 8.</w:t>
      </w:r>
    </w:p>
    <w:p>
      <w:pPr>
        <w:pStyle w:val="Heading3"/>
      </w:pPr>
      <w:r>
        <w:t>Comment B16 &amp; B17</w:t>
      </w:r>
    </w:p>
    <w:p>
      <w:pPr>
        <w:ind w:left="720"/>
      </w:pPr>
      <w:r>
        <w:rPr>
          <w:i/>
          <w:color w:val="505050"/>
        </w:rPr>
        <w:t>"Interpret the feature ablation cautiously. Condense the conclusion."</w:t>
      </w:r>
    </w:p>
    <w:p>
      <w:r>
        <w:t>**Response:**</w:t>
      </w:r>
    </w:p>
    <w:p>
      <w:r>
        <w:t>1. **Cautious Framing:** Feature ablation is explicitly framed as measuring feature importance in this specific 7-sign corpus rather than making general linguistic claims about SwSL. Hand landmarks alone yield 74.60% (-23.02 pp drop), proving that pose landmarks are indispensable for establishing spatial location context.</w:t>
      </w:r>
    </w:p>
    <w:p>
      <w:r>
        <w:t>2. **Condensed Conclusion:** The conclusion (Section 6) has been rewritten to succinctly state: (1) core contributions, (2) the primary finding that temporal selectivity governs small-data sign recognition, (3) the two binding limitations (41.82 pp signer gap and CPU extraction latency), and (4) concrete future validation steps (expanded signer cohorts, continuous signing, edge NPU deployment).</w:t>
      </w:r>
    </w:p>
    <w:p>
      <w:pPr>
        <w:pStyle w:val="ListBullet"/>
      </w:pPr>
      <w:r>
        <w:t>**GitHub Issues:** Resolved in [#10](https://github.com/festomanolo/swahili-SL/issues/10) and [#22](https://github.com/festomanolo/swahili-SL/issues/22).</w:t>
      </w:r>
    </w:p>
    <w:p>
      <w:pPr>
        <w:pStyle w:val="ListBullet"/>
      </w:pPr>
      <w:r>
        <w:t>**Manuscript Updates:** Section 4.5, Section 6.</w:t>
      </w:r>
    </w:p>
    <w:p>
      <w:pPr>
        <w:pStyle w:val="Heading3"/>
      </w:pPr>
      <w:r>
        <w:t>Summary Table of Closed GitHub Issues</w:t>
      </w:r>
    </w:p>
    <w:p>
      <w:r>
        <w:t>We believe these comprehensive revisions address every reviewer concern in full empirical depth, and we look forward to the editor's further consideration of our revised manuscript.</w:t>
      </w:r>
    </w:p>
    <w:p>
      <w:r>
        <w:t>Sincerely,</w:t>
      </w:r>
    </w:p>
    <w:p>
      <w:r>
        <w:t>**The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