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789399DA"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de </w:t>
      </w:r>
      <w:r w:rsidR="00016E91">
        <w:rPr>
          <w:i/>
          <w:lang w:val="fr-CH"/>
        </w:rPr>
        <w:t>Invasion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du film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r w:rsidR="00016E91">
        <w:rPr>
          <w:lang w:val="fr-CH"/>
        </w:rPr>
        <w:t xml:space="preserve"> pures, sans toutefois complètement les omettre.</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la dernière partie de ce chapitre,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au(x) film(s).</w:t>
      </w:r>
      <w:r w:rsidR="008364AE">
        <w:rPr>
          <w:lang w:val="fr-CH"/>
        </w:rPr>
        <w:t xml:space="preserve"> Finalement, il conviendra de mentionner les 3 livres dédi</w:t>
      </w:r>
      <w:r w:rsidR="00C87D83">
        <w:rPr>
          <w:lang w:val="fr-CH"/>
        </w:rPr>
        <w:t>és au(x)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de </w:t>
      </w:r>
      <w:r w:rsidR="00333A58">
        <w:rPr>
          <w:i/>
          <w:lang w:val="fr-CH"/>
        </w:rPr>
        <w:t xml:space="preserve">Invasion </w:t>
      </w:r>
      <w:r w:rsidR="00333A58">
        <w:rPr>
          <w:i/>
          <w:lang w:val="fr-CH"/>
        </w:rPr>
        <w:lastRenderedPageBreak/>
        <w:t>of the Body Snatchers</w:t>
      </w:r>
      <w:r w:rsidR="00333A58">
        <w:rPr>
          <w:rStyle w:val="FootnoteReference"/>
          <w:i/>
          <w:lang w:val="fr-CH"/>
        </w:rPr>
        <w:footnoteReference w:id="6"/>
      </w:r>
      <w:r w:rsidR="007D7652">
        <w:rPr>
          <w:lang w:val="fr-CH"/>
        </w:rPr>
        <w:t>. 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r w:rsidRPr="00611886">
        <w:rPr>
          <w:lang w:val="fr-CH"/>
        </w:rPr>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02CA7311"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 comme le témoigne la lettre de Walter Wagner du 7 mai 1956 adressée à Bosley</w:t>
      </w:r>
      <w:r w:rsidR="0000607A">
        <w:rPr>
          <w:lang w:val="fr-CH"/>
        </w:rPr>
        <w:t xml:space="preserve"> Crowther</w:t>
      </w:r>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dans laquelle il affirme également </w:t>
      </w:r>
      <w:r w:rsidR="00A17F6D">
        <w:rPr>
          <w:lang w:val="fr-CH"/>
        </w:rPr>
        <w:t>« </w:t>
      </w:r>
      <w:r w:rsidR="00A17F6D" w:rsidRPr="00A17F6D">
        <w:rPr>
          <w:lang w:val="en-US"/>
        </w:rPr>
        <w:t xml:space="preserve">it’s definitely an exploitation picture which they </w:t>
      </w:r>
      <w:r w:rsidR="00A17F6D">
        <w:rPr>
          <w:lang w:val="en-US"/>
        </w:rPr>
        <w:t>[the distributor and exhibitor]</w:t>
      </w:r>
      <w:r w:rsidR="00ED47B2">
        <w:rPr>
          <w:lang w:val="en-US"/>
        </w:rPr>
        <w:t xml:space="preserve"> </w:t>
      </w:r>
      <w:r w:rsidR="00A17F6D" w:rsidRPr="00A17F6D">
        <w:rPr>
          <w:lang w:val="en-US"/>
        </w:rPr>
        <w:t>didn’t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 Le choix de plusieurs auteurs</w:t>
      </w:r>
      <w:r w:rsidR="00F4408F">
        <w:rPr>
          <w:rStyle w:val="FootnoteReference"/>
          <w:lang w:val="fr-CH"/>
        </w:rPr>
        <w:footnoteReference w:id="10"/>
      </w:r>
      <w:r w:rsidR="006E044F">
        <w:rPr>
          <w:lang w:val="fr-CH"/>
        </w:rPr>
        <w:t xml:space="preserve"> de citer cette lettre </w:t>
      </w:r>
      <w:r w:rsidR="00F51A78">
        <w:rPr>
          <w:lang w:val="fr-CH"/>
        </w:rPr>
        <w:t>trahit également une volonté de légitimation d’un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avait connu un retentissement positif dans la grande presse. Il cite trois facteurs qui ont entrainé le manque d’</w:t>
      </w:r>
      <w:r w:rsidR="008915E7">
        <w:rPr>
          <w:lang w:val="fr-CH"/>
        </w:rPr>
        <w:t>intérêt</w:t>
      </w:r>
      <w:r w:rsidR="00293BA0">
        <w:rPr>
          <w:lang w:val="fr-CH"/>
        </w:rPr>
        <w:t xml:space="preserve"> des publications majeures pour le film : son « </w:t>
      </w:r>
      <w:r w:rsidR="00293BA0" w:rsidRPr="00C060D1">
        <w:rPr>
          <w:lang w:val="en-US"/>
        </w:rPr>
        <w:t>lowly science fiction status</w:t>
      </w:r>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 sorti en salles le 5 février 1956</w:t>
      </w:r>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période de vacances peu propice à </w:t>
      </w:r>
      <w:r w:rsidR="00F963E4">
        <w:rPr>
          <w:lang w:val="fr-CH"/>
        </w:rPr>
        <w:lastRenderedPageBreak/>
        <w:t>ce genre d’</w:t>
      </w:r>
      <w:r w:rsidR="00B90B58">
        <w:rPr>
          <w:lang w:val="fr-CH"/>
        </w:rPr>
        <w:t>évènements</w:t>
      </w:r>
      <w:r w:rsidR="00F963E4">
        <w:rPr>
          <w:lang w:val="fr-CH"/>
        </w:rPr>
        <w:t>.</w:t>
      </w:r>
      <w:r w:rsidR="001D3B62">
        <w:rPr>
          <w:lang w:val="fr-CH"/>
        </w:rPr>
        <w:t xml:space="preserve"> La douzaine de critiques publiées au moment de la sortie du film sont malgré tout positives : </w:t>
      </w:r>
      <w:r w:rsidR="009E498B" w:rsidRPr="00C060D1">
        <w:rPr>
          <w:i/>
          <w:lang w:val="en-US"/>
        </w:rPr>
        <w:t>Sight and Sound</w:t>
      </w:r>
      <w:r w:rsidR="009E498B">
        <w:rPr>
          <w:lang w:val="fr-CH"/>
        </w:rPr>
        <w:t xml:space="preserve"> parle d’une « </w:t>
      </w:r>
      <w:r w:rsidR="001B2667" w:rsidRPr="00C060D1">
        <w:rPr>
          <w:lang w:val="en-US"/>
        </w:rPr>
        <w:t>excellent</w:t>
      </w:r>
      <w:r w:rsidR="00E4428C" w:rsidRPr="00C060D1">
        <w:rPr>
          <w:lang w:val="en-US"/>
        </w:rPr>
        <w:t xml:space="preserve"> </w:t>
      </w:r>
      <w:r w:rsidR="009E498B" w:rsidRPr="00C060D1">
        <w:rPr>
          <w:lang w:val="en-US"/>
        </w:rPr>
        <w:t>atmosphere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C060D1">
        <w:rPr>
          <w:lang w:val="en-US"/>
        </w:rPr>
        <w:t>the solid emotion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C060D1">
        <w:rPr>
          <w:i/>
          <w:lang w:val="en-US"/>
        </w:rPr>
        <w:t>The Daily Film Reviewer</w:t>
      </w:r>
      <w:r w:rsidR="001B2667">
        <w:rPr>
          <w:lang w:val="fr-CH"/>
        </w:rPr>
        <w:t xml:space="preserve"> qualifie le film de «</w:t>
      </w:r>
      <w:r w:rsidR="001B2667" w:rsidRPr="00C060D1">
        <w:rPr>
          <w:lang w:val="en-US"/>
        </w:rPr>
        <w:t> </w:t>
      </w:r>
      <w:r w:rsidR="00C060D1" w:rsidRPr="00C060D1">
        <w:rPr>
          <w:lang w:val="en-US"/>
        </w:rPr>
        <w:t>brilliant</w:t>
      </w:r>
      <w:r w:rsidR="001B2667" w:rsidRPr="00C060D1">
        <w:rPr>
          <w:lang w:val="en-US"/>
        </w:rPr>
        <w:t xml:space="preserve"> and unusual science shocker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C060D1">
        <w:rPr>
          <w:i/>
          <w:lang w:val="en-US"/>
        </w:rPr>
        <w:t>The Thing</w:t>
      </w:r>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comme tentative d’imiter son succès ; bien que le résumé du film dans critique de Sarah Hamilton 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C060D1">
        <w:rPr>
          <w:lang w:val="en-US"/>
        </w:rPr>
        <w:t>The Things that came from another world ! </w:t>
      </w:r>
      <w:r w:rsidR="00283CF4">
        <w:rPr>
          <w:lang w:val="fr-CH"/>
        </w:rPr>
        <w:t>»</w:t>
      </w:r>
      <w:r w:rsidR="00283CF4">
        <w:rPr>
          <w:rStyle w:val="FootnoteReference"/>
          <w:lang w:val="fr-CH"/>
        </w:rPr>
        <w:footnoteReference w:id="22"/>
      </w:r>
      <w:r w:rsidR="00F3274A">
        <w:rPr>
          <w:lang w:val="fr-CH"/>
        </w:rPr>
        <w:t xml:space="preserve">. </w:t>
      </w:r>
      <w:r w:rsidR="00AB3AD4">
        <w:rPr>
          <w:lang w:val="fr-CH"/>
        </w:rPr>
        <w:t>Ce que toutes les critiques américaines et britanniques de l’</w:t>
      </w:r>
      <w:r w:rsidR="00E41347">
        <w:rPr>
          <w:lang w:val="fr-CH"/>
        </w:rPr>
        <w:t>époques manquent de mentionner est le sous-texte politique du film, chose qui n’échappe pas à la 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d’ «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them lies money. Hollywood simply can’t allow success, a job well-done, to rest unmolested. As art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consistency :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26DEA378" w:rsidR="00656792" w:rsidRDefault="0082622B" w:rsidP="00FE1599">
      <w:pPr>
        <w:pStyle w:val="Mmoire"/>
        <w:rPr>
          <w:lang w:val="fr-CH"/>
        </w:rPr>
      </w:pPr>
      <w:r>
        <w:rPr>
          <w:lang w:val="fr-CH"/>
        </w:rPr>
        <w:t xml:space="preserve">Le film de Siegel est omniprésent dans les critiques du remake de Kaufman </w:t>
      </w:r>
      <w:r w:rsidRPr="00FA4053">
        <w:rPr>
          <w:lang w:val="en-US"/>
        </w:rPr>
        <w:t>(« why does it seem needless to say ‘needless to say’ ? »</w:t>
      </w:r>
      <w:r>
        <w:rPr>
          <w:lang w:val="fr-CH"/>
        </w:rPr>
        <w:t xml:space="preserve"> ironise David Kehr</w:t>
      </w:r>
      <w:r>
        <w:rPr>
          <w:rStyle w:val="FootnoteReference"/>
          <w:lang w:val="fr-CH"/>
        </w:rPr>
        <w:footnoteReference w:id="30"/>
      </w:r>
      <w:r>
        <w:rPr>
          <w:lang w:val="fr-CH"/>
        </w:rPr>
        <w:t>)</w:t>
      </w:r>
      <w:r w:rsidR="00732B2C">
        <w:rPr>
          <w:lang w:val="fr-CH"/>
        </w:rPr>
        <w:t xml:space="preserve">, et est effectivement pris comme étalon dans l’évaluation. </w:t>
      </w:r>
      <w:r w:rsidR="00732B2C" w:rsidRPr="00781EA5">
        <w:rPr>
          <w:lang w:val="en-GB"/>
        </w:rPr>
        <w:t xml:space="preserve">Toutefois, Kehr lui-même s’accorde à dire que </w:t>
      </w:r>
      <w:r w:rsidR="00543A54" w:rsidRPr="00781EA5">
        <w:rPr>
          <w:lang w:val="en-GB"/>
        </w:rPr>
        <w:t>« </w:t>
      </w:r>
      <w:r w:rsidR="00543A54" w:rsidRPr="00FA4053">
        <w:rPr>
          <w:lang w:val="en-US"/>
        </w:rPr>
        <w:t>Phil Kaufman’s version […] is as good as remakes go, but not as good as the original</w:t>
      </w:r>
      <w:r w:rsidR="00543A54" w:rsidRPr="00781EA5">
        <w:rPr>
          <w:lang w:val="en-GB"/>
        </w:rPr>
        <w:t> »</w:t>
      </w:r>
      <w:r w:rsidR="00543A54">
        <w:rPr>
          <w:rStyle w:val="FootnoteReference"/>
          <w:lang w:val="fr-CH"/>
        </w:rPr>
        <w:footnoteReference w:id="31"/>
      </w:r>
      <w:r w:rsidR="00F54F1D" w:rsidRPr="00781EA5">
        <w:rPr>
          <w:lang w:val="en-GB"/>
        </w:rPr>
        <w:t xml:space="preserve">, </w:t>
      </w:r>
      <w:r w:rsidR="00A00FD7" w:rsidRPr="00781EA5">
        <w:rPr>
          <w:lang w:val="en-GB"/>
        </w:rPr>
        <w:t>Richard Combs parle de « </w:t>
      </w:r>
      <w:r w:rsidR="00A00FD7" w:rsidRPr="00A00FD7">
        <w:rPr>
          <w:lang w:val="en-US"/>
        </w:rPr>
        <w:t>one of the most intriguing adaptations for some time </w:t>
      </w:r>
      <w:r w:rsidR="00A00FD7" w:rsidRPr="00781EA5">
        <w:rPr>
          <w:lang w:val="en-GB"/>
        </w:rPr>
        <w:t>»</w:t>
      </w:r>
      <w:r w:rsidR="00A00FD7">
        <w:rPr>
          <w:rStyle w:val="FootnoteReference"/>
          <w:lang w:val="fr-CH"/>
        </w:rPr>
        <w:footnoteReference w:id="32"/>
      </w:r>
      <w:r w:rsidR="00A00FD7" w:rsidRPr="00781EA5">
        <w:rPr>
          <w:lang w:val="en-GB"/>
        </w:rPr>
        <w:t xml:space="preserve"> </w:t>
      </w:r>
      <w:r w:rsidR="00F910DC" w:rsidRPr="00781EA5">
        <w:rPr>
          <w:lang w:val="en-GB"/>
        </w:rPr>
        <w:t xml:space="preserve">et </w:t>
      </w:r>
      <w:r w:rsidR="00F54F1D" w:rsidRPr="00781EA5">
        <w:rPr>
          <w:i/>
          <w:lang w:val="en-GB"/>
        </w:rPr>
        <w:t xml:space="preserve">Variety </w:t>
      </w:r>
      <w:r w:rsidR="00F910DC" w:rsidRPr="00781EA5">
        <w:rPr>
          <w:lang w:val="en-GB"/>
        </w:rPr>
        <w:t>va jusqu’à affirmer</w:t>
      </w:r>
      <w:r w:rsidR="00963ECD" w:rsidRPr="00781EA5">
        <w:rPr>
          <w:lang w:val="en-GB"/>
        </w:rPr>
        <w:t xml:space="preserve"> que « </w:t>
      </w:r>
      <w:r w:rsidR="00963ECD" w:rsidRPr="00C17BE9">
        <w:rPr>
          <w:lang w:val="en-US"/>
        </w:rPr>
        <w:t>The new version not only matches the original in horrific tone and effect, but exceeds it in both conception and execution. </w:t>
      </w:r>
      <w:r w:rsidR="00963ECD" w:rsidRPr="00781EA5">
        <w:rPr>
          <w:lang w:val="en-GB"/>
        </w:rPr>
        <w:t>»</w:t>
      </w:r>
      <w:r w:rsidR="00963ECD">
        <w:rPr>
          <w:rStyle w:val="FootnoteReference"/>
          <w:lang w:val="fr-CH"/>
        </w:rPr>
        <w:footnoteReference w:id="33"/>
      </w:r>
      <w:r w:rsidR="00C3166F">
        <w:rPr>
          <w:lang w:val="fr-CH"/>
        </w:rPr>
        <w:t xml:space="preserve">. </w:t>
      </w:r>
      <w:r w:rsidR="00506F6E">
        <w:rPr>
          <w:lang w:val="fr-CH"/>
        </w:rPr>
        <w:t>Beaucoup de critiques relèvent la « mise en scène luxueuse »</w:t>
      </w:r>
      <w:r w:rsidR="00506F6E">
        <w:rPr>
          <w:rStyle w:val="FootnoteReference"/>
          <w:lang w:val="fr-CH"/>
        </w:rPr>
        <w:footnoteReference w:id="34"/>
      </w:r>
      <w:r w:rsidR="00506F6E">
        <w:rPr>
          <w:lang w:val="fr-CH"/>
        </w:rPr>
        <w:t xml:space="preserve"> et parfois « </w:t>
      </w:r>
      <w:r w:rsidR="00C251F9">
        <w:rPr>
          <w:lang w:val="en-US"/>
        </w:rPr>
        <w:t>showy</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BA47A3" w:rsidRPr="00771C29">
        <w:rPr>
          <w:lang w:val="en-US"/>
        </w:rPr>
        <w:t>swift,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21887E4"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w:t>
      </w:r>
      <w:r>
        <w:rPr>
          <w:lang w:val="fr-CH"/>
        </w:rPr>
        <w:lastRenderedPageBreak/>
        <w:t>genre à gagner ; mais que « </w:t>
      </w:r>
      <w:r w:rsidRPr="00FE1599">
        <w:rPr>
          <w:lang w:val="en-US"/>
        </w:rPr>
        <w:t>as sheer moviemaking, is it skilled and knowing, and deserves the highest praise you can give a horror film : It works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74138E">
        <w:rPr>
          <w:lang w:val="en-US"/>
        </w:rPr>
        <w:t>by far the best [of the series]</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216E79">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r w:rsidR="00663724" w:rsidRPr="0047129C">
        <w:rPr>
          <w:lang w:val="en-US"/>
        </w:rPr>
        <w:t>hollow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insauvable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Joel Silver de (re)faire tourner certaines scènes à un autre réalisateur</w:t>
      </w:r>
      <w:r w:rsidR="004870CE">
        <w:rPr>
          <w:rStyle w:val="FootnoteReference"/>
        </w:rPr>
        <w:footnoteReference w:id="48"/>
      </w:r>
      <w:r w:rsidR="00B60790">
        <w:t xml:space="preserve"> qui donne l’impression de voir « </w:t>
      </w:r>
      <w:r w:rsidR="00B60790" w:rsidRPr="00781EA5">
        <w:rPr>
          <w:lang w:val="fr-CH"/>
        </w:rPr>
        <w:t>two versions of the film wrestling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50"/>
      </w:r>
      <w:r w:rsidR="00B60790">
        <w:t> : Keith Phipps parle</w:t>
      </w:r>
      <w:r w:rsidR="009F687A">
        <w:t xml:space="preserve"> par exemple</w:t>
      </w:r>
      <w:r w:rsidR="00B60790">
        <w:t xml:space="preserve"> d’un film qui « </w:t>
      </w:r>
      <w:r w:rsidR="00CE51D3" w:rsidRPr="00781EA5">
        <w:rPr>
          <w:lang w:val="fr-CH"/>
        </w:rPr>
        <w:t>looks like the work of […]</w:t>
      </w:r>
      <w:r w:rsidR="00B60790" w:rsidRPr="00781EA5">
        <w:rPr>
          <w:lang w:val="fr-CH"/>
        </w:rPr>
        <w:t xml:space="preserve"> pod people </w:t>
      </w:r>
      <w:r w:rsidR="00B60790">
        <w:t>»</w:t>
      </w:r>
      <w:r w:rsidR="00CE51D3">
        <w:rPr>
          <w:rStyle w:val="FootnoteReference"/>
        </w:rPr>
        <w:footnoteReference w:id="51"/>
      </w:r>
      <w:r w:rsidR="009F687A">
        <w:t>.</w:t>
      </w:r>
    </w:p>
    <w:p w14:paraId="136E62B5" w14:textId="7A89C988"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–avec une tendance vers la dépréciation de version en version–, et, d’une autre part, </w:t>
      </w:r>
      <w:r w:rsidR="007F6A07">
        <w:t xml:space="preserve">que la critique de la dernière version en date se réfère toujours à l’original, si ce n’est à toutes les versions précédentes. Si ces </w:t>
      </w:r>
      <w:r w:rsidR="007F6A07">
        <w:lastRenderedPageBreak/>
        <w:t xml:space="preserve">références à la généalogie des films et les jugements de valeurs émis par la critique serviront dans l’élaboration de notre argumentation ultérieure, il convient à présent de traiter de deux points clés jusqu’ici laissés délibérément 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pPr>
    </w:p>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30584320" w:rsidR="007F6A07" w:rsidRDefault="007F6A07" w:rsidP="007F6A07">
      <w:pPr>
        <w:pStyle w:val="Mmoire"/>
      </w:pPr>
      <w:r>
        <w:t xml:space="preserve"> </w:t>
      </w:r>
      <w:r w:rsidR="00781EA5">
        <w:t>Si le statut du roman de Jack Finney en tant qu’œuvre de science-fiction ne fait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–et les remakes subséquents– jouent sur une ambiguïté</w:t>
      </w:r>
      <w:r w:rsidR="00DC11D1">
        <w:t xml:space="preserve"> des genres : dans le film de Don Siegel, le seul élément de science-ficti</w:t>
      </w:r>
      <w:r w:rsidR="00D56248">
        <w:t>on du film étant le discours du Dr. Danny Kauffman (Danny) lors de la confrontation avec le Dr. Miles Bennell (Miles) et Becky Driscoll (Becky) :</w:t>
      </w:r>
    </w:p>
    <w:p w14:paraId="451401A2" w14:textId="2ABFCCE6" w:rsidR="00D56248" w:rsidRDefault="00BE2589" w:rsidP="00BE2589">
      <w:pPr>
        <w:spacing w:after="120"/>
        <w:ind w:left="720"/>
        <w:jc w:val="both"/>
        <w:rPr>
          <w:lang w:val="en-GB"/>
        </w:rPr>
      </w:pPr>
      <w:r w:rsidRPr="00BE2589">
        <w:rPr>
          <w:lang w:val="en-GB"/>
        </w:rPr>
        <w:t>«</w:t>
      </w:r>
      <w:r w:rsidRPr="00D56248">
        <w:rPr>
          <w:lang w:val="en-GB"/>
        </w:rPr>
        <w:t xml:space="preserve"> </w:t>
      </w:r>
      <w:r w:rsidR="00D56248" w:rsidRPr="00D56248">
        <w:rPr>
          <w:lang w:val="en-GB"/>
        </w:rPr>
        <w:t xml:space="preserve">[…] Then </w:t>
      </w:r>
      <w:r w:rsidR="00D56248">
        <w:rPr>
          <w:lang w:val="en-GB"/>
        </w:rPr>
        <w:t>out of the sky came a solution. Seeds, drifting through space for years, took root in a farmer’s field. From the seeds came pods which have the power to reproduce themselves in the exact likeness of any form of life.</w:t>
      </w:r>
      <w:r w:rsidR="00D56248">
        <w:rPr>
          <w:rStyle w:val="FootnoteReference"/>
          <w:lang w:val="en-GB"/>
        </w:rPr>
        <w:footnoteReference w:id="53"/>
      </w:r>
      <w:r w:rsidRPr="00BE2589">
        <w:rPr>
          <w:lang w:val="fr-CH"/>
        </w:rPr>
        <w:t xml:space="preserve"> </w:t>
      </w:r>
      <w:r>
        <w:rPr>
          <w:lang w:val="fr-CH"/>
        </w:rPr>
        <w:t>»</w:t>
      </w:r>
    </w:p>
    <w:p w14:paraId="1ED87DBE" w14:textId="21886768"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pour le spectateur moyen </w:t>
      </w:r>
      <w:r w:rsidR="000A0EDA">
        <w:rPr>
          <w:lang w:val="fr-CH"/>
        </w:rPr>
        <w:t xml:space="preserve">non diplômé en biologie,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1E2D11" w:rsidRPr="0036501B">
        <w:rPr>
          <w:lang w:val="en-US"/>
        </w:rPr>
        <w:t xml:space="preserve">THEY come </w:t>
      </w:r>
      <w:r w:rsidR="001E2D11" w:rsidRPr="0036501B">
        <w:rPr>
          <w:lang w:val="en-US"/>
        </w:rPr>
        <w:lastRenderedPageBreak/>
        <w:t>from another world !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C249AB" w:rsidRPr="00C060D1">
        <w:rPr>
          <w:lang w:val="en-US"/>
        </w:rPr>
        <w:t>The Things that came from another world ! </w:t>
      </w:r>
      <w:r w:rsidR="00C249AB">
        <w:rPr>
          <w:lang w:val="fr-CH"/>
        </w:rPr>
        <w:t>»</w:t>
      </w:r>
      <w:r w:rsidR="00C249AB">
        <w:rPr>
          <w:rStyle w:val="FootnoteReference"/>
          <w:lang w:val="fr-CH"/>
        </w:rPr>
        <w:footnoteReference w:id="57"/>
      </w:r>
      <w:r w:rsidR="00F1669A">
        <w:rPr>
          <w:lang w:val="fr-CH"/>
        </w:rPr>
        <w:t xml:space="preserve"> ou « </w:t>
      </w:r>
      <w:r w:rsidR="00F1669A" w:rsidRPr="0036501B">
        <w:rPr>
          <w:lang w:val="en-US"/>
        </w:rPr>
        <w:t>Walter Wagner creates the ultimate in science-fiction !</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r w:rsidR="00991F6F" w:rsidRPr="00991F6F">
        <w:rPr>
          <w:lang w:val="en-US"/>
        </w:rPr>
        <w:t>befuddled by a film that did not clearly fit into science fiction or horror genre formats </w:t>
      </w:r>
      <w:r w:rsidR="00991F6F">
        <w:rPr>
          <w:lang w:val="fr-CH"/>
        </w:rPr>
        <w:t>»</w:t>
      </w:r>
      <w:r w:rsidR="00991F6F">
        <w:rPr>
          <w:rStyle w:val="FootnoteReference"/>
          <w:lang w:val="fr-CH"/>
        </w:rPr>
        <w:footnoteReference w:id="65"/>
      </w:r>
      <w:r w:rsidR="00DF0B77">
        <w:rPr>
          <w:lang w:val="fr-CH"/>
        </w:rPr>
        <w:t xml:space="preserve"> menant à un « highly unstable text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une esthétique ensuite échangée pour « action 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270E3C96" w:rsidR="00BE2589" w:rsidRDefault="00BE2589" w:rsidP="00900F3C">
      <w:pPr>
        <w:spacing w:after="120"/>
        <w:ind w:left="720"/>
        <w:jc w:val="both"/>
        <w:rPr>
          <w:lang w:val="fr-CH"/>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w:t>
      </w:r>
      <w:r>
        <w:rPr>
          <w:lang w:val="en-GB"/>
        </w:rPr>
        <w:lastRenderedPageBreak/>
        <w:t xml:space="preserve">back-drop of the story, thereby enhancing the aesthetic value and </w:t>
      </w:r>
      <w:r w:rsidR="00E251B8">
        <w:rPr>
          <w:lang w:val="en-GB"/>
        </w:rPr>
        <w:t>originality</w:t>
      </w:r>
      <w:r>
        <w:rPr>
          <w:lang w:val="en-GB"/>
        </w:rPr>
        <w:t xml:space="preserve"> of each work. </w:t>
      </w:r>
      <w:r>
        <w:rPr>
          <w:lang w:val="fr-CH"/>
        </w:rPr>
        <w:t>»</w:t>
      </w:r>
    </w:p>
    <w:p w14:paraId="1376B001" w14:textId="507226AA"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r w:rsidR="0039669B">
        <w:rPr>
          <w:rStyle w:val="FootnoteReference"/>
          <w:lang w:val="fr-CH"/>
        </w:rPr>
        <w:footnoteReference w:id="69"/>
      </w:r>
      <w:r>
        <w:rPr>
          <w:lang w:val="fr-CH"/>
        </w:rPr>
        <w:t>. Plutôt que d’évaluer la qualité horrifique d’un remake par rapport à l’orignal</w:t>
      </w:r>
      <w:r w:rsidR="00572515">
        <w:rPr>
          <w:rStyle w:val="FootnoteReference"/>
          <w:lang w:val="fr-CH"/>
        </w:rPr>
        <w:footnoteReference w:id="70"/>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–ou seulement partiellement</w:t>
      </w:r>
      <w:r w:rsidR="00572515">
        <w:rPr>
          <w:lang w:val="fr-CH"/>
        </w:rPr>
        <w:t>–</w:t>
      </w:r>
      <w:r w:rsidR="00572515">
        <w:rPr>
          <w:lang w:val="fr-CH"/>
        </w:rPr>
        <w:t xml:space="preserve">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625E8E41" w:rsidR="009E2528" w:rsidRP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–plus précisément de ses interprétations</w:t>
      </w:r>
      <w:r>
        <w:rPr>
          <w:lang w:val="fr-CH"/>
        </w:rPr>
        <w:t>–</w:t>
      </w:r>
      <w:r w:rsidR="009E2528">
        <w:rPr>
          <w:lang w:val="fr-CH"/>
        </w:rPr>
        <w:t xml:space="preserve"> et les liens qu’il entretient avec son contexte socio-historique sont quant à elles omniprésentes.</w:t>
      </w: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BA77BE8" w14:textId="0653F4D0" w:rsidR="003553A5" w:rsidRPr="003C521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Durgnat va jusqu’à parler d’un « délire d’interprétations »</w:t>
      </w:r>
      <w:r w:rsidR="00651CAA">
        <w:rPr>
          <w:rStyle w:val="FootnoteReference"/>
          <w:lang w:val="fr-CH"/>
        </w:rPr>
        <w:footnoteReference w:id="71"/>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6D5FD9">
        <w:rPr>
          <w:lang w:val="fr-CH"/>
        </w:rPr>
        <w:t>constituerait en lui seul un travail de thèse de doctorant, tant ces dernières sont parfois complexes et inscrite</w:t>
      </w:r>
      <w:r w:rsidR="00E823D7">
        <w:rPr>
          <w:lang w:val="fr-CH"/>
        </w:rPr>
        <w:t>s</w:t>
      </w:r>
      <w:r w:rsidR="006D5FD9">
        <w:rPr>
          <w:lang w:val="fr-CH"/>
        </w:rPr>
        <w:t xml:space="preserve"> dans un contexte </w:t>
      </w:r>
      <w:r w:rsidR="00E823D7">
        <w:rPr>
          <w:lang w:val="fr-CH"/>
        </w:rPr>
        <w:t>particulier. Ce travail se limitera donc à dresser un tableau concis des interprétations les plus communément proposées en inscrivant ces dernières, et le film dont il est question, dans leur contexte socio-historique.</w:t>
      </w:r>
      <w:bookmarkStart w:id="0" w:name="_GoBack"/>
      <w:bookmarkEnd w:id="0"/>
      <w:r w:rsidR="00E823D7">
        <w:rPr>
          <w:lang w:val="fr-CH"/>
        </w:rPr>
        <w:t xml:space="preserve"> </w:t>
      </w:r>
    </w:p>
    <w:sectPr w:rsidR="003553A5" w:rsidRPr="003C5211"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D1060" w14:textId="77777777" w:rsidR="00195D85" w:rsidRDefault="00195D85" w:rsidP="00173138">
      <w:r>
        <w:separator/>
      </w:r>
    </w:p>
  </w:endnote>
  <w:endnote w:type="continuationSeparator" w:id="0">
    <w:p w14:paraId="2C5E3CC2" w14:textId="77777777" w:rsidR="00195D85" w:rsidRDefault="00195D85"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5E19B7" w:rsidRDefault="005E19B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E19B7" w:rsidRDefault="005E19B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5E19B7" w:rsidRPr="00A50EFA" w:rsidRDefault="005E19B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E823D7">
      <w:rPr>
        <w:rStyle w:val="PageNumber"/>
        <w:noProof/>
        <w:sz w:val="22"/>
      </w:rPr>
      <w:t>8</w:t>
    </w:r>
    <w:r w:rsidRPr="00A50EFA">
      <w:rPr>
        <w:rStyle w:val="PageNumber"/>
        <w:sz w:val="22"/>
      </w:rPr>
      <w:fldChar w:fldCharType="end"/>
    </w:r>
  </w:p>
  <w:p w14:paraId="6A6EF380" w14:textId="77777777" w:rsidR="005E19B7" w:rsidRDefault="005E19B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ABAD9" w14:textId="77777777" w:rsidR="00195D85" w:rsidRDefault="00195D85" w:rsidP="00173138">
      <w:r>
        <w:separator/>
      </w:r>
    </w:p>
  </w:footnote>
  <w:footnote w:type="continuationSeparator" w:id="0">
    <w:p w14:paraId="1711393B" w14:textId="77777777" w:rsidR="00195D85" w:rsidRDefault="00195D85" w:rsidP="00173138">
      <w:r>
        <w:continuationSeparator/>
      </w:r>
    </w:p>
  </w:footnote>
  <w:footnote w:id="1">
    <w:p w14:paraId="3F5D2513" w14:textId="06F2428C" w:rsidR="005E19B7" w:rsidRPr="00611886" w:rsidRDefault="005E19B7">
      <w:pPr>
        <w:pStyle w:val="FootnoteText"/>
        <w:rPr>
          <w:lang w:val="fr-CH"/>
        </w:rPr>
      </w:pPr>
      <w:r>
        <w:rPr>
          <w:rStyle w:val="FootnoteReference"/>
        </w:rPr>
        <w:footnoteRef/>
      </w:r>
      <w:r>
        <w:t xml:space="preserve"> La présence de critiques issues de la revue hebdomadaire éditée par la BFI </w:t>
      </w:r>
      <w:r>
        <w:rPr>
          <w:i/>
        </w:rPr>
        <w:t>Sight &amp; Sound</w:t>
      </w:r>
      <w:r>
        <w:t xml:space="preserve"> ou du trimestriel </w:t>
      </w:r>
      <w:r>
        <w:rPr>
          <w:i/>
        </w:rPr>
        <w:t>Cinéaste</w:t>
      </w:r>
      <w:r>
        <w:t xml:space="preserve"> pour les films de 1956, 1978 et 1993 font exception à cette règle.</w:t>
      </w:r>
    </w:p>
  </w:footnote>
  <w:footnote w:id="2">
    <w:p w14:paraId="0D4D19F5" w14:textId="094CDC2C" w:rsidR="005E19B7" w:rsidRPr="00781EA5" w:rsidRDefault="005E19B7">
      <w:pPr>
        <w:pStyle w:val="FootnoteText"/>
        <w:rPr>
          <w:lang w:val="en-GB"/>
        </w:rPr>
      </w:pPr>
      <w:r>
        <w:rPr>
          <w:rStyle w:val="FootnoteReference"/>
        </w:rPr>
        <w:footnoteRef/>
      </w:r>
      <w:r w:rsidRPr="00781EA5">
        <w:rPr>
          <w:lang w:val="en-GB"/>
        </w:rPr>
        <w:t xml:space="preserve"> Ou une excuse pour.</w:t>
      </w:r>
    </w:p>
  </w:footnote>
  <w:footnote w:id="3">
    <w:p w14:paraId="0A3B071E" w14:textId="7BC6F697" w:rsidR="005E19B7" w:rsidRPr="00781EA5" w:rsidRDefault="005E19B7">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5E19B7" w:rsidRPr="00781EA5" w:rsidRDefault="005E19B7">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5E19B7" w:rsidRPr="00781EA5" w:rsidRDefault="005E19B7">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65259609" w14:textId="51B1D18C" w:rsidR="005E19B7" w:rsidRPr="00781EA5" w:rsidRDefault="005E19B7">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55875141" w:rsidR="005E19B7" w:rsidRPr="007D7652" w:rsidRDefault="005E19B7">
      <w:pPr>
        <w:pStyle w:val="FootnoteText"/>
        <w:rPr>
          <w:lang w:val="fr-CH"/>
        </w:rPr>
      </w:pPr>
      <w:r>
        <w:rPr>
          <w:rStyle w:val="FootnoteReference"/>
        </w:rPr>
        <w:footnoteRef/>
      </w:r>
      <w:r>
        <w:t xml:space="preserve"> </w:t>
      </w:r>
      <w:r>
        <w:rPr>
          <w:lang w:val="fr-CH"/>
        </w:rPr>
        <w:t>Producteur de la version 1956.</w:t>
      </w:r>
    </w:p>
  </w:footnote>
  <w:footnote w:id="8">
    <w:p w14:paraId="69180A08" w14:textId="31C392EC" w:rsidR="005E19B7" w:rsidRPr="0000607A" w:rsidRDefault="005E19B7">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op. cit.</w:t>
      </w:r>
      <w:r w:rsidRPr="00781EA5">
        <w:rPr>
          <w:szCs w:val="20"/>
          <w:lang w:val="fr-CH"/>
        </w:rPr>
        <w:t>, p .163.</w:t>
      </w:r>
    </w:p>
  </w:footnote>
  <w:footnote w:id="9">
    <w:p w14:paraId="560F38A7" w14:textId="4C921DCD" w:rsidR="005E19B7" w:rsidRPr="00781EA5" w:rsidRDefault="005E19B7">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.163</w:t>
      </w:r>
    </w:p>
  </w:footnote>
  <w:footnote w:id="10">
    <w:p w14:paraId="23A97179" w14:textId="04F411C9" w:rsidR="005E19B7" w:rsidRPr="00781EA5" w:rsidRDefault="005E19B7">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xml:space="preserve">, p. 163 ; </w:t>
      </w:r>
      <w:r w:rsidRPr="00781EA5">
        <w:rPr>
          <w:lang w:val="en-GB"/>
        </w:rPr>
        <w:t xml:space="preserve">Mark Thomas McGee, </w:t>
      </w:r>
      <w:r w:rsidRPr="00781EA5">
        <w:rPr>
          <w:i/>
          <w:lang w:val="en-GB"/>
        </w:rPr>
        <w:t>op. cit.</w:t>
      </w:r>
      <w:r w:rsidRPr="00781EA5">
        <w:rPr>
          <w:lang w:val="en-GB"/>
        </w:rPr>
        <w:t xml:space="preserve">, p. 163 ; Arthur LeGacy, « The Invasion of the Body Snatchers: A Metaphor for the Fifties », </w:t>
      </w:r>
      <w:r w:rsidRPr="00781EA5">
        <w:rPr>
          <w:i/>
          <w:lang w:val="en-GB"/>
        </w:rPr>
        <w:t>Litterature/Film Quarterly</w:t>
      </w:r>
      <w:r w:rsidRPr="00781EA5">
        <w:rPr>
          <w:lang w:val="en-GB"/>
        </w:rPr>
        <w:t>, Vol. 6, No. 3, été 1978, p. 286.</w:t>
      </w:r>
    </w:p>
  </w:footnote>
  <w:footnote w:id="11">
    <w:p w14:paraId="0D550CCD" w14:textId="7E287901" w:rsidR="005E19B7" w:rsidRPr="00781EA5" w:rsidRDefault="005E19B7">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2">
    <w:p w14:paraId="1EE60664" w14:textId="23244908" w:rsidR="005E19B7" w:rsidRPr="004C1431" w:rsidRDefault="005E19B7">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13">
    <w:p w14:paraId="0C686DEA" w14:textId="331E1F94" w:rsidR="005E19B7" w:rsidRPr="00781EA5" w:rsidRDefault="005E19B7">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.161.</w:t>
      </w:r>
    </w:p>
  </w:footnote>
  <w:footnote w:id="14">
    <w:p w14:paraId="523F5948" w14:textId="6924B2FC" w:rsidR="005E19B7" w:rsidRPr="00781EA5" w:rsidRDefault="005E19B7">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295EED7E" w14:textId="27AB7D69" w:rsidR="005E19B7" w:rsidRPr="00781EA5" w:rsidRDefault="005E19B7">
      <w:pPr>
        <w:pStyle w:val="FootnoteText"/>
        <w:rPr>
          <w:lang w:val="en-GB"/>
        </w:rPr>
      </w:pPr>
      <w:r>
        <w:rPr>
          <w:rStyle w:val="FootnoteReference"/>
        </w:rPr>
        <w:footnoteRef/>
      </w:r>
      <w:r w:rsidRPr="00781EA5">
        <w:rPr>
          <w:lang w:val="en-GB"/>
        </w:rPr>
        <w:t xml:space="preserve"> Les critiques parues dans les revues corporatives </w:t>
      </w:r>
      <w:r w:rsidRPr="00781EA5">
        <w:rPr>
          <w:i/>
          <w:lang w:val="en-GB"/>
        </w:rPr>
        <w:t xml:space="preserve">Variety </w:t>
      </w:r>
      <w:r w:rsidRPr="00781EA5">
        <w:rPr>
          <w:lang w:val="en-GB"/>
        </w:rPr>
        <w:t xml:space="preserve">et </w:t>
      </w:r>
      <w:r w:rsidRPr="00781EA5">
        <w:rPr>
          <w:i/>
          <w:lang w:val="en-GB"/>
        </w:rPr>
        <w:t>Monthly Film Bulletin</w:t>
      </w:r>
      <w:r w:rsidRPr="00781EA5">
        <w:rPr>
          <w:lang w:val="en-GB"/>
        </w:rPr>
        <w:t xml:space="preserve"> étant par exemple datées du 31 décembre 1955 et 1</w:t>
      </w:r>
      <w:r w:rsidRPr="00781EA5">
        <w:rPr>
          <w:vertAlign w:val="superscript"/>
          <w:lang w:val="en-GB"/>
        </w:rPr>
        <w:t>er</w:t>
      </w:r>
      <w:r w:rsidRPr="00781EA5">
        <w:rPr>
          <w:lang w:val="en-GB"/>
        </w:rPr>
        <w:t xml:space="preserve"> janvier 1956, respectivement ; –, « Review : ‘Invasion of the Body Snatchers’ », </w:t>
      </w:r>
      <w:r w:rsidRPr="00781EA5">
        <w:rPr>
          <w:i/>
          <w:lang w:val="en-GB"/>
        </w:rPr>
        <w:t>Variety</w:t>
      </w:r>
      <w:r w:rsidRPr="00781EA5">
        <w:rPr>
          <w:lang w:val="en-GB"/>
        </w:rPr>
        <w:t xml:space="preserve">, 31 décembre 1955 ; Derek Prouse, « INVASION OF THE BODY SNATCHERS, U.S.A., 1955 », </w:t>
      </w:r>
      <w:r w:rsidRPr="00781EA5">
        <w:rPr>
          <w:i/>
          <w:lang w:val="en-GB"/>
        </w:rPr>
        <w:t>Monthly Film Bulletin</w:t>
      </w:r>
      <w:r w:rsidRPr="00781EA5">
        <w:rPr>
          <w:lang w:val="en-GB"/>
        </w:rPr>
        <w:t>, 1er janvier 1956.</w:t>
      </w:r>
    </w:p>
  </w:footnote>
  <w:footnote w:id="16">
    <w:p w14:paraId="7C0EFE20" w14:textId="164C4A7D" w:rsidR="005E19B7" w:rsidRPr="00781EA5" w:rsidRDefault="005E19B7">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Vol. 26, No. 2, automne 1956, p. 112.</w:t>
      </w:r>
    </w:p>
  </w:footnote>
  <w:footnote w:id="17">
    <w:p w14:paraId="6E356515" w14:textId="7EA86BF3" w:rsidR="005E19B7" w:rsidRPr="00781EA5" w:rsidRDefault="005E19B7">
      <w:pPr>
        <w:pStyle w:val="FootnoteText"/>
        <w:rPr>
          <w:lang w:val="en-GB"/>
        </w:rPr>
      </w:pPr>
      <w:r>
        <w:rPr>
          <w:rStyle w:val="FootnoteReference"/>
        </w:rPr>
        <w:footnoteRef/>
      </w:r>
      <w:r w:rsidRPr="00781EA5">
        <w:rPr>
          <w:lang w:val="en-GB"/>
        </w:rPr>
        <w:t xml:space="preserve"> Jack Moffitt, « Invasion of the Body Snatchers », </w:t>
      </w:r>
      <w:r w:rsidRPr="00781EA5">
        <w:rPr>
          <w:i/>
          <w:lang w:val="en-GB"/>
        </w:rPr>
        <w:t>The Hollywood Reporter</w:t>
      </w:r>
      <w:r w:rsidRPr="00781EA5">
        <w:rPr>
          <w:lang w:val="en-GB"/>
        </w:rPr>
        <w:t>, 16 février 1956.</w:t>
      </w:r>
    </w:p>
  </w:footnote>
  <w:footnote w:id="18">
    <w:p w14:paraId="6178779C" w14:textId="24212444" w:rsidR="005E19B7" w:rsidRPr="00781EA5" w:rsidRDefault="005E19B7">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23 août 1956.</w:t>
      </w:r>
    </w:p>
  </w:footnote>
  <w:footnote w:id="19">
    <w:p w14:paraId="30D3E805" w14:textId="2CE37EA7" w:rsidR="005E19B7" w:rsidRPr="00781EA5" w:rsidRDefault="005E19B7">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La chose d’un autre monde</w:t>
      </w:r>
      <w:r w:rsidRPr="00781EA5">
        <w:rPr>
          <w:lang w:val="en-GB"/>
        </w:rPr>
        <w:t>, Christian Nyby, 1951)</w:t>
      </w:r>
    </w:p>
  </w:footnote>
  <w:footnote w:id="20">
    <w:p w14:paraId="0A912020" w14:textId="78E54526" w:rsidR="005E19B7" w:rsidRPr="00781EA5" w:rsidRDefault="005E19B7">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1956 ; Jack Moffitt, « Invasion of the Body Snatchers », </w:t>
      </w:r>
      <w:r w:rsidRPr="00781EA5">
        <w:rPr>
          <w:i/>
          <w:lang w:val="en-GB"/>
        </w:rPr>
        <w:t>The Hollywood Reporter</w:t>
      </w:r>
      <w:r w:rsidRPr="00781EA5">
        <w:rPr>
          <w:lang w:val="en-GB"/>
        </w:rPr>
        <w:t>, 16 février 1956.</w:t>
      </w:r>
    </w:p>
  </w:footnote>
  <w:footnote w:id="21">
    <w:p w14:paraId="72636D53" w14:textId="0A9AA987" w:rsidR="005E19B7" w:rsidRPr="00300B5B" w:rsidRDefault="005E19B7">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70EA68E4" w14:textId="76A57347" w:rsidR="005E19B7" w:rsidRPr="00283CF4" w:rsidRDefault="005E19B7">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23">
    <w:p w14:paraId="7F36F225" w14:textId="04D7CF90" w:rsidR="005E19B7" w:rsidRPr="00DD3C95" w:rsidRDefault="005E19B7">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5E19B7" w:rsidRPr="0083111B" w:rsidRDefault="005E19B7">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5E19B7" w:rsidRPr="008A7494" w:rsidRDefault="005E19B7">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5E19B7" w:rsidRPr="00DD6C92" w:rsidRDefault="005E19B7">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27">
    <w:p w14:paraId="3BD87A40" w14:textId="1AC0EC29" w:rsidR="005E19B7" w:rsidRPr="00DE3C2D" w:rsidRDefault="005E19B7">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AC469AA" w14:textId="3D9D2FA9" w:rsidR="005E19B7" w:rsidRPr="005418E9" w:rsidRDefault="005E19B7" w:rsidP="005418E9">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43BA8E75" w14:textId="54B0FA9A" w:rsidR="005E19B7" w:rsidRPr="005418E9" w:rsidRDefault="005E19B7">
      <w:pPr>
        <w:pStyle w:val="FootnoteText"/>
        <w:rPr>
          <w:lang w:val="fr-CH"/>
        </w:rPr>
      </w:pPr>
    </w:p>
  </w:footnote>
  <w:footnote w:id="29">
    <w:p w14:paraId="25AC74B5" w14:textId="4A2EFE1C" w:rsidR="005E19B7" w:rsidRPr="00543A54" w:rsidRDefault="005E19B7">
      <w:pPr>
        <w:pStyle w:val="FootnoteText"/>
        <w:rPr>
          <w:lang w:val="en-US"/>
        </w:rPr>
      </w:pPr>
      <w:r>
        <w:rPr>
          <w:rStyle w:val="FootnoteReference"/>
        </w:rPr>
        <w:footnoteRef/>
      </w:r>
      <w:r w:rsidRPr="00781EA5">
        <w:rPr>
          <w:lang w:val="en-GB"/>
        </w:rPr>
        <w:t xml:space="preserve">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Pr="00645A27">
        <w:rPr>
          <w:lang w:val="en-US"/>
        </w:rPr>
        <w:t>.</w:t>
      </w:r>
    </w:p>
  </w:footnote>
  <w:footnote w:id="30">
    <w:p w14:paraId="71A3B2BB" w14:textId="1D7A9F1C" w:rsidR="005E19B7" w:rsidRPr="00781EA5" w:rsidRDefault="005E19B7">
      <w:pPr>
        <w:pStyle w:val="FootnoteText"/>
        <w:rPr>
          <w:lang w:val="en-GB"/>
        </w:rPr>
      </w:pPr>
      <w:r>
        <w:rPr>
          <w:rStyle w:val="FootnoteReference"/>
        </w:rPr>
        <w:footnoteRef/>
      </w:r>
      <w:r w:rsidRPr="00781EA5">
        <w:rPr>
          <w:lang w:val="en-GB"/>
        </w:rP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Pr="00543A54">
        <w:rPr>
          <w:lang w:val="en-US"/>
        </w:rPr>
        <w:t>, 1978.</w:t>
      </w:r>
    </w:p>
  </w:footnote>
  <w:footnote w:id="31">
    <w:p w14:paraId="4EA8E55A" w14:textId="60804B6A" w:rsidR="005E19B7" w:rsidRPr="00D024F2" w:rsidRDefault="005E19B7">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Kehr</w:t>
      </w:r>
      <w:r w:rsidRPr="00543A54">
        <w:rPr>
          <w:lang w:val="en-US"/>
        </w:rPr>
        <w:t xml:space="preserve">, </w:t>
      </w:r>
      <w:r>
        <w:rPr>
          <w:i/>
          <w:lang w:val="en-US"/>
        </w:rPr>
        <w:t>ibid.</w:t>
      </w:r>
    </w:p>
  </w:footnote>
  <w:footnote w:id="32">
    <w:p w14:paraId="72E2E3C6" w14:textId="4C4B67D8" w:rsidR="005E19B7" w:rsidRPr="00A00FD7" w:rsidRDefault="005E19B7">
      <w:pPr>
        <w:pStyle w:val="FootnoteText"/>
        <w:rPr>
          <w:lang w:val="en-US"/>
        </w:rPr>
      </w:pPr>
      <w:r>
        <w:rPr>
          <w:rStyle w:val="FootnoteReference"/>
        </w:rPr>
        <w:footnoteRef/>
      </w:r>
      <w:r w:rsidRPr="00781EA5">
        <w:rPr>
          <w:lang w:val="en-GB"/>
        </w:rP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p>
  </w:footnote>
  <w:footnote w:id="33">
    <w:p w14:paraId="19286BD0" w14:textId="6F9EF4A2" w:rsidR="005E19B7" w:rsidRPr="00506F6E" w:rsidRDefault="005E19B7">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31 décembre 1977.</w:t>
      </w:r>
    </w:p>
  </w:footnote>
  <w:footnote w:id="34">
    <w:p w14:paraId="7DE7ABFA" w14:textId="02010C30" w:rsidR="005E19B7" w:rsidRPr="00506F6E" w:rsidRDefault="005E19B7">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35">
    <w:p w14:paraId="6EE7B678" w14:textId="7F030ABE" w:rsidR="005E19B7" w:rsidRPr="00781EA5" w:rsidRDefault="005E19B7">
      <w:pPr>
        <w:pStyle w:val="FootnoteText"/>
        <w:rPr>
          <w:lang w:val="en-GB"/>
        </w:rPr>
      </w:pPr>
      <w:r>
        <w:rPr>
          <w:rStyle w:val="FootnoteReference"/>
        </w:rPr>
        <w:footnoteRef/>
      </w:r>
      <w:r w:rsidRPr="00781EA5">
        <w:rPr>
          <w:lang w:val="en-GB"/>
        </w:rPr>
        <w:t xml:space="preserve"> Janet Maslin, « Screen: ‘Body Snatchers’ Return in All Their Creepy Glory », The New York Times, 22 décembre 1978.</w:t>
      </w:r>
    </w:p>
  </w:footnote>
  <w:footnote w:id="36">
    <w:p w14:paraId="250C0DD9" w14:textId="34DA12F3" w:rsidR="005E19B7" w:rsidRPr="00D024F2" w:rsidRDefault="005E19B7">
      <w:pPr>
        <w:pStyle w:val="FootnoteText"/>
        <w:rPr>
          <w:lang w:val="fr-CH"/>
        </w:rPr>
      </w:pPr>
      <w:r>
        <w:rPr>
          <w:rStyle w:val="FootnoteReference"/>
        </w:rPr>
        <w:footnoteRef/>
      </w:r>
      <w:r>
        <w:t xml:space="preserve"> </w:t>
      </w:r>
      <w:r w:rsidRPr="00781EA5">
        <w:rPr>
          <w:lang w:val="fr-CH"/>
        </w:rPr>
        <w:t xml:space="preserve">David Kehr, </w:t>
      </w:r>
      <w:r w:rsidRPr="00781EA5">
        <w:rPr>
          <w:i/>
          <w:lang w:val="fr-CH"/>
        </w:rPr>
        <w:t>op. cit.</w:t>
      </w:r>
    </w:p>
  </w:footnote>
  <w:footnote w:id="37">
    <w:p w14:paraId="0221DD52" w14:textId="553AFA10" w:rsidR="003704D3" w:rsidRPr="003704D3" w:rsidRDefault="003704D3">
      <w:pPr>
        <w:pStyle w:val="FootnoteText"/>
        <w:rPr>
          <w:lang w:val="fr-CH"/>
        </w:rPr>
      </w:pPr>
      <w:r>
        <w:rPr>
          <w:rStyle w:val="FootnoteReference"/>
        </w:rPr>
        <w:footnoteRef/>
      </w:r>
      <w:r>
        <w:t xml:space="preserve"> </w:t>
      </w:r>
      <w:r w:rsidRPr="003704D3">
        <w:rPr>
          <w:lang w:val="fr-CH"/>
        </w:rPr>
        <w:t xml:space="preserve">A. </w:t>
      </w:r>
      <w:r w:rsidR="00174D7C" w:rsidRPr="003704D3">
        <w:rPr>
          <w:lang w:val="fr-CH"/>
        </w:rPr>
        <w:t xml:space="preserve">F., « Fantastique cauchemar », </w:t>
      </w:r>
      <w:r w:rsidR="00174D7C" w:rsidRPr="003704D3">
        <w:rPr>
          <w:i/>
          <w:lang w:val="fr-CH"/>
        </w:rPr>
        <w:t>La Croix</w:t>
      </w:r>
      <w:r w:rsidR="00174D7C" w:rsidRPr="003704D3">
        <w:rPr>
          <w:lang w:val="fr-CH"/>
        </w:rPr>
        <w:t>, 15 mai 1993.</w:t>
      </w:r>
    </w:p>
  </w:footnote>
  <w:footnote w:id="38">
    <w:p w14:paraId="33565727" w14:textId="4A9468BF" w:rsidR="005E19B7" w:rsidRPr="00663724" w:rsidRDefault="005E19B7">
      <w:pPr>
        <w:pStyle w:val="FootnoteText"/>
        <w:rPr>
          <w:szCs w:val="20"/>
          <w:lang w:val="en-US"/>
        </w:rPr>
      </w:pPr>
      <w:r w:rsidRPr="00663724">
        <w:rPr>
          <w:rStyle w:val="FootnoteReference"/>
          <w:szCs w:val="20"/>
        </w:rPr>
        <w:footnoteRef/>
      </w:r>
      <w:r w:rsidRPr="00781EA5">
        <w:rPr>
          <w:szCs w:val="20"/>
          <w:lang w:val="en-GB"/>
        </w:rPr>
        <w:t xml:space="preserve"> </w:t>
      </w:r>
      <w:r w:rsidR="00006DAE" w:rsidRPr="00663724">
        <w:rPr>
          <w:szCs w:val="20"/>
          <w:lang w:val="en-US"/>
        </w:rPr>
        <w:t>Roger</w:t>
      </w:r>
      <w:r w:rsidR="00E33B0D" w:rsidRPr="00663724">
        <w:rPr>
          <w:szCs w:val="20"/>
          <w:lang w:val="en-US"/>
        </w:rPr>
        <w:t xml:space="preserve"> Ebert</w:t>
      </w:r>
      <w:r w:rsidR="00006DAE" w:rsidRPr="00663724">
        <w:rPr>
          <w:szCs w:val="20"/>
          <w:lang w:val="en-US"/>
        </w:rPr>
        <w:t xml:space="preserve">, « Body Snatchers », </w:t>
      </w:r>
      <w:r w:rsidR="00006DAE" w:rsidRPr="00663724">
        <w:rPr>
          <w:i/>
          <w:szCs w:val="20"/>
          <w:lang w:val="en-US"/>
        </w:rPr>
        <w:t>Chicago Sun-Times</w:t>
      </w:r>
      <w:r w:rsidR="00006DAE" w:rsidRPr="00663724">
        <w:rPr>
          <w:szCs w:val="20"/>
          <w:lang w:val="en-US"/>
        </w:rPr>
        <w:t>, 25 février 1994.</w:t>
      </w:r>
    </w:p>
  </w:footnote>
  <w:footnote w:id="39">
    <w:p w14:paraId="1903778C" w14:textId="562579DD" w:rsidR="00253E7E" w:rsidRPr="00663724" w:rsidRDefault="00253E7E">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Roger</w:t>
      </w:r>
      <w:r w:rsidR="00E33B0D" w:rsidRPr="00663724">
        <w:rPr>
          <w:szCs w:val="20"/>
          <w:lang w:val="en-US"/>
        </w:rPr>
        <w:t xml:space="preserve"> Ebert</w:t>
      </w:r>
      <w:r w:rsidRPr="00663724">
        <w:rPr>
          <w:szCs w:val="20"/>
          <w:lang w:val="en-US"/>
        </w:rPr>
        <w:t xml:space="preserve">, « The Invasion », </w:t>
      </w:r>
      <w:r w:rsidRPr="00663724">
        <w:rPr>
          <w:i/>
          <w:szCs w:val="20"/>
          <w:lang w:val="en-US"/>
        </w:rPr>
        <w:t>Chicago Sun-Times</w:t>
      </w:r>
      <w:r w:rsidRPr="00663724">
        <w:rPr>
          <w:szCs w:val="20"/>
          <w:lang w:val="en-US"/>
        </w:rPr>
        <w:t>, 16 août 2007.</w:t>
      </w:r>
    </w:p>
  </w:footnote>
  <w:footnote w:id="40">
    <w:p w14:paraId="7665BB40" w14:textId="73F0BF0A" w:rsidR="003704D3" w:rsidRPr="003704D3" w:rsidRDefault="003704D3">
      <w:pPr>
        <w:pStyle w:val="FootnoteText"/>
        <w:rPr>
          <w:lang w:val="fr-CH"/>
        </w:rPr>
      </w:pPr>
      <w:r>
        <w:rPr>
          <w:rStyle w:val="FootnoteReference"/>
        </w:rPr>
        <w:footnoteRef/>
      </w:r>
      <w:r w:rsidRPr="00781EA5">
        <w:rPr>
          <w:lang w:val="en-GB"/>
        </w:rPr>
        <w:t xml:space="preserve"> Jean-Paul Grousset,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3704D3" w:rsidRPr="003704D3" w:rsidRDefault="003704D3">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E33B0D" w:rsidRPr="00663724" w:rsidRDefault="00E33B0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43">
    <w:p w14:paraId="0C3F6C1E" w14:textId="22B67911" w:rsidR="00663724" w:rsidRPr="00717BE1" w:rsidRDefault="00663724"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p>
  </w:footnote>
  <w:footnote w:id="44">
    <w:p w14:paraId="2A79E2EA" w14:textId="15C3719D" w:rsidR="00717BE1" w:rsidRPr="00717BE1" w:rsidRDefault="00717BE1">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0141B8" w:rsidRPr="000141B8" w:rsidRDefault="000141B8">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7E60F5" w:rsidRPr="007E60F5" w:rsidRDefault="007E60F5">
      <w:pPr>
        <w:pStyle w:val="FootnoteText"/>
        <w:rPr>
          <w:lang w:val="fr-CH"/>
        </w:rPr>
      </w:pPr>
      <w:r>
        <w:rPr>
          <w:rStyle w:val="FootnoteReference"/>
        </w:rPr>
        <w:footnoteRef/>
      </w:r>
      <w:r>
        <w:t xml:space="preserve"> </w:t>
      </w:r>
      <w:r w:rsidR="00D60512">
        <w:rPr>
          <w:lang w:val="fr-CH"/>
        </w:rPr>
        <w:t>Jean-Baptiste</w:t>
      </w:r>
      <w:r>
        <w:rPr>
          <w:lang w:val="fr-CH"/>
        </w:rPr>
        <w:t xml:space="preserve"> Thoret</w:t>
      </w:r>
      <w:r w:rsidR="00AD3049">
        <w:rPr>
          <w:lang w:val="fr-CH"/>
        </w:rPr>
        <w: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E57157" w:rsidRPr="00781EA5" w:rsidRDefault="00E57157">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4870CE" w:rsidRPr="004870CE" w:rsidRDefault="004870CE">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B60790" w:rsidRPr="00B60790" w:rsidRDefault="00B60790">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17 août 2007.</w:t>
      </w:r>
    </w:p>
  </w:footnote>
  <w:footnote w:id="50">
    <w:p w14:paraId="4E90885A" w14:textId="218541F4" w:rsidR="009F687A" w:rsidRPr="009F687A" w:rsidRDefault="009F687A">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6AEC921A" w14:textId="6352210E" w:rsidR="00CE51D3" w:rsidRPr="00CE51D3" w:rsidRDefault="00CE51D3" w:rsidP="00CE51D3">
      <w:pPr>
        <w:pStyle w:val="FootnoteText"/>
        <w:rPr>
          <w:lang w:val="en-US"/>
        </w:rPr>
      </w:pPr>
      <w:r>
        <w:rPr>
          <w:rStyle w:val="FootnoteReference"/>
        </w:rPr>
        <w:footnoteRef/>
      </w:r>
      <w:r w:rsidRPr="00781EA5">
        <w:rPr>
          <w:lang w:val="en-GB"/>
        </w:rP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p>
    <w:p w14:paraId="2A805F4B" w14:textId="09B84BBB" w:rsidR="00CE51D3" w:rsidRPr="00781EA5" w:rsidRDefault="00CE51D3">
      <w:pPr>
        <w:pStyle w:val="FootnoteText"/>
        <w:rPr>
          <w:lang w:val="en-GB"/>
        </w:rPr>
      </w:pPr>
    </w:p>
  </w:footnote>
  <w:footnote w:id="52">
    <w:p w14:paraId="1DB98D1B" w14:textId="6265B86D" w:rsidR="00781EA5" w:rsidRPr="00E748E4" w:rsidRDefault="00781EA5">
      <w:pPr>
        <w:pStyle w:val="FootnoteText"/>
        <w:rPr>
          <w:lang w:val="en-GB"/>
        </w:rPr>
      </w:pPr>
      <w:r>
        <w:rPr>
          <w:rStyle w:val="FootnoteReference"/>
        </w:rPr>
        <w:footnoteRef/>
      </w:r>
      <w:r>
        <w:t xml:space="preserve"> </w:t>
      </w:r>
      <w:r w:rsidR="00213BA4">
        <w:rPr>
          <w:i/>
          <w:lang w:val="fr-CH"/>
        </w:rPr>
        <w:t>Time and Again</w:t>
      </w:r>
      <w:r w:rsidR="00213BA4">
        <w:rPr>
          <w:lang w:val="fr-CH"/>
        </w:rPr>
        <w:t xml:space="preserve"> (1970), un roman de </w:t>
      </w:r>
      <w:r w:rsidR="001F756A">
        <w:rPr>
          <w:lang w:val="fr-CH"/>
        </w:rPr>
        <w:t>science-fiction</w:t>
      </w:r>
      <w:r w:rsidR="00213BA4">
        <w:rPr>
          <w:lang w:val="fr-CH"/>
        </w:rPr>
        <w:t>, étant systématiquement cité lorsqu’il est question de l’auteur. Comme c’est par exemple le cas pour l’édition 60</w:t>
      </w:r>
      <w:r w:rsidR="00213BA4" w:rsidRPr="00213BA4">
        <w:rPr>
          <w:vertAlign w:val="superscript"/>
          <w:lang w:val="fr-CH"/>
        </w:rPr>
        <w:t>ème</w:t>
      </w:r>
      <w:r w:rsidR="00213BA4">
        <w:rPr>
          <w:lang w:val="fr-CH"/>
        </w:rPr>
        <w:t xml:space="preserve"> anniversaire the </w:t>
      </w:r>
      <w:r w:rsidR="00213BA4">
        <w:rPr>
          <w:i/>
          <w:lang w:val="fr-CH"/>
        </w:rPr>
        <w:t>The Body Snatchers</w:t>
      </w:r>
      <w:r w:rsidR="00213BA4">
        <w:rPr>
          <w:lang w:val="fr-CH"/>
        </w:rPr>
        <w:t xml:space="preserve"> qui identifie l’auteur par « Jack Finney. </w:t>
      </w:r>
      <w:r w:rsidR="00213BA4" w:rsidRPr="00E748E4">
        <w:rPr>
          <w:lang w:val="en-GB"/>
        </w:rPr>
        <w:t xml:space="preserve">Author of </w:t>
      </w:r>
      <w:r w:rsidR="00213BA4" w:rsidRPr="00E748E4">
        <w:rPr>
          <w:i/>
          <w:lang w:val="en-GB"/>
        </w:rPr>
        <w:t>Time and Again</w:t>
      </w:r>
      <w:r w:rsidR="00213BA4" w:rsidRPr="00E748E4">
        <w:rPr>
          <w:lang w:val="en-GB"/>
        </w:rPr>
        <w:t xml:space="preserve"> » </w:t>
      </w:r>
      <w:r w:rsidR="00213BA4" w:rsidRPr="00E748E4">
        <w:rPr>
          <w:highlight w:val="red"/>
          <w:lang w:val="en-GB"/>
        </w:rPr>
        <w:t>(voir figure XX).</w:t>
      </w:r>
    </w:p>
  </w:footnote>
  <w:footnote w:id="53">
    <w:p w14:paraId="227D8C42" w14:textId="44C604F0" w:rsidR="00D56248" w:rsidRPr="00DF0B77" w:rsidRDefault="00D56248">
      <w:pPr>
        <w:pStyle w:val="FootnoteText"/>
        <w:rPr>
          <w:lang w:val="fr-CH"/>
        </w:rPr>
      </w:pPr>
      <w:r>
        <w:rPr>
          <w:rStyle w:val="FootnoteReference"/>
        </w:rPr>
        <w:footnoteRef/>
      </w:r>
      <w:r w:rsidRPr="00DF0B77">
        <w:rPr>
          <w:lang w:val="fr-CH"/>
        </w:rPr>
        <w:t xml:space="preserve"> </w:t>
      </w:r>
      <w:r w:rsidRPr="00DF0B77">
        <w:rPr>
          <w:szCs w:val="20"/>
          <w:lang w:val="fr-CH"/>
        </w:rPr>
        <w:t xml:space="preserve">Al LaValley (éd.), </w:t>
      </w:r>
      <w:r w:rsidR="00DF0B77" w:rsidRPr="00DF0B77">
        <w:rPr>
          <w:i/>
          <w:szCs w:val="20"/>
          <w:lang w:val="fr-CH"/>
        </w:rPr>
        <w:t>op. cit</w:t>
      </w:r>
      <w:r w:rsidRPr="00DF0B77">
        <w:rPr>
          <w:i/>
          <w:szCs w:val="20"/>
          <w:lang w:val="fr-CH"/>
        </w:rPr>
        <w:t>.</w:t>
      </w:r>
      <w:r w:rsidR="00991F6F" w:rsidRPr="00DF0B77">
        <w:rPr>
          <w:szCs w:val="20"/>
          <w:lang w:val="fr-CH"/>
        </w:rPr>
        <w:t xml:space="preserve">, p. </w:t>
      </w:r>
      <w:r w:rsidR="004A4981" w:rsidRPr="00DF0B77">
        <w:rPr>
          <w:szCs w:val="20"/>
          <w:lang w:val="fr-CH"/>
        </w:rPr>
        <w:t>87.</w:t>
      </w:r>
    </w:p>
  </w:footnote>
  <w:footnote w:id="54">
    <w:p w14:paraId="3C29C3EE" w14:textId="41C4E4CE" w:rsidR="00503CBA" w:rsidRPr="00503CBA" w:rsidRDefault="00503CBA">
      <w:pPr>
        <w:pStyle w:val="FootnoteText"/>
        <w:rPr>
          <w:lang w:val="fr-CH"/>
        </w:rPr>
      </w:pPr>
      <w:r>
        <w:rPr>
          <w:rStyle w:val="FootnoteReference"/>
        </w:rPr>
        <w:footnoteRef/>
      </w:r>
      <w:r>
        <w:t xml:space="preserve"> </w:t>
      </w:r>
      <w:r w:rsidRPr="00503CBA">
        <w:rPr>
          <w:highlight w:val="yellow"/>
          <w:lang w:val="fr-CH"/>
        </w:rPr>
        <w:t>REF ?</w:t>
      </w:r>
    </w:p>
  </w:footnote>
  <w:footnote w:id="55">
    <w:p w14:paraId="6BF05032" w14:textId="21012E03" w:rsidR="00503CBA" w:rsidRPr="00503CBA" w:rsidRDefault="00503CBA">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153A245F" w:rsidR="001E2D11" w:rsidRPr="001E2D11" w:rsidRDefault="001E2D11">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7">
    <w:p w14:paraId="24990155" w14:textId="77777777" w:rsidR="00C249AB" w:rsidRPr="00283CF4" w:rsidRDefault="00C249AB" w:rsidP="00C249AB">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58">
    <w:p w14:paraId="1A3C28EA" w14:textId="3ABDF168" w:rsidR="00DA4FCE" w:rsidRPr="00DA4FCE" w:rsidRDefault="00DA4FCE">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9">
    <w:p w14:paraId="4DC40339" w14:textId="6BB9B3B6" w:rsidR="00AA0F22" w:rsidRPr="00AA0F22" w:rsidRDefault="00AA0F22">
      <w:pPr>
        <w:pStyle w:val="FootnoteText"/>
        <w:rPr>
          <w:lang w:val="fr-CH"/>
        </w:rPr>
      </w:pPr>
      <w:r>
        <w:rPr>
          <w:rStyle w:val="FootnoteReference"/>
        </w:rPr>
        <w:footnoteRef/>
      </w:r>
      <w:r>
        <w:t xml:space="preserve"> </w:t>
      </w:r>
      <w:r w:rsidR="00047F06">
        <w:t xml:space="preserve">L’affiche </w:t>
      </w:r>
      <w:r w:rsidR="00047F06">
        <w:rPr>
          <w:lang w:val="fr-CH"/>
        </w:rPr>
        <w:t xml:space="preserve">2x77 éditée par Crystal Pictures pour la re-sortie du film en 1977 décrit même le film comme « The All-Time </w:t>
      </w:r>
      <w:r w:rsidR="00047F06" w:rsidRPr="00047F06">
        <w:rPr>
          <w:i/>
          <w:lang w:val="fr-CH"/>
        </w:rPr>
        <w:t>Horror</w:t>
      </w:r>
      <w:r w:rsidR="00047F06">
        <w:rPr>
          <w:lang w:val="fr-CH"/>
        </w:rPr>
        <w:t xml:space="preserve"> Classic ».</w:t>
      </w:r>
      <w:r w:rsidR="00A31725" w:rsidRPr="00A31725">
        <w:rPr>
          <w:highlight w:val="red"/>
          <w:lang w:val="fr-CH"/>
        </w:rPr>
        <w:t xml:space="preserve"> </w:t>
      </w:r>
      <w:r w:rsidR="00A31725" w:rsidRPr="001E2D11">
        <w:rPr>
          <w:highlight w:val="red"/>
          <w:lang w:val="fr-CH"/>
        </w:rPr>
        <w:t>Voir annexe XX</w:t>
      </w:r>
    </w:p>
  </w:footnote>
  <w:footnote w:id="60">
    <w:p w14:paraId="0662E3D7" w14:textId="142F2CBF" w:rsidR="00FF2B62" w:rsidRPr="00C32B00" w:rsidRDefault="00FF2B62">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sidR="00C32B00">
        <w:rPr>
          <w:rFonts w:cs="Times New Roman"/>
          <w:color w:val="000000"/>
          <w:lang w:val="fr-CH"/>
        </w:rPr>
        <w:t xml:space="preserve">, 12 novembre 1967 ; </w:t>
      </w:r>
      <w:r w:rsidR="00C32B00" w:rsidRPr="00C32B00">
        <w:rPr>
          <w:rFonts w:cs="Times New Roman"/>
          <w:color w:val="000000"/>
          <w:lang w:val="fr-CH"/>
        </w:rPr>
        <w:t>Robert</w:t>
      </w:r>
      <w:r w:rsidR="00C32B00">
        <w:rPr>
          <w:rFonts w:cs="Times New Roman"/>
          <w:color w:val="000000"/>
          <w:lang w:val="fr-CH"/>
        </w:rPr>
        <w:t xml:space="preserve"> Chazal</w:t>
      </w:r>
      <w:r w:rsidR="00C32B00" w:rsidRPr="00C32B00">
        <w:rPr>
          <w:rFonts w:cs="Times New Roman"/>
          <w:color w:val="000000"/>
          <w:lang w:val="fr-CH"/>
        </w:rPr>
        <w:t xml:space="preserve">, « L’invasion des profanateurs de sépultures », </w:t>
      </w:r>
      <w:r w:rsidR="00C32B00" w:rsidRPr="00C32B00">
        <w:rPr>
          <w:rFonts w:cs="Times New Roman"/>
          <w:i/>
          <w:color w:val="000000"/>
          <w:lang w:val="fr-CH"/>
        </w:rPr>
        <w:t>France Soir</w:t>
      </w:r>
      <w:r w:rsidR="00C32B00" w:rsidRPr="00C32B00">
        <w:rPr>
          <w:rFonts w:cs="Times New Roman"/>
          <w:color w:val="000000"/>
          <w:lang w:val="fr-CH"/>
        </w:rPr>
        <w:t>, 9 novembre 1967.</w:t>
      </w:r>
    </w:p>
  </w:footnote>
  <w:footnote w:id="61">
    <w:p w14:paraId="374DFCF9" w14:textId="5C16A8D5" w:rsidR="00C32B00" w:rsidRPr="00C32B00" w:rsidRDefault="00C32B00">
      <w:pPr>
        <w:pStyle w:val="FootnoteText"/>
        <w:rPr>
          <w:lang w:val="fr-CH"/>
        </w:rPr>
      </w:pPr>
      <w:r>
        <w:rPr>
          <w:rStyle w:val="FootnoteReference"/>
        </w:rPr>
        <w:footnoteRef/>
      </w:r>
      <w:r>
        <w:t xml:space="preserve"> </w:t>
      </w:r>
      <w:r w:rsidR="005041DE">
        <w:t>Garriou-Lagrange</w:t>
      </w:r>
      <w:r w:rsidR="005041DE" w:rsidRPr="005041DE">
        <w:rPr>
          <w:lang w:val="fr-CH"/>
        </w:rPr>
        <w:t xml:space="preserve">, « L’angoisse vous prend aux tripes », </w:t>
      </w:r>
      <w:r w:rsidR="005041DE" w:rsidRPr="005041DE">
        <w:rPr>
          <w:i/>
          <w:lang w:val="fr-CH"/>
        </w:rPr>
        <w:t>Témoignage Chrétien</w:t>
      </w:r>
      <w:r w:rsidR="00F87191">
        <w:rPr>
          <w:lang w:val="fr-CH"/>
        </w:rPr>
        <w:t xml:space="preserve">, 23 novembre 1967 ; </w:t>
      </w:r>
      <w:r w:rsidR="00F87191" w:rsidRPr="00F87191">
        <w:rPr>
          <w:lang w:val="fr-CH"/>
        </w:rPr>
        <w:t xml:space="preserve">S. L., « Invasion of the Body-Snatchers. Ils volent le corps et l’esprit », </w:t>
      </w:r>
      <w:r w:rsidR="00F87191" w:rsidRPr="00F87191">
        <w:rPr>
          <w:i/>
          <w:lang w:val="fr-CH"/>
        </w:rPr>
        <w:t>L’Humanité</w:t>
      </w:r>
      <w:r w:rsidR="00F87191" w:rsidRPr="00F87191">
        <w:rPr>
          <w:lang w:val="fr-CH"/>
        </w:rPr>
        <w:t>, 8 novembre 1967.</w:t>
      </w:r>
    </w:p>
  </w:footnote>
  <w:footnote w:id="62">
    <w:p w14:paraId="20395D9C" w14:textId="63776E7C" w:rsidR="00876848" w:rsidRPr="00876848" w:rsidRDefault="00876848">
      <w:pPr>
        <w:pStyle w:val="FootnoteText"/>
      </w:pPr>
      <w:r>
        <w:rPr>
          <w:rStyle w:val="FootnoteReference"/>
        </w:rPr>
        <w:footnoteRef/>
      </w:r>
      <w:r>
        <w:t xml:space="preserve"> </w:t>
      </w:r>
      <w:r w:rsidRPr="0083111B">
        <w:t xml:space="preserve">C. S., « L’invasion des profanateurs de sépultures », </w:t>
      </w:r>
      <w:r w:rsidRPr="00A95A9C">
        <w:rPr>
          <w:i/>
        </w:rPr>
        <w:t>Combat</w:t>
      </w:r>
      <w:r w:rsidR="00DE6431">
        <w:t>, 7 novembre 1967.</w:t>
      </w:r>
    </w:p>
  </w:footnote>
  <w:footnote w:id="63">
    <w:p w14:paraId="1E3AFA6B" w14:textId="0D509162" w:rsidR="00C32B00" w:rsidRPr="00C32B00" w:rsidRDefault="00C32B0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C4663F" w:rsidRPr="00C4663F" w:rsidRDefault="00C4663F">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0AFFDAE2" w:rsidR="00991F6F" w:rsidRPr="00991F6F" w:rsidRDefault="00991F6F">
      <w:pPr>
        <w:pStyle w:val="FootnoteText"/>
        <w:rPr>
          <w:lang w:val="fr-CH"/>
        </w:rPr>
      </w:pPr>
      <w:r>
        <w:rPr>
          <w:rStyle w:val="FootnoteReference"/>
        </w:rPr>
        <w:footnoteRef/>
      </w:r>
      <w:r>
        <w:t xml:space="preserve"> </w:t>
      </w:r>
      <w:r w:rsidRPr="00F11331">
        <w:rPr>
          <w:szCs w:val="20"/>
          <w:lang w:val="en-US"/>
        </w:rPr>
        <w:t xml:space="preserve">Al LaValley (éd.), </w:t>
      </w:r>
      <w:r w:rsidR="00DF0B77">
        <w:rPr>
          <w:i/>
          <w:szCs w:val="20"/>
          <w:lang w:val="en-US"/>
        </w:rPr>
        <w:t>op</w:t>
      </w:r>
      <w:r>
        <w:rPr>
          <w:i/>
          <w:szCs w:val="20"/>
          <w:lang w:val="en-US"/>
        </w:rPr>
        <w:t>.</w:t>
      </w:r>
      <w:r w:rsidR="00DF0B77">
        <w:rPr>
          <w:i/>
          <w:szCs w:val="20"/>
          <w:lang w:val="en-US"/>
        </w:rPr>
        <w:t xml:space="preserve"> cit.</w:t>
      </w:r>
      <w:r>
        <w:rPr>
          <w:szCs w:val="20"/>
          <w:lang w:val="en-US"/>
        </w:rPr>
        <w:t xml:space="preserve">, p. </w:t>
      </w:r>
      <w:r>
        <w:rPr>
          <w:szCs w:val="20"/>
          <w:lang w:val="en-US"/>
        </w:rPr>
        <w:t>4.</w:t>
      </w:r>
    </w:p>
  </w:footnote>
  <w:footnote w:id="66">
    <w:p w14:paraId="1646B1DE" w14:textId="67316FBB" w:rsidR="00DF0B77" w:rsidRPr="00DF0B77" w:rsidRDefault="00DF0B77">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xml:space="preserve">, p. </w:t>
      </w:r>
      <w:r>
        <w:rPr>
          <w:szCs w:val="20"/>
          <w:lang w:val="en-US"/>
        </w:rPr>
        <w:t>5</w:t>
      </w:r>
      <w:r>
        <w:rPr>
          <w:szCs w:val="20"/>
          <w:lang w:val="en-US"/>
        </w:rPr>
        <w:t>.</w:t>
      </w:r>
    </w:p>
  </w:footnote>
  <w:footnote w:id="67">
    <w:p w14:paraId="5A93894C" w14:textId="3CF21F4D" w:rsidR="00E84BB2" w:rsidRPr="00273D4F" w:rsidRDefault="00E84BB2">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p. 50.</w:t>
      </w:r>
      <w:r w:rsidR="00273D4F">
        <w:rPr>
          <w:szCs w:val="20"/>
          <w:lang w:val="en-GB"/>
        </w:rPr>
        <w:t xml:space="preserve"> </w:t>
      </w:r>
      <w:r w:rsidR="00273D4F" w:rsidRPr="00273D4F">
        <w:rPr>
          <w:szCs w:val="20"/>
          <w:lang w:val="fr-CH"/>
        </w:rPr>
        <w:t xml:space="preserve">Il convient de relever le fait que la notion de </w:t>
      </w:r>
      <w:r w:rsidR="00273D4F" w:rsidRPr="00273D4F">
        <w:rPr>
          <w:i/>
          <w:szCs w:val="20"/>
          <w:lang w:val="fr-CH"/>
        </w:rPr>
        <w:t>film noir</w:t>
      </w:r>
      <w:r w:rsidR="00273D4F" w:rsidRPr="00273D4F">
        <w:rPr>
          <w:szCs w:val="20"/>
          <w:lang w:val="fr-CH"/>
        </w:rPr>
        <w:t xml:space="preserve"> n’étant pas encore prévalant</w:t>
      </w:r>
      <w:r w:rsidR="00273D4F">
        <w:rPr>
          <w:szCs w:val="20"/>
          <w:lang w:val="fr-CH"/>
        </w:rPr>
        <w:t>e</w:t>
      </w:r>
      <w:r w:rsidR="00273D4F" w:rsidRPr="00273D4F">
        <w:rPr>
          <w:szCs w:val="20"/>
          <w:lang w:val="fr-CH"/>
        </w:rPr>
        <w:t xml:space="preserve"> dans la critique au moment de la sortie du film, </w:t>
      </w:r>
      <w:r w:rsidR="00273D4F">
        <w:rPr>
          <w:szCs w:val="20"/>
          <w:lang w:val="fr-CH"/>
        </w:rPr>
        <w:t>et que les auteurs académiques cités ici bénéficient d’un recul de presque un demi-siècle par rapport à la sortie du film.</w:t>
      </w:r>
    </w:p>
  </w:footnote>
  <w:footnote w:id="68">
    <w:p w14:paraId="3A571F64" w14:textId="2E02E912" w:rsidR="00E84BB2" w:rsidRPr="00E84BB2" w:rsidRDefault="00E84BB2">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w:t>
      </w:r>
      <w:r w:rsidR="00B23C6B">
        <w:rPr>
          <w:lang w:val="en-US"/>
        </w:rPr>
        <w:t>s, Palgrave MacMillan, 2012, p</w:t>
      </w:r>
      <w:r w:rsidRPr="008378E6">
        <w:rPr>
          <w:lang w:val="en-US"/>
        </w:rPr>
        <w:t>.</w:t>
      </w:r>
      <w:r w:rsidR="00B23C6B">
        <w:rPr>
          <w:lang w:val="en-US"/>
        </w:rPr>
        <w:t xml:space="preserve"> 133.</w:t>
      </w:r>
    </w:p>
  </w:footnote>
  <w:footnote w:id="69">
    <w:p w14:paraId="093BAA1D" w14:textId="32335CE1" w:rsidR="0039669B" w:rsidRPr="0039669B" w:rsidRDefault="0039669B">
      <w:pPr>
        <w:pStyle w:val="FootnoteText"/>
        <w:rPr>
          <w:lang w:val="fr-CH"/>
        </w:rPr>
      </w:pPr>
      <w:r>
        <w:rPr>
          <w:rStyle w:val="FootnoteReference"/>
        </w:rPr>
        <w:footnoteRef/>
      </w:r>
      <w:r>
        <w:t xml:space="preserve"> </w:t>
      </w:r>
      <w:r w:rsidR="00CD6788">
        <w:rPr>
          <w:lang w:val="fr-CH"/>
        </w:rPr>
        <w:t>En se ba</w:t>
      </w:r>
      <w:r w:rsidR="00DF358E">
        <w:rPr>
          <w:lang w:val="fr-CH"/>
        </w:rPr>
        <w:t>s</w:t>
      </w:r>
      <w:r w:rsidR="00CD6788">
        <w:rPr>
          <w:lang w:val="fr-CH"/>
        </w:rPr>
        <w:t>ant</w:t>
      </w:r>
      <w:r>
        <w:rPr>
          <w:lang w:val="fr-CH"/>
        </w:rPr>
        <w:t xml:space="preserve"> des textes critiques et ou académiques concernant les 4 films</w:t>
      </w:r>
      <w:r w:rsidR="00CD6788">
        <w:rPr>
          <w:lang w:val="fr-CH"/>
        </w:rPr>
        <w:t>.</w:t>
      </w:r>
    </w:p>
  </w:footnote>
  <w:footnote w:id="70">
    <w:p w14:paraId="4599E83D" w14:textId="44FD7032" w:rsidR="00572515" w:rsidRPr="00572515" w:rsidRDefault="00572515">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06378460" w14:textId="514AADF3" w:rsidR="00651CAA" w:rsidRPr="00651CAA" w:rsidRDefault="00651CAA">
      <w:pPr>
        <w:pStyle w:val="FootnoteText"/>
        <w:rPr>
          <w:lang w:val="en-GB"/>
        </w:rPr>
      </w:pPr>
      <w:r>
        <w:rPr>
          <w:rStyle w:val="FootnoteReference"/>
        </w:rPr>
        <w:footnoteRef/>
      </w:r>
      <w:r w:rsidRPr="00651CAA">
        <w:rPr>
          <w:lang w:val="en-GB"/>
        </w:rPr>
        <w:t xml:space="preserve"> </w:t>
      </w:r>
      <w:r w:rsidRPr="00651CAA">
        <w:rPr>
          <w:highlight w:val="yellow"/>
          <w:lang w:val="en-GB"/>
        </w:rPr>
        <w:t>Raymond Durgnat, LLL, VVV, EEE, PPP.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5E19B7" w:rsidRPr="00173138" w:rsidRDefault="005E19B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5E19B7" w:rsidRPr="00173138" w:rsidRDefault="005E19B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E19B7" w:rsidRPr="008138ED" w:rsidRDefault="005E19B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E19B7" w:rsidRPr="008138ED" w:rsidRDefault="005E19B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5E19B7" w:rsidRPr="00A60B3A" w:rsidRDefault="005E19B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5E19B7" w:rsidRPr="00A60B3A" w:rsidRDefault="005E19B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05E71"/>
    <w:rsid w:val="0000607A"/>
    <w:rsid w:val="00006DAE"/>
    <w:rsid w:val="000141B8"/>
    <w:rsid w:val="00016E91"/>
    <w:rsid w:val="00026DEC"/>
    <w:rsid w:val="00040872"/>
    <w:rsid w:val="00045FE8"/>
    <w:rsid w:val="00046D0E"/>
    <w:rsid w:val="00047F06"/>
    <w:rsid w:val="000634E0"/>
    <w:rsid w:val="00071D42"/>
    <w:rsid w:val="00083709"/>
    <w:rsid w:val="00084232"/>
    <w:rsid w:val="00084430"/>
    <w:rsid w:val="000A0EDA"/>
    <w:rsid w:val="000B5190"/>
    <w:rsid w:val="000D04D2"/>
    <w:rsid w:val="000D1912"/>
    <w:rsid w:val="000D2034"/>
    <w:rsid w:val="000E0580"/>
    <w:rsid w:val="000F5F10"/>
    <w:rsid w:val="000F68B8"/>
    <w:rsid w:val="00106519"/>
    <w:rsid w:val="00106EE2"/>
    <w:rsid w:val="00111C76"/>
    <w:rsid w:val="0013744F"/>
    <w:rsid w:val="0014073B"/>
    <w:rsid w:val="001419A5"/>
    <w:rsid w:val="0014602A"/>
    <w:rsid w:val="00146748"/>
    <w:rsid w:val="00156895"/>
    <w:rsid w:val="00165D3F"/>
    <w:rsid w:val="00170475"/>
    <w:rsid w:val="00173138"/>
    <w:rsid w:val="0017320C"/>
    <w:rsid w:val="00174D7C"/>
    <w:rsid w:val="001937F5"/>
    <w:rsid w:val="00195D85"/>
    <w:rsid w:val="001A1430"/>
    <w:rsid w:val="001A4F60"/>
    <w:rsid w:val="001B2667"/>
    <w:rsid w:val="001C7833"/>
    <w:rsid w:val="001D3B62"/>
    <w:rsid w:val="001E2D11"/>
    <w:rsid w:val="001F52E4"/>
    <w:rsid w:val="001F756A"/>
    <w:rsid w:val="00211C03"/>
    <w:rsid w:val="00213BA4"/>
    <w:rsid w:val="00216E79"/>
    <w:rsid w:val="00220532"/>
    <w:rsid w:val="002210A4"/>
    <w:rsid w:val="002235F1"/>
    <w:rsid w:val="00237C1E"/>
    <w:rsid w:val="002516D8"/>
    <w:rsid w:val="00253E7E"/>
    <w:rsid w:val="00257664"/>
    <w:rsid w:val="00266588"/>
    <w:rsid w:val="00273D4F"/>
    <w:rsid w:val="00283880"/>
    <w:rsid w:val="00283CF4"/>
    <w:rsid w:val="00291917"/>
    <w:rsid w:val="00293BA0"/>
    <w:rsid w:val="002A445A"/>
    <w:rsid w:val="002B23B5"/>
    <w:rsid w:val="002D4827"/>
    <w:rsid w:val="002D513A"/>
    <w:rsid w:val="002D772A"/>
    <w:rsid w:val="002D7B33"/>
    <w:rsid w:val="002E40FA"/>
    <w:rsid w:val="002F3ABB"/>
    <w:rsid w:val="00300B5B"/>
    <w:rsid w:val="00300FAE"/>
    <w:rsid w:val="0030216F"/>
    <w:rsid w:val="00313F77"/>
    <w:rsid w:val="00324843"/>
    <w:rsid w:val="00333A58"/>
    <w:rsid w:val="00336723"/>
    <w:rsid w:val="003404E5"/>
    <w:rsid w:val="003423A7"/>
    <w:rsid w:val="00344D50"/>
    <w:rsid w:val="003553A5"/>
    <w:rsid w:val="0036501B"/>
    <w:rsid w:val="00367E5D"/>
    <w:rsid w:val="003704D3"/>
    <w:rsid w:val="00371D86"/>
    <w:rsid w:val="003873C4"/>
    <w:rsid w:val="003878FF"/>
    <w:rsid w:val="003905E9"/>
    <w:rsid w:val="0039669B"/>
    <w:rsid w:val="003C5211"/>
    <w:rsid w:val="003E168C"/>
    <w:rsid w:val="003E2F89"/>
    <w:rsid w:val="003E611C"/>
    <w:rsid w:val="003E71E3"/>
    <w:rsid w:val="003F4757"/>
    <w:rsid w:val="004025E2"/>
    <w:rsid w:val="00411460"/>
    <w:rsid w:val="00417F55"/>
    <w:rsid w:val="00423903"/>
    <w:rsid w:val="00443326"/>
    <w:rsid w:val="00452E70"/>
    <w:rsid w:val="00461A37"/>
    <w:rsid w:val="00465ED2"/>
    <w:rsid w:val="0047129C"/>
    <w:rsid w:val="0047279B"/>
    <w:rsid w:val="00474C42"/>
    <w:rsid w:val="004870CE"/>
    <w:rsid w:val="00495930"/>
    <w:rsid w:val="004A0925"/>
    <w:rsid w:val="004A4981"/>
    <w:rsid w:val="004B4016"/>
    <w:rsid w:val="004B4329"/>
    <w:rsid w:val="004C1431"/>
    <w:rsid w:val="004C1AFF"/>
    <w:rsid w:val="004C3836"/>
    <w:rsid w:val="004C4C04"/>
    <w:rsid w:val="004D3899"/>
    <w:rsid w:val="004D4B6F"/>
    <w:rsid w:val="004E548E"/>
    <w:rsid w:val="004E62A3"/>
    <w:rsid w:val="004E747B"/>
    <w:rsid w:val="004F4AF0"/>
    <w:rsid w:val="004F6744"/>
    <w:rsid w:val="00503CBA"/>
    <w:rsid w:val="005041DE"/>
    <w:rsid w:val="00506F6E"/>
    <w:rsid w:val="00510CB6"/>
    <w:rsid w:val="00515D4E"/>
    <w:rsid w:val="00515D8C"/>
    <w:rsid w:val="005308DA"/>
    <w:rsid w:val="005368DD"/>
    <w:rsid w:val="00541737"/>
    <w:rsid w:val="005418E9"/>
    <w:rsid w:val="00541F81"/>
    <w:rsid w:val="00543A54"/>
    <w:rsid w:val="00554477"/>
    <w:rsid w:val="00555B6A"/>
    <w:rsid w:val="00557EDB"/>
    <w:rsid w:val="00572515"/>
    <w:rsid w:val="00581670"/>
    <w:rsid w:val="00581E90"/>
    <w:rsid w:val="00584A63"/>
    <w:rsid w:val="005857FD"/>
    <w:rsid w:val="00593B27"/>
    <w:rsid w:val="00596CCC"/>
    <w:rsid w:val="005A0C4C"/>
    <w:rsid w:val="005C6BF4"/>
    <w:rsid w:val="005E19B7"/>
    <w:rsid w:val="005E65B7"/>
    <w:rsid w:val="005F3C37"/>
    <w:rsid w:val="00601392"/>
    <w:rsid w:val="00611886"/>
    <w:rsid w:val="006127A9"/>
    <w:rsid w:val="0061689F"/>
    <w:rsid w:val="00623FA5"/>
    <w:rsid w:val="00645A27"/>
    <w:rsid w:val="00651CAA"/>
    <w:rsid w:val="00656792"/>
    <w:rsid w:val="00656AB9"/>
    <w:rsid w:val="00663724"/>
    <w:rsid w:val="00663B0A"/>
    <w:rsid w:val="00664E6A"/>
    <w:rsid w:val="00665C44"/>
    <w:rsid w:val="00670840"/>
    <w:rsid w:val="00674BE2"/>
    <w:rsid w:val="006A0B89"/>
    <w:rsid w:val="006A31EF"/>
    <w:rsid w:val="006A3862"/>
    <w:rsid w:val="006B2252"/>
    <w:rsid w:val="006B3574"/>
    <w:rsid w:val="006B65BF"/>
    <w:rsid w:val="006C6A6A"/>
    <w:rsid w:val="006C76D3"/>
    <w:rsid w:val="006D0090"/>
    <w:rsid w:val="006D1F72"/>
    <w:rsid w:val="006D57C0"/>
    <w:rsid w:val="006D5FD9"/>
    <w:rsid w:val="006E044F"/>
    <w:rsid w:val="006E18EF"/>
    <w:rsid w:val="006F4D02"/>
    <w:rsid w:val="00717BE1"/>
    <w:rsid w:val="00722301"/>
    <w:rsid w:val="00723A13"/>
    <w:rsid w:val="00732974"/>
    <w:rsid w:val="00732B2C"/>
    <w:rsid w:val="00734435"/>
    <w:rsid w:val="007344B8"/>
    <w:rsid w:val="0073541F"/>
    <w:rsid w:val="0074138E"/>
    <w:rsid w:val="0074692C"/>
    <w:rsid w:val="007504B3"/>
    <w:rsid w:val="00766D6F"/>
    <w:rsid w:val="00767450"/>
    <w:rsid w:val="00771C29"/>
    <w:rsid w:val="00781EA5"/>
    <w:rsid w:val="00782CBD"/>
    <w:rsid w:val="0078373E"/>
    <w:rsid w:val="007914D6"/>
    <w:rsid w:val="007A0071"/>
    <w:rsid w:val="007A3A39"/>
    <w:rsid w:val="007D4311"/>
    <w:rsid w:val="007D593E"/>
    <w:rsid w:val="007D7652"/>
    <w:rsid w:val="007E1A3C"/>
    <w:rsid w:val="007E60F5"/>
    <w:rsid w:val="007F6A07"/>
    <w:rsid w:val="00801C43"/>
    <w:rsid w:val="00801F85"/>
    <w:rsid w:val="0080297C"/>
    <w:rsid w:val="00810BFA"/>
    <w:rsid w:val="008138ED"/>
    <w:rsid w:val="0081693C"/>
    <w:rsid w:val="0082622B"/>
    <w:rsid w:val="00826DEA"/>
    <w:rsid w:val="0083111B"/>
    <w:rsid w:val="008349BE"/>
    <w:rsid w:val="008364AE"/>
    <w:rsid w:val="0084708F"/>
    <w:rsid w:val="0085797C"/>
    <w:rsid w:val="008605A2"/>
    <w:rsid w:val="00876848"/>
    <w:rsid w:val="008865F3"/>
    <w:rsid w:val="008915E7"/>
    <w:rsid w:val="00897A27"/>
    <w:rsid w:val="008A323A"/>
    <w:rsid w:val="008A7494"/>
    <w:rsid w:val="008C08B5"/>
    <w:rsid w:val="008C600F"/>
    <w:rsid w:val="008D19D6"/>
    <w:rsid w:val="008E367A"/>
    <w:rsid w:val="008E3E84"/>
    <w:rsid w:val="008F5700"/>
    <w:rsid w:val="008F6058"/>
    <w:rsid w:val="008F7692"/>
    <w:rsid w:val="00900F3C"/>
    <w:rsid w:val="00902AA9"/>
    <w:rsid w:val="009079AC"/>
    <w:rsid w:val="00917414"/>
    <w:rsid w:val="0092365D"/>
    <w:rsid w:val="00923E14"/>
    <w:rsid w:val="00925377"/>
    <w:rsid w:val="00932DDA"/>
    <w:rsid w:val="0093468C"/>
    <w:rsid w:val="0096089B"/>
    <w:rsid w:val="00962F49"/>
    <w:rsid w:val="00963ECD"/>
    <w:rsid w:val="009705B0"/>
    <w:rsid w:val="00970CC6"/>
    <w:rsid w:val="00977317"/>
    <w:rsid w:val="0099055C"/>
    <w:rsid w:val="00991F6F"/>
    <w:rsid w:val="009A7696"/>
    <w:rsid w:val="009B1242"/>
    <w:rsid w:val="009B1CA9"/>
    <w:rsid w:val="009B43D7"/>
    <w:rsid w:val="009C43E8"/>
    <w:rsid w:val="009E2528"/>
    <w:rsid w:val="009E498B"/>
    <w:rsid w:val="009E67C3"/>
    <w:rsid w:val="009F3C8F"/>
    <w:rsid w:val="009F4648"/>
    <w:rsid w:val="009F674F"/>
    <w:rsid w:val="009F687A"/>
    <w:rsid w:val="00A00FD7"/>
    <w:rsid w:val="00A07145"/>
    <w:rsid w:val="00A17F6D"/>
    <w:rsid w:val="00A2003F"/>
    <w:rsid w:val="00A31725"/>
    <w:rsid w:val="00A320AC"/>
    <w:rsid w:val="00A50EFA"/>
    <w:rsid w:val="00A5532D"/>
    <w:rsid w:val="00A60B3A"/>
    <w:rsid w:val="00A63218"/>
    <w:rsid w:val="00A73D15"/>
    <w:rsid w:val="00A82504"/>
    <w:rsid w:val="00A85356"/>
    <w:rsid w:val="00A90860"/>
    <w:rsid w:val="00A91B5F"/>
    <w:rsid w:val="00A9200C"/>
    <w:rsid w:val="00A9420C"/>
    <w:rsid w:val="00A95A9C"/>
    <w:rsid w:val="00A95CCC"/>
    <w:rsid w:val="00AA0F22"/>
    <w:rsid w:val="00AA23EE"/>
    <w:rsid w:val="00AB3AD4"/>
    <w:rsid w:val="00AD3049"/>
    <w:rsid w:val="00AD62CD"/>
    <w:rsid w:val="00AD64B9"/>
    <w:rsid w:val="00AE5AEA"/>
    <w:rsid w:val="00AE63DD"/>
    <w:rsid w:val="00AF114E"/>
    <w:rsid w:val="00B00158"/>
    <w:rsid w:val="00B02260"/>
    <w:rsid w:val="00B032DC"/>
    <w:rsid w:val="00B100B1"/>
    <w:rsid w:val="00B11DA2"/>
    <w:rsid w:val="00B16D37"/>
    <w:rsid w:val="00B22B0C"/>
    <w:rsid w:val="00B23C6B"/>
    <w:rsid w:val="00B31E7A"/>
    <w:rsid w:val="00B359C1"/>
    <w:rsid w:val="00B50D87"/>
    <w:rsid w:val="00B60790"/>
    <w:rsid w:val="00B65CFE"/>
    <w:rsid w:val="00B90B58"/>
    <w:rsid w:val="00B92C52"/>
    <w:rsid w:val="00B96B22"/>
    <w:rsid w:val="00BA47A3"/>
    <w:rsid w:val="00BA6F90"/>
    <w:rsid w:val="00BA72D1"/>
    <w:rsid w:val="00BB6E40"/>
    <w:rsid w:val="00BE2589"/>
    <w:rsid w:val="00BF02C1"/>
    <w:rsid w:val="00BF0810"/>
    <w:rsid w:val="00BF32E7"/>
    <w:rsid w:val="00C00C01"/>
    <w:rsid w:val="00C00EFC"/>
    <w:rsid w:val="00C026AF"/>
    <w:rsid w:val="00C03C7A"/>
    <w:rsid w:val="00C060D1"/>
    <w:rsid w:val="00C103A2"/>
    <w:rsid w:val="00C115FF"/>
    <w:rsid w:val="00C16A30"/>
    <w:rsid w:val="00C17BE9"/>
    <w:rsid w:val="00C249AB"/>
    <w:rsid w:val="00C251F9"/>
    <w:rsid w:val="00C25610"/>
    <w:rsid w:val="00C27606"/>
    <w:rsid w:val="00C30FA4"/>
    <w:rsid w:val="00C3166F"/>
    <w:rsid w:val="00C32B00"/>
    <w:rsid w:val="00C32EB3"/>
    <w:rsid w:val="00C43266"/>
    <w:rsid w:val="00C439CE"/>
    <w:rsid w:val="00C451C9"/>
    <w:rsid w:val="00C45E5D"/>
    <w:rsid w:val="00C4663F"/>
    <w:rsid w:val="00C5001D"/>
    <w:rsid w:val="00C54399"/>
    <w:rsid w:val="00C5547A"/>
    <w:rsid w:val="00C65644"/>
    <w:rsid w:val="00C70B5B"/>
    <w:rsid w:val="00C74349"/>
    <w:rsid w:val="00C75684"/>
    <w:rsid w:val="00C8691C"/>
    <w:rsid w:val="00C87D83"/>
    <w:rsid w:val="00C96219"/>
    <w:rsid w:val="00CA0D63"/>
    <w:rsid w:val="00CA4BEE"/>
    <w:rsid w:val="00CB707A"/>
    <w:rsid w:val="00CD2ABD"/>
    <w:rsid w:val="00CD6788"/>
    <w:rsid w:val="00CD78D5"/>
    <w:rsid w:val="00CE062F"/>
    <w:rsid w:val="00CE3FB7"/>
    <w:rsid w:val="00CE51D3"/>
    <w:rsid w:val="00CF0127"/>
    <w:rsid w:val="00CF2253"/>
    <w:rsid w:val="00CF41D6"/>
    <w:rsid w:val="00CF7E1B"/>
    <w:rsid w:val="00D0023D"/>
    <w:rsid w:val="00D024F2"/>
    <w:rsid w:val="00D0645A"/>
    <w:rsid w:val="00D06483"/>
    <w:rsid w:val="00D2493B"/>
    <w:rsid w:val="00D26AA7"/>
    <w:rsid w:val="00D31576"/>
    <w:rsid w:val="00D41B23"/>
    <w:rsid w:val="00D42550"/>
    <w:rsid w:val="00D42CAE"/>
    <w:rsid w:val="00D46285"/>
    <w:rsid w:val="00D5422B"/>
    <w:rsid w:val="00D56248"/>
    <w:rsid w:val="00D57068"/>
    <w:rsid w:val="00D60196"/>
    <w:rsid w:val="00D60512"/>
    <w:rsid w:val="00D62069"/>
    <w:rsid w:val="00D80634"/>
    <w:rsid w:val="00D85D1D"/>
    <w:rsid w:val="00D9060A"/>
    <w:rsid w:val="00D97C6A"/>
    <w:rsid w:val="00DA2B00"/>
    <w:rsid w:val="00DA4FCE"/>
    <w:rsid w:val="00DB57AB"/>
    <w:rsid w:val="00DC11D1"/>
    <w:rsid w:val="00DC2443"/>
    <w:rsid w:val="00DD3C95"/>
    <w:rsid w:val="00DD6C92"/>
    <w:rsid w:val="00DE394A"/>
    <w:rsid w:val="00DE3C2D"/>
    <w:rsid w:val="00DE6431"/>
    <w:rsid w:val="00DE6510"/>
    <w:rsid w:val="00DF0B77"/>
    <w:rsid w:val="00DF358E"/>
    <w:rsid w:val="00E027DF"/>
    <w:rsid w:val="00E16E4E"/>
    <w:rsid w:val="00E217C0"/>
    <w:rsid w:val="00E251B8"/>
    <w:rsid w:val="00E256C7"/>
    <w:rsid w:val="00E25763"/>
    <w:rsid w:val="00E33B0D"/>
    <w:rsid w:val="00E41347"/>
    <w:rsid w:val="00E4313C"/>
    <w:rsid w:val="00E4428C"/>
    <w:rsid w:val="00E57157"/>
    <w:rsid w:val="00E6478A"/>
    <w:rsid w:val="00E748E4"/>
    <w:rsid w:val="00E766BF"/>
    <w:rsid w:val="00E773D5"/>
    <w:rsid w:val="00E80FD5"/>
    <w:rsid w:val="00E823D7"/>
    <w:rsid w:val="00E84BB2"/>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6449"/>
    <w:rsid w:val="00F1669A"/>
    <w:rsid w:val="00F2193B"/>
    <w:rsid w:val="00F3274A"/>
    <w:rsid w:val="00F33859"/>
    <w:rsid w:val="00F33C24"/>
    <w:rsid w:val="00F37F51"/>
    <w:rsid w:val="00F4408F"/>
    <w:rsid w:val="00F4480F"/>
    <w:rsid w:val="00F51A78"/>
    <w:rsid w:val="00F54F1D"/>
    <w:rsid w:val="00F56B7E"/>
    <w:rsid w:val="00F6235E"/>
    <w:rsid w:val="00F66B1F"/>
    <w:rsid w:val="00F7084A"/>
    <w:rsid w:val="00F7691F"/>
    <w:rsid w:val="00F77154"/>
    <w:rsid w:val="00F81209"/>
    <w:rsid w:val="00F8693F"/>
    <w:rsid w:val="00F87191"/>
    <w:rsid w:val="00F90D23"/>
    <w:rsid w:val="00F910DC"/>
    <w:rsid w:val="00F95A52"/>
    <w:rsid w:val="00F963E4"/>
    <w:rsid w:val="00FA31E1"/>
    <w:rsid w:val="00FA4053"/>
    <w:rsid w:val="00FB3F74"/>
    <w:rsid w:val="00FC30BB"/>
    <w:rsid w:val="00FD0709"/>
    <w:rsid w:val="00FD4B37"/>
    <w:rsid w:val="00FD7019"/>
    <w:rsid w:val="00FE1599"/>
    <w:rsid w:val="00FE5064"/>
    <w:rsid w:val="00FE519B"/>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10C2A4A-318D-2C46-8803-F3955631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8</Pages>
  <Words>2295</Words>
  <Characters>13084</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344</cp:revision>
  <dcterms:created xsi:type="dcterms:W3CDTF">2016-06-23T14:51:00Z</dcterms:created>
  <dcterms:modified xsi:type="dcterms:W3CDTF">2016-11-30T20:42:00Z</dcterms:modified>
</cp:coreProperties>
</file>