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Pr="00CD78D5" w:rsidRDefault="00E217C0" w:rsidP="00E80FD5">
      <w:pPr>
        <w:rPr>
          <w:rFonts w:cs="Times New Roman"/>
          <w:color w:val="000000"/>
          <w:lang w:val="fr-CH"/>
        </w:rPr>
      </w:pPr>
    </w:p>
    <w:p w14:paraId="3797E25F" w14:textId="38978FE4" w:rsidR="002D4827" w:rsidRPr="002D4827" w:rsidRDefault="002D4827"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5B806888" w14:textId="789399DA" w:rsidR="00CF7E1B" w:rsidRDefault="00367E5D" w:rsidP="00CF7E1B">
      <w:pPr>
        <w:pStyle w:val="Mmoire"/>
        <w:rPr>
          <w:lang w:val="fr-CH"/>
        </w:rPr>
      </w:pPr>
      <w:r>
        <w:rPr>
          <w:lang w:val="fr-CH"/>
        </w:rPr>
        <w:t xml:space="preserve">En préambule à ce chapitre consacré à l’état de l’Art, </w:t>
      </w:r>
      <w:r w:rsidR="00C00C01">
        <w:rPr>
          <w:lang w:val="fr-CH"/>
        </w:rPr>
        <w:t>il convient d’apporter quelques précisions méthodologiques quant au choix des sources utilisées.</w:t>
      </w:r>
      <w:r w:rsidR="00CF7E1B">
        <w:rPr>
          <w:lang w:val="fr-CH"/>
        </w:rPr>
        <w:t xml:space="preserve"> </w:t>
      </w:r>
      <w:r w:rsidR="00016E91">
        <w:rPr>
          <w:lang w:val="fr-CH"/>
        </w:rPr>
        <w:t xml:space="preserve">Ce chapitre se concentre sur la réception critique et académique </w:t>
      </w:r>
      <w:proofErr w:type="gramStart"/>
      <w:r w:rsidR="00016E91">
        <w:rPr>
          <w:lang w:val="fr-CH"/>
        </w:rPr>
        <w:t xml:space="preserve">de </w:t>
      </w:r>
      <w:r w:rsidR="00016E91">
        <w:rPr>
          <w:i/>
          <w:lang w:val="fr-CH"/>
        </w:rPr>
        <w:t>Invasion</w:t>
      </w:r>
      <w:proofErr w:type="gramEnd"/>
      <w:r w:rsidR="00016E91">
        <w:rPr>
          <w:i/>
          <w:lang w:val="fr-CH"/>
        </w:rPr>
        <w:t xml:space="preserve"> of the Body Snatchers</w:t>
      </w:r>
      <w:r w:rsidR="00016E91">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w:t>
      </w:r>
      <w:r w:rsidR="004C3836">
        <w:rPr>
          <w:lang w:val="fr-CH"/>
        </w:rPr>
        <w:t>té le roman</w:t>
      </w:r>
      <w:r w:rsidR="00016E91">
        <w:rPr>
          <w:lang w:val="fr-CH"/>
        </w:rPr>
        <w:t xml:space="preserve"> source et les questions </w:t>
      </w:r>
      <w:r w:rsidR="00016E91" w:rsidRPr="004C3836">
        <w:rPr>
          <w:i/>
          <w:lang w:val="fr-CH"/>
        </w:rPr>
        <w:t>d’</w:t>
      </w:r>
      <w:r w:rsidR="004C3836" w:rsidRPr="004C3836">
        <w:rPr>
          <w:i/>
          <w:lang w:val="fr-CH"/>
        </w:rPr>
        <w:t>adaptation</w:t>
      </w:r>
      <w:r w:rsidR="00016E91">
        <w:rPr>
          <w:lang w:val="fr-CH"/>
        </w:rPr>
        <w:t xml:space="preserve"> pures, sans toutefois complètement les omettre.</w:t>
      </w:r>
      <w:r w:rsidR="00CF2253">
        <w:rPr>
          <w:lang w:val="fr-CH"/>
        </w:rPr>
        <w:t xml:space="preserve"> </w:t>
      </w:r>
      <w:r w:rsidR="00F56B7E">
        <w:rPr>
          <w:lang w:val="fr-CH"/>
        </w:rPr>
        <w:t xml:space="preserve">La deuxième précision méthodologique concerne l’origine des sources utilisées : ce chapitre traite et compare des sources qualitativement </w:t>
      </w:r>
      <w:r w:rsidR="00611886">
        <w:rPr>
          <w:lang w:val="fr-CH"/>
        </w:rPr>
        <w:t xml:space="preserve">variées. D’une part, les réceptions critiques dont </w:t>
      </w:r>
      <w:r w:rsidR="00DE394A">
        <w:rPr>
          <w:lang w:val="fr-CH"/>
        </w:rPr>
        <w:t>il sera question</w:t>
      </w:r>
      <w:r w:rsidR="00611886">
        <w:rPr>
          <w:lang w:val="fr-CH"/>
        </w:rPr>
        <w:t xml:space="preserve"> émanent en grande majorité de la grande presse quotidienne et hebdomadaire</w:t>
      </w:r>
      <w:r w:rsidR="00611886">
        <w:rPr>
          <w:rStyle w:val="FootnoteReference"/>
          <w:lang w:val="fr-CH"/>
        </w:rPr>
        <w:footnoteReference w:id="1"/>
      </w:r>
      <w:r w:rsidR="00611886">
        <w:rPr>
          <w:lang w:val="fr-CH"/>
        </w:rPr>
        <w:t>.</w:t>
      </w:r>
      <w:r w:rsidR="00DE394A">
        <w:rPr>
          <w:lang w:val="fr-CH"/>
        </w:rPr>
        <w:t xml:space="preserve"> Les jugements de valeur présents dans les articles ou ouvrages (para-)académiques feront, quant à eux, office d’une analyse détaillée dans la dernière partie de ce travail.</w:t>
      </w:r>
      <w:r w:rsidR="00EF71ED">
        <w:rPr>
          <w:lang w:val="fr-CH"/>
        </w:rPr>
        <w:t xml:space="preserve"> Ils feront par contre office </w:t>
      </w:r>
      <w:r w:rsidR="00C74349">
        <w:rPr>
          <w:lang w:val="fr-CH"/>
        </w:rPr>
        <w:t>de source dans le cadre de la dernière partie de ce chapitre, intitulée « une métaphore pluri-sémantique », dans laquelle il sera question de recenser et discuter des interprétations à la métaphore proposée par les films ; une question qui est à l’origine</w:t>
      </w:r>
      <w:r w:rsidR="00C74349">
        <w:rPr>
          <w:rStyle w:val="FootnoteReference"/>
          <w:lang w:val="fr-CH"/>
        </w:rPr>
        <w:footnoteReference w:id="2"/>
      </w:r>
      <w:r w:rsidR="00C74349">
        <w:rPr>
          <w:lang w:val="fr-CH"/>
        </w:rPr>
        <w:t xml:space="preserve"> d’un nombre important des articles académiques consacrés </w:t>
      </w:r>
      <w:proofErr w:type="spellStart"/>
      <w:r w:rsidR="00C74349">
        <w:rPr>
          <w:lang w:val="fr-CH"/>
        </w:rPr>
        <w:t>au(x</w:t>
      </w:r>
      <w:proofErr w:type="spellEnd"/>
      <w:r w:rsidR="00C74349">
        <w:rPr>
          <w:lang w:val="fr-CH"/>
        </w:rPr>
        <w:t>) film(s).</w:t>
      </w:r>
      <w:r w:rsidR="008364AE">
        <w:rPr>
          <w:lang w:val="fr-CH"/>
        </w:rPr>
        <w:t xml:space="preserve"> Finalement, il conviendra de mentionner les 3 livres dédi</w:t>
      </w:r>
      <w:r w:rsidR="00C87D83">
        <w:rPr>
          <w:lang w:val="fr-CH"/>
        </w:rPr>
        <w:t xml:space="preserve">és </w:t>
      </w:r>
      <w:proofErr w:type="spellStart"/>
      <w:r w:rsidR="00C87D83">
        <w:rPr>
          <w:lang w:val="fr-CH"/>
        </w:rPr>
        <w:t>au(x</w:t>
      </w:r>
      <w:proofErr w:type="spellEnd"/>
      <w:r w:rsidR="00C87D83">
        <w:rPr>
          <w:lang w:val="fr-CH"/>
        </w:rPr>
        <w:t>) film(s)</w:t>
      </w:r>
      <w:r w:rsidR="008364AE">
        <w:rPr>
          <w:lang w:val="fr-CH"/>
        </w:rPr>
        <w:t>, publiés en 1989</w:t>
      </w:r>
      <w:r w:rsidR="00F10E98">
        <w:rPr>
          <w:rStyle w:val="FootnoteReference"/>
          <w:lang w:val="fr-CH"/>
        </w:rPr>
        <w:footnoteReference w:id="3"/>
      </w:r>
      <w:r w:rsidR="008364AE">
        <w:rPr>
          <w:lang w:val="fr-CH"/>
        </w:rPr>
        <w:t>, 2010</w:t>
      </w:r>
      <w:r w:rsidR="00F10E98">
        <w:rPr>
          <w:rStyle w:val="FootnoteReference"/>
          <w:lang w:val="fr-CH"/>
        </w:rPr>
        <w:footnoteReference w:id="4"/>
      </w:r>
      <w:r w:rsidR="008364AE">
        <w:rPr>
          <w:lang w:val="fr-CH"/>
        </w:rPr>
        <w:t xml:space="preserve"> et 2012</w:t>
      </w:r>
      <w:r w:rsidR="00F10E98">
        <w:rPr>
          <w:rStyle w:val="FootnoteReference"/>
          <w:lang w:val="fr-CH"/>
        </w:rPr>
        <w:footnoteReference w:id="5"/>
      </w:r>
      <w:r w:rsidR="00F10E98">
        <w:rPr>
          <w:lang w:val="fr-CH"/>
        </w:rPr>
        <w:t xml:space="preserve"> : si les deux premiers sont issus de collections (para-)académiques et présentent toutes les qualités </w:t>
      </w:r>
      <w:r w:rsidR="00C16A30">
        <w:rPr>
          <w:lang w:val="fr-CH"/>
        </w:rPr>
        <w:t xml:space="preserve">formelles </w:t>
      </w:r>
      <w:r w:rsidR="00F10E98">
        <w:rPr>
          <w:lang w:val="fr-CH"/>
        </w:rPr>
        <w:t xml:space="preserve">d’un travail universitaire (notes de bas de page, </w:t>
      </w:r>
      <w:r w:rsidR="00C16A30">
        <w:rPr>
          <w:lang w:val="fr-CH"/>
        </w:rPr>
        <w:t>bibliographie)</w:t>
      </w:r>
      <w:r w:rsidR="00333A58">
        <w:rPr>
          <w:lang w:val="fr-CH"/>
        </w:rPr>
        <w:t xml:space="preserve">, le livre de </w:t>
      </w:r>
      <w:proofErr w:type="spellStart"/>
      <w:r w:rsidR="00333A58">
        <w:rPr>
          <w:lang w:val="fr-CH"/>
        </w:rPr>
        <w:t>McGee</w:t>
      </w:r>
      <w:proofErr w:type="spellEnd"/>
      <w:r w:rsidR="00333A58">
        <w:rPr>
          <w:lang w:val="fr-CH"/>
        </w:rPr>
        <w:t xml:space="preserve"> s’auto-définit comme un ouvrage de </w:t>
      </w:r>
      <w:r w:rsidR="00333A58">
        <w:rPr>
          <w:i/>
          <w:lang w:val="fr-CH"/>
        </w:rPr>
        <w:t>fan</w:t>
      </w:r>
      <w:r w:rsidR="00333A58">
        <w:rPr>
          <w:lang w:val="fr-CH"/>
        </w:rPr>
        <w:t xml:space="preserve"> présentant tout ce que l’auteur sait à propos </w:t>
      </w:r>
      <w:proofErr w:type="gramStart"/>
      <w:r w:rsidR="00333A58">
        <w:rPr>
          <w:lang w:val="fr-CH"/>
        </w:rPr>
        <w:t xml:space="preserve">de </w:t>
      </w:r>
      <w:r w:rsidR="00333A58">
        <w:rPr>
          <w:i/>
          <w:lang w:val="fr-CH"/>
        </w:rPr>
        <w:t>Invasion</w:t>
      </w:r>
      <w:proofErr w:type="gramEnd"/>
      <w:r w:rsidR="00333A58">
        <w:rPr>
          <w:i/>
          <w:lang w:val="fr-CH"/>
        </w:rPr>
        <w:t xml:space="preserve"> </w:t>
      </w:r>
      <w:r w:rsidR="00333A58">
        <w:rPr>
          <w:i/>
          <w:lang w:val="fr-CH"/>
        </w:rPr>
        <w:lastRenderedPageBreak/>
        <w:t>of the Body Snatchers</w:t>
      </w:r>
      <w:r w:rsidR="00333A58">
        <w:rPr>
          <w:rStyle w:val="FootnoteReference"/>
          <w:i/>
          <w:lang w:val="fr-CH"/>
        </w:rPr>
        <w:footnoteReference w:id="6"/>
      </w:r>
      <w:r w:rsidR="007D7652">
        <w:rPr>
          <w:lang w:val="fr-CH"/>
        </w:rPr>
        <w:t>. Néanmoins, les trois livres ont grandement facilité la démarche entreprise dans le cadre de ces travail en reproduisant dans leur intégralité des documents retrouvés dans les archives de Walter Wagner</w:t>
      </w:r>
      <w:r w:rsidR="007D7652">
        <w:rPr>
          <w:rStyle w:val="FootnoteReference"/>
          <w:lang w:val="fr-CH"/>
        </w:rPr>
        <w:footnoteReference w:id="7"/>
      </w:r>
      <w:r w:rsidR="007D7652">
        <w:rPr>
          <w:lang w:val="fr-CH"/>
        </w:rPr>
        <w:t xml:space="preserve"> ou des critiques publiées dans la presse et aujourd’hui difficilement accessible</w:t>
      </w:r>
      <w:r w:rsidR="00B359C1">
        <w:rPr>
          <w:lang w:val="fr-CH"/>
        </w:rPr>
        <w:t>s</w:t>
      </w:r>
      <w:r w:rsidR="007D7652">
        <w:rPr>
          <w:lang w:val="fr-CH"/>
        </w:rPr>
        <w:t>.</w:t>
      </w:r>
    </w:p>
    <w:p w14:paraId="21D5CA55" w14:textId="77777777" w:rsidR="00F56B7E" w:rsidRPr="00F56B7E" w:rsidRDefault="00F56B7E" w:rsidP="00F56B7E"/>
    <w:p w14:paraId="1151E095" w14:textId="1BCEECA9" w:rsidR="00EB361E" w:rsidRPr="00611886" w:rsidRDefault="00A82504"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4B5E6F95" w14:textId="77777777" w:rsidR="00EB361E" w:rsidRPr="00CD78D5" w:rsidRDefault="00EB361E" w:rsidP="00EB361E">
      <w:pPr>
        <w:rPr>
          <w:lang w:val="fr-CH"/>
        </w:rPr>
      </w:pPr>
    </w:p>
    <w:p w14:paraId="6588DE39" w14:textId="09D58092" w:rsidR="00EB361E" w:rsidRDefault="0092365D"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w:t>
      </w:r>
      <w:proofErr w:type="spellStart"/>
      <w:r>
        <w:rPr>
          <w:lang w:val="fr-CH"/>
        </w:rPr>
        <w:t>Bosley</w:t>
      </w:r>
      <w:proofErr w:type="spellEnd"/>
      <w:r w:rsidR="0000607A">
        <w:rPr>
          <w:lang w:val="fr-CH"/>
        </w:rPr>
        <w:t xml:space="preserve"> </w:t>
      </w:r>
      <w:proofErr w:type="spellStart"/>
      <w:r w:rsidR="0000607A">
        <w:rPr>
          <w:lang w:val="fr-CH"/>
        </w:rPr>
        <w:t>Crowther</w:t>
      </w:r>
      <w:proofErr w:type="spellEnd"/>
      <w:r w:rsidR="0000607A">
        <w:rPr>
          <w:rStyle w:val="FootnoteReference"/>
          <w:lang w:val="fr-CH"/>
        </w:rPr>
        <w:footnoteReference w:id="8"/>
      </w:r>
      <w:r w:rsidR="00A17F6D">
        <w:rPr>
          <w:lang w:val="fr-CH"/>
        </w:rPr>
        <w:t xml:space="preserve"> dans laquelle le producteur suggère avec insistance au critique du </w:t>
      </w:r>
      <w:r w:rsidR="00A17F6D" w:rsidRPr="00A17F6D">
        <w:rPr>
          <w:i/>
          <w:lang w:val="fr-CH"/>
        </w:rPr>
        <w:t>New York Times</w:t>
      </w:r>
      <w:r w:rsidR="00A17F6D">
        <w:rPr>
          <w:lang w:val="fr-CH"/>
        </w:rPr>
        <w:t xml:space="preserve"> de voir son film, </w:t>
      </w:r>
      <w:r w:rsidR="00FA31E1">
        <w:rPr>
          <w:lang w:val="fr-CH"/>
        </w:rPr>
        <w:t xml:space="preserve">et dans laquelle il affirme également </w:t>
      </w:r>
      <w:r w:rsidR="00A17F6D">
        <w:rPr>
          <w:lang w:val="fr-CH"/>
        </w:rPr>
        <w:t>« </w:t>
      </w:r>
      <w:r w:rsidR="00A17F6D" w:rsidRPr="00A17F6D">
        <w:rPr>
          <w:lang w:val="en-US"/>
        </w:rPr>
        <w:t xml:space="preserve">it’s definitely an exploitation picture which they </w:t>
      </w:r>
      <w:r w:rsidR="00A17F6D">
        <w:rPr>
          <w:lang w:val="en-US"/>
        </w:rPr>
        <w:t>[the distributor and exhibitor]</w:t>
      </w:r>
      <w:r w:rsidR="00ED47B2">
        <w:rPr>
          <w:lang w:val="en-US"/>
        </w:rPr>
        <w:t xml:space="preserve"> </w:t>
      </w:r>
      <w:r w:rsidR="00A17F6D" w:rsidRPr="00A17F6D">
        <w:rPr>
          <w:lang w:val="en-US"/>
        </w:rPr>
        <w:t>didn’t exploit</w:t>
      </w:r>
      <w:r w:rsidR="00A17F6D">
        <w:rPr>
          <w:lang w:val="fr-CH"/>
        </w:rPr>
        <w:t> »</w:t>
      </w:r>
      <w:r w:rsidR="00A17F6D">
        <w:rPr>
          <w:rStyle w:val="FootnoteReference"/>
          <w:lang w:val="fr-CH"/>
        </w:rPr>
        <w:footnoteReference w:id="9"/>
      </w:r>
      <w:r w:rsidR="00ED47B2">
        <w:rPr>
          <w:lang w:val="fr-CH"/>
        </w:rPr>
        <w:t>.</w:t>
      </w:r>
      <w:r w:rsidR="00A17F6D">
        <w:rPr>
          <w:lang w:val="fr-CH"/>
        </w:rPr>
        <w:t xml:space="preserve"> </w:t>
      </w:r>
      <w:r w:rsidR="006C76D3">
        <w:rPr>
          <w:lang w:val="fr-CH"/>
        </w:rPr>
        <w:t>Cette démarche suggère d’une part la déception</w:t>
      </w:r>
      <w:r w:rsidR="00F4408F">
        <w:rPr>
          <w:lang w:val="fr-CH"/>
        </w:rPr>
        <w:t xml:space="preserve"> compréhensible</w:t>
      </w:r>
      <w:r w:rsidR="006C76D3">
        <w:rPr>
          <w:lang w:val="fr-CH"/>
        </w:rPr>
        <w:t xml:space="preserve"> d’un producteur </w:t>
      </w:r>
      <w:r w:rsidR="00F51A78">
        <w:rPr>
          <w:lang w:val="fr-CH"/>
        </w:rPr>
        <w:t xml:space="preserve">envers l’échec </w:t>
      </w:r>
      <w:r w:rsidR="006C76D3">
        <w:rPr>
          <w:lang w:val="fr-CH"/>
        </w:rPr>
        <w:t>critique de son film</w:t>
      </w:r>
      <w:r w:rsidR="00F4408F">
        <w:rPr>
          <w:lang w:val="fr-CH"/>
        </w:rPr>
        <w:t>, mais également sa lucidité face à son statut de « film d’exploitation ». Le choix de plusieurs auteurs</w:t>
      </w:r>
      <w:r w:rsidR="00F4408F">
        <w:rPr>
          <w:rStyle w:val="FootnoteReference"/>
          <w:lang w:val="fr-CH"/>
        </w:rPr>
        <w:footnoteReference w:id="10"/>
      </w:r>
      <w:r w:rsidR="006E044F">
        <w:rPr>
          <w:lang w:val="fr-CH"/>
        </w:rPr>
        <w:t xml:space="preserve"> de citer cette lettre </w:t>
      </w:r>
      <w:r w:rsidR="00F51A78">
        <w:rPr>
          <w:lang w:val="fr-CH"/>
        </w:rPr>
        <w:t>trahit également une volonté de légitimation d’un film ignoré lors de sa première sortie en salle en suggérant que, malgré l’implication de son producteur, le destin se serait acharné contre le film</w:t>
      </w:r>
      <w:r w:rsidR="00F51A78">
        <w:rPr>
          <w:rStyle w:val="FootnoteReference"/>
          <w:lang w:val="fr-CH"/>
        </w:rPr>
        <w:footnoteReference w:id="11"/>
      </w:r>
      <w:r w:rsidR="00F51A78">
        <w:rPr>
          <w:lang w:val="fr-CH"/>
        </w:rPr>
        <w:t xml:space="preserve">. </w:t>
      </w:r>
      <w:r w:rsidR="004C1431">
        <w:rPr>
          <w:lang w:val="fr-CH"/>
        </w:rPr>
        <w:t>LaValley tient des propos plus nuancés en rappelant que le précédent film de Wagner, également réalisé par Don Siegel</w:t>
      </w:r>
      <w:r w:rsidR="004C1431">
        <w:rPr>
          <w:rStyle w:val="FootnoteReference"/>
          <w:lang w:val="fr-CH"/>
        </w:rPr>
        <w:footnoteReference w:id="12"/>
      </w:r>
      <w:r w:rsidR="00293BA0">
        <w:rPr>
          <w:lang w:val="fr-CH"/>
        </w:rPr>
        <w:t>, avait connu un retentissement positif dans la grande presse. Il cite trois facteurs qui ont entrainé le manque d’</w:t>
      </w:r>
      <w:r w:rsidR="008915E7">
        <w:rPr>
          <w:lang w:val="fr-CH"/>
        </w:rPr>
        <w:t>intérêt</w:t>
      </w:r>
      <w:r w:rsidR="00293BA0">
        <w:rPr>
          <w:lang w:val="fr-CH"/>
        </w:rPr>
        <w:t xml:space="preserve"> des publications majeures pour le film : son « </w:t>
      </w:r>
      <w:r w:rsidR="00293BA0" w:rsidRPr="00C060D1">
        <w:rPr>
          <w:lang w:val="en-US"/>
        </w:rPr>
        <w:t>lowly science fiction status</w:t>
      </w:r>
      <w:r w:rsidR="00293BA0">
        <w:rPr>
          <w:lang w:val="fr-CH"/>
        </w:rPr>
        <w:t> », ses sous-entendus de « film d’exploitation » et un distributeur indifférent</w:t>
      </w:r>
      <w:r w:rsidR="008915E7">
        <w:rPr>
          <w:rStyle w:val="FootnoteReference"/>
          <w:lang w:val="fr-CH"/>
        </w:rPr>
        <w:footnoteReference w:id="13"/>
      </w:r>
      <w:r w:rsidR="00293BA0">
        <w:rPr>
          <w:lang w:val="fr-CH"/>
        </w:rPr>
        <w:t>.</w:t>
      </w:r>
      <w:r w:rsidR="00902AA9">
        <w:rPr>
          <w:lang w:val="fr-CH"/>
        </w:rPr>
        <w:t xml:space="preserve"> En effet, au regard des critiques publiées, il </w:t>
      </w:r>
      <w:r w:rsidR="00B65CFE">
        <w:rPr>
          <w:lang w:val="fr-CH"/>
        </w:rPr>
        <w:t>s’avère</w:t>
      </w:r>
      <w:r w:rsidR="00902AA9">
        <w:rPr>
          <w:lang w:val="fr-CH"/>
        </w:rPr>
        <w:t xml:space="preserve"> que le film sorti en salles le 5 février 1956</w:t>
      </w:r>
      <w:r w:rsidR="00902AA9">
        <w:rPr>
          <w:rStyle w:val="FootnoteReference"/>
          <w:lang w:val="fr-CH"/>
        </w:rPr>
        <w:footnoteReference w:id="14"/>
      </w:r>
      <w:r w:rsidR="00601392">
        <w:rPr>
          <w:lang w:val="fr-CH"/>
        </w:rPr>
        <w:t xml:space="preserve"> </w:t>
      </w:r>
      <w:r w:rsidR="00B65CFE">
        <w:rPr>
          <w:lang w:val="fr-CH"/>
        </w:rPr>
        <w:t>ait</w:t>
      </w:r>
      <w:r w:rsidR="00601392">
        <w:rPr>
          <w:lang w:val="fr-CH"/>
        </w:rPr>
        <w:t xml:space="preserve"> été projeté durant la deuxième moitié du mois de décembre 1955</w:t>
      </w:r>
      <w:r w:rsidR="00601392">
        <w:rPr>
          <w:rStyle w:val="FootnoteReference"/>
          <w:lang w:val="fr-CH"/>
        </w:rPr>
        <w:footnoteReference w:id="15"/>
      </w:r>
      <w:r w:rsidR="00F963E4">
        <w:rPr>
          <w:lang w:val="fr-CH"/>
        </w:rPr>
        <w:t xml:space="preserve">, une période de vacances peu propice à </w:t>
      </w:r>
      <w:r w:rsidR="00F963E4">
        <w:rPr>
          <w:lang w:val="fr-CH"/>
        </w:rPr>
        <w:lastRenderedPageBreak/>
        <w:t>ce genre d’</w:t>
      </w:r>
      <w:r w:rsidR="00B90B58">
        <w:rPr>
          <w:lang w:val="fr-CH"/>
        </w:rPr>
        <w:t>évènements</w:t>
      </w:r>
      <w:r w:rsidR="00F963E4">
        <w:rPr>
          <w:lang w:val="fr-CH"/>
        </w:rPr>
        <w:t>.</w:t>
      </w:r>
      <w:r w:rsidR="001D3B62">
        <w:rPr>
          <w:lang w:val="fr-CH"/>
        </w:rPr>
        <w:t xml:space="preserve"> La douzaine de critiques publiées au moment de la sortie du film sont malgré tout positives : </w:t>
      </w:r>
      <w:r w:rsidR="009E498B" w:rsidRPr="00C060D1">
        <w:rPr>
          <w:i/>
          <w:lang w:val="en-US"/>
        </w:rPr>
        <w:t>Sight and Sound</w:t>
      </w:r>
      <w:r w:rsidR="009E498B">
        <w:rPr>
          <w:lang w:val="fr-CH"/>
        </w:rPr>
        <w:t xml:space="preserve"> parle d’une « </w:t>
      </w:r>
      <w:r w:rsidR="001B2667" w:rsidRPr="00C060D1">
        <w:rPr>
          <w:lang w:val="en-US"/>
        </w:rPr>
        <w:t>excellent</w:t>
      </w:r>
      <w:r w:rsidR="00E4428C" w:rsidRPr="00C060D1">
        <w:rPr>
          <w:lang w:val="en-US"/>
        </w:rPr>
        <w:t xml:space="preserve"> </w:t>
      </w:r>
      <w:r w:rsidR="009E498B" w:rsidRPr="00C060D1">
        <w:rPr>
          <w:lang w:val="en-US"/>
        </w:rPr>
        <w:t>atmosphere </w:t>
      </w:r>
      <w:r w:rsidR="009E498B">
        <w:rPr>
          <w:lang w:val="fr-CH"/>
        </w:rPr>
        <w:t>»</w:t>
      </w:r>
      <w:r w:rsidR="009E498B">
        <w:rPr>
          <w:rStyle w:val="FootnoteReference"/>
          <w:lang w:val="fr-CH"/>
        </w:rPr>
        <w:footnoteReference w:id="16"/>
      </w:r>
      <w:r w:rsidR="00E4428C">
        <w:rPr>
          <w:lang w:val="fr-CH"/>
        </w:rPr>
        <w:t xml:space="preserve">, </w:t>
      </w:r>
      <w:r w:rsidR="00E4428C">
        <w:rPr>
          <w:i/>
          <w:lang w:val="fr-CH"/>
        </w:rPr>
        <w:t>The Hollywood Reporter</w:t>
      </w:r>
      <w:r w:rsidR="00E4428C">
        <w:rPr>
          <w:lang w:val="fr-CH"/>
        </w:rPr>
        <w:t xml:space="preserve"> souligne « </w:t>
      </w:r>
      <w:r w:rsidR="001B2667" w:rsidRPr="00C060D1">
        <w:rPr>
          <w:lang w:val="en-US"/>
        </w:rPr>
        <w:t>the solid emotion and suspense</w:t>
      </w:r>
      <w:r w:rsidR="001B2667">
        <w:rPr>
          <w:lang w:val="fr-CH"/>
        </w:rPr>
        <w:t xml:space="preserve"> </w:t>
      </w:r>
      <w:r w:rsidR="00E4428C">
        <w:rPr>
          <w:lang w:val="fr-CH"/>
        </w:rPr>
        <w:t>» apportés par la réalisation de Don Siegel</w:t>
      </w:r>
      <w:r w:rsidR="00E4428C">
        <w:rPr>
          <w:rStyle w:val="FootnoteReference"/>
          <w:lang w:val="fr-CH"/>
        </w:rPr>
        <w:footnoteReference w:id="17"/>
      </w:r>
      <w:r w:rsidR="001B2667">
        <w:rPr>
          <w:lang w:val="fr-CH"/>
        </w:rPr>
        <w:t xml:space="preserve">, </w:t>
      </w:r>
      <w:r w:rsidR="001B2667" w:rsidRPr="00C060D1">
        <w:rPr>
          <w:i/>
          <w:lang w:val="en-US"/>
        </w:rPr>
        <w:t>The Daily Film Reviewer</w:t>
      </w:r>
      <w:r w:rsidR="001B2667">
        <w:rPr>
          <w:lang w:val="fr-CH"/>
        </w:rPr>
        <w:t xml:space="preserve"> qualifie le film de «</w:t>
      </w:r>
      <w:r w:rsidR="001B2667" w:rsidRPr="00C060D1">
        <w:rPr>
          <w:lang w:val="en-US"/>
        </w:rPr>
        <w:t> </w:t>
      </w:r>
      <w:r w:rsidR="00C060D1" w:rsidRPr="00C060D1">
        <w:rPr>
          <w:lang w:val="en-US"/>
        </w:rPr>
        <w:t>brilliant</w:t>
      </w:r>
      <w:r w:rsidR="001B2667" w:rsidRPr="00C060D1">
        <w:rPr>
          <w:lang w:val="en-US"/>
        </w:rPr>
        <w:t xml:space="preserve"> and unusual science shocker </w:t>
      </w:r>
      <w:r w:rsidR="001B2667">
        <w:rPr>
          <w:lang w:val="fr-CH"/>
        </w:rPr>
        <w:t>»</w:t>
      </w:r>
      <w:r w:rsidR="001B2667">
        <w:rPr>
          <w:rStyle w:val="FootnoteReference"/>
          <w:lang w:val="fr-CH"/>
        </w:rPr>
        <w:footnoteReference w:id="18"/>
      </w:r>
      <w:r w:rsidR="001B2667">
        <w:rPr>
          <w:lang w:val="fr-CH"/>
        </w:rPr>
        <w:t>.</w:t>
      </w:r>
      <w:r w:rsidR="00C54399">
        <w:rPr>
          <w:lang w:val="fr-CH"/>
        </w:rPr>
        <w:t xml:space="preserve"> Un certain nombre de critiques dressent un parallèle entre le film et « </w:t>
      </w:r>
      <w:r w:rsidR="00C54399" w:rsidRPr="00C060D1">
        <w:rPr>
          <w:i/>
          <w:lang w:val="en-US"/>
        </w:rPr>
        <w:t>The Thing</w:t>
      </w:r>
      <w:r w:rsidR="00810BFA">
        <w:rPr>
          <w:rStyle w:val="FootnoteReference"/>
          <w:i/>
          <w:lang w:val="fr-CH"/>
        </w:rPr>
        <w:footnoteReference w:id="19"/>
      </w:r>
      <w:r w:rsidR="00C54399">
        <w:rPr>
          <w:i/>
          <w:lang w:val="fr-CH"/>
        </w:rPr>
        <w:t> »</w:t>
      </w:r>
      <w:r w:rsidR="00C54399">
        <w:rPr>
          <w:rStyle w:val="FootnoteReference"/>
          <w:i/>
          <w:lang w:val="fr-CH"/>
        </w:rPr>
        <w:footnoteReference w:id="20"/>
      </w:r>
      <w:r w:rsidR="00300B5B">
        <w:rPr>
          <w:lang w:val="fr-CH"/>
        </w:rPr>
        <w:t xml:space="preserve"> comme tentative d’imiter son succès ; bien que le résumé du film dans critique de Sarah Hamilton laisse imaginer que cette dernière n’a en réalité pas vu le film</w:t>
      </w:r>
      <w:r w:rsidR="00300B5B">
        <w:rPr>
          <w:rStyle w:val="FootnoteReference"/>
          <w:lang w:val="fr-CH"/>
        </w:rPr>
        <w:footnoteReference w:id="21"/>
      </w:r>
      <w:r w:rsidR="00D41B23">
        <w:rPr>
          <w:lang w:val="fr-CH"/>
        </w:rPr>
        <w:t xml:space="preserve"> et s’est laissée influencer par l’un</w:t>
      </w:r>
      <w:r w:rsidR="00B92C52">
        <w:rPr>
          <w:lang w:val="fr-CH"/>
        </w:rPr>
        <w:t>e</w:t>
      </w:r>
      <w:r w:rsidR="00D41B23">
        <w:rPr>
          <w:lang w:val="fr-CH"/>
        </w:rPr>
        <w:t xml:space="preserve"> des nombreuses affiches dont le slogan est </w:t>
      </w:r>
      <w:r w:rsidR="00283CF4">
        <w:rPr>
          <w:lang w:val="fr-CH"/>
        </w:rPr>
        <w:t>opportunément</w:t>
      </w:r>
      <w:r w:rsidR="00D41B23">
        <w:rPr>
          <w:lang w:val="fr-CH"/>
        </w:rPr>
        <w:t xml:space="preserve"> « </w:t>
      </w:r>
      <w:r w:rsidR="00283CF4" w:rsidRPr="00C060D1">
        <w:rPr>
          <w:lang w:val="en-US"/>
        </w:rPr>
        <w:t>The Things that came from another world ! </w:t>
      </w:r>
      <w:r w:rsidR="00283CF4">
        <w:rPr>
          <w:lang w:val="fr-CH"/>
        </w:rPr>
        <w:t>»</w:t>
      </w:r>
      <w:r w:rsidR="00283CF4">
        <w:rPr>
          <w:rStyle w:val="FootnoteReference"/>
          <w:lang w:val="fr-CH"/>
        </w:rPr>
        <w:footnoteReference w:id="22"/>
      </w:r>
      <w:r w:rsidR="00F3274A">
        <w:rPr>
          <w:lang w:val="fr-CH"/>
        </w:rPr>
        <w:t xml:space="preserve">. </w:t>
      </w:r>
      <w:r w:rsidR="00AB3AD4">
        <w:rPr>
          <w:lang w:val="fr-CH"/>
        </w:rPr>
        <w:t>Ce que toutes les critiques américaines et britanniques de l’</w:t>
      </w:r>
      <w:r w:rsidR="00E41347">
        <w:rPr>
          <w:lang w:val="fr-CH"/>
        </w:rPr>
        <w:t>époques manquent de mentionner est le sous-texte politique du film, chose qui n’échappe pas à la critique française lors de la sortie du film en France onze années plus tard, en 1967</w:t>
      </w:r>
      <w:r w:rsidR="00DD3C95">
        <w:rPr>
          <w:rStyle w:val="FootnoteReference"/>
          <w:lang w:val="fr-CH"/>
        </w:rPr>
        <w:footnoteReference w:id="23"/>
      </w:r>
      <w:r w:rsidR="00E41347">
        <w:rPr>
          <w:lang w:val="fr-CH"/>
        </w:rPr>
        <w:t>.</w:t>
      </w:r>
      <w:r w:rsidR="0083111B">
        <w:rPr>
          <w:lang w:val="fr-CH"/>
        </w:rPr>
        <w:t xml:space="preserve">  Cette décennie écoulée permet en revanche aux critiques de qualifier le film de « premier film fantastique adulte »</w:t>
      </w:r>
      <w:r w:rsidR="0083111B">
        <w:rPr>
          <w:rStyle w:val="FootnoteReference"/>
          <w:lang w:val="fr-CH"/>
        </w:rPr>
        <w:footnoteReference w:id="24"/>
      </w:r>
      <w:r w:rsidR="008A7494">
        <w:rPr>
          <w:lang w:val="fr-CH"/>
        </w:rPr>
        <w:t xml:space="preserve">, </w:t>
      </w:r>
      <w:r w:rsidR="000552FA">
        <w:rPr>
          <w:lang w:val="fr-CH"/>
        </w:rPr>
        <w:t>d</w:t>
      </w:r>
      <w:proofErr w:type="gramStart"/>
      <w:r w:rsidR="000552FA">
        <w:rPr>
          <w:lang w:val="fr-CH"/>
        </w:rPr>
        <w:t>’«</w:t>
      </w:r>
      <w:proofErr w:type="gramEnd"/>
      <w:r w:rsidR="008A7494">
        <w:rPr>
          <w:lang w:val="fr-CH"/>
        </w:rPr>
        <w:t> œuvre maitresse »</w:t>
      </w:r>
      <w:r w:rsidR="008A7494">
        <w:rPr>
          <w:rStyle w:val="FootnoteReference"/>
          <w:lang w:val="fr-CH"/>
        </w:rPr>
        <w:footnoteReference w:id="25"/>
      </w:r>
      <w:r w:rsidR="00C43266">
        <w:rPr>
          <w:lang w:val="fr-CH"/>
        </w:rPr>
        <w:t xml:space="preserve"> ou</w:t>
      </w:r>
      <w:r w:rsidR="00DD6C92">
        <w:rPr>
          <w:lang w:val="fr-CH"/>
        </w:rPr>
        <w:t xml:space="preserve"> de l’un des « meilleurs ouvrages de science-fiction qu’ait produit Hollywood »</w:t>
      </w:r>
      <w:r w:rsidR="00DD6C92">
        <w:rPr>
          <w:rStyle w:val="FootnoteReference"/>
          <w:lang w:val="fr-CH"/>
        </w:rPr>
        <w:footnoteReference w:id="26"/>
      </w:r>
      <w:r w:rsidR="00DE3C2D">
        <w:rPr>
          <w:lang w:val="fr-CH"/>
        </w:rPr>
        <w:t> ; un processus qui va continuer lors des rediffusions ou réédition subséquentes du film en 1986 (« Le film de Siegel fait figure de chef d’œuvre »</w:t>
      </w:r>
      <w:r w:rsidR="00DE3C2D">
        <w:rPr>
          <w:rStyle w:val="FootnoteReference"/>
          <w:lang w:val="fr-CH"/>
        </w:rPr>
        <w:footnoteReference w:id="27"/>
      </w:r>
      <w:r w:rsidR="00DE3C2D">
        <w:rPr>
          <w:lang w:val="fr-CH"/>
        </w:rPr>
        <w:t>) ou 2015 (« un des grands titres de l’histoire du cinéma américain tout court »</w:t>
      </w:r>
      <w:r w:rsidR="005418E9">
        <w:rPr>
          <w:rStyle w:val="FootnoteReference"/>
          <w:lang w:val="fr-CH"/>
        </w:rPr>
        <w:footnoteReference w:id="28"/>
      </w:r>
      <w:r w:rsidR="00DE3C2D">
        <w:rPr>
          <w:lang w:val="fr-CH"/>
        </w:rPr>
        <w:t>)</w:t>
      </w:r>
      <w:r w:rsidR="00F77154">
        <w:rPr>
          <w:lang w:val="fr-CH"/>
        </w:rPr>
        <w:t>.</w:t>
      </w:r>
    </w:p>
    <w:p w14:paraId="5D30F518" w14:textId="77777777" w:rsidR="00BF02C1" w:rsidRDefault="00E4313C"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w:t>
      </w:r>
      <w:r w:rsidR="003F4757">
        <w:t xml:space="preserve">p Kaufman : aussi bien la réception critique américaine que française </w:t>
      </w:r>
      <w:r w:rsidR="00BF02C1">
        <w:t>relèvent le fait que le film n’est pas à la hauteur de son original de 1956. David Bartholomew problématise la question en incipit de sa critique en affirmant que les</w:t>
      </w:r>
    </w:p>
    <w:p w14:paraId="075D72C6" w14:textId="5E54D6C1" w:rsidR="00E4313C" w:rsidRDefault="00BF02C1" w:rsidP="00BF02C1">
      <w:pPr>
        <w:ind w:left="720"/>
        <w:jc w:val="both"/>
        <w:rPr>
          <w:lang w:val="en-US"/>
        </w:rPr>
      </w:pPr>
      <w:r w:rsidRPr="00300FAE">
        <w:rPr>
          <w:lang w:val="en-US"/>
        </w:rPr>
        <w:t>«</w:t>
      </w:r>
      <w:r w:rsidR="00300FAE" w:rsidRPr="00300FAE">
        <w:rPr>
          <w:lang w:val="en-US"/>
        </w:rPr>
        <w:t xml:space="preserve"> </w:t>
      </w:r>
      <w:r w:rsidRPr="00300FAE">
        <w:rPr>
          <w:lang w:val="en-US"/>
        </w:rPr>
        <w:t xml:space="preserve">Remakes, for the most part, are a pain in the ass. At the bottom of every decision to produce (or </w:t>
      </w:r>
      <w:r w:rsidR="00645A27" w:rsidRPr="00300FAE">
        <w:rPr>
          <w:lang w:val="en-US"/>
        </w:rPr>
        <w:t>reproduce</w:t>
      </w:r>
      <w:r w:rsidRPr="00300FAE">
        <w:rPr>
          <w:lang w:val="en-US"/>
        </w:rPr>
        <w:t xml:space="preserve">) them lies money. Hollywood simply can’t allow success, a job well-done, to rest unmolested. As </w:t>
      </w:r>
      <w:proofErr w:type="gramStart"/>
      <w:r w:rsidRPr="00300FAE">
        <w:rPr>
          <w:lang w:val="en-US"/>
        </w:rPr>
        <w:t>art</w:t>
      </w:r>
      <w:proofErr w:type="gramEnd"/>
      <w:r w:rsidRPr="00300FAE">
        <w:rPr>
          <w:lang w:val="en-US"/>
        </w:rPr>
        <w:t xml:space="preserve"> they are negligible </w:t>
      </w:r>
      <w:r w:rsidR="00300FAE" w:rsidRPr="00300FAE">
        <w:rPr>
          <w:lang w:val="en-US"/>
        </w:rPr>
        <w:t>because, as retreads, their conceptions and themes are not original.</w:t>
      </w:r>
      <w:r w:rsidRPr="00300FAE">
        <w:rPr>
          <w:lang w:val="en-US"/>
        </w:rPr>
        <w:t xml:space="preserve"> Critics tend to regard them with a </w:t>
      </w:r>
      <w:r w:rsidR="00645A27" w:rsidRPr="00300FAE">
        <w:rPr>
          <w:lang w:val="en-US"/>
        </w:rPr>
        <w:t>curious</w:t>
      </w:r>
      <w:r w:rsidRPr="00300FAE">
        <w:rPr>
          <w:lang w:val="en-US"/>
        </w:rPr>
        <w:t xml:space="preserve"> </w:t>
      </w:r>
      <w:proofErr w:type="gramStart"/>
      <w:r w:rsidRPr="00300FAE">
        <w:rPr>
          <w:lang w:val="en-US"/>
        </w:rPr>
        <w:t>consistency :</w:t>
      </w:r>
      <w:proofErr w:type="gramEnd"/>
      <w:r w:rsidRPr="00300FAE">
        <w:rPr>
          <w:lang w:val="en-US"/>
        </w:rPr>
        <w:t xml:space="preserve"> those who disliked the original seem </w:t>
      </w:r>
      <w:r w:rsidR="00300FAE" w:rsidRPr="00300FAE">
        <w:rPr>
          <w:lang w:val="en-US"/>
        </w:rPr>
        <w:t xml:space="preserve">predisposed to like the new version ; those who loved the original seem inclined to deplore the remake –particularly when, as in the case of </w:t>
      </w:r>
      <w:r w:rsidR="00300FAE" w:rsidRPr="00300FAE">
        <w:rPr>
          <w:i/>
          <w:lang w:val="en-US"/>
        </w:rPr>
        <w:t>Invasion of the Body Snatchers</w:t>
      </w:r>
      <w:r w:rsidR="00300FAE" w:rsidRPr="00300FAE">
        <w:rPr>
          <w:lang w:val="en-US"/>
        </w:rPr>
        <w:t xml:space="preserve">, the original is thoroughly well-known (as was not the case with the recent </w:t>
      </w:r>
      <w:r w:rsidR="00300FAE" w:rsidRPr="00300FAE">
        <w:rPr>
          <w:i/>
          <w:lang w:val="en-US"/>
        </w:rPr>
        <w:t>Heaven Can Wait</w:t>
      </w:r>
      <w:r w:rsidR="00300FAE" w:rsidRPr="00300FAE">
        <w:rPr>
          <w:lang w:val="en-US"/>
        </w:rPr>
        <w:t xml:space="preserve">), fully out in the mainstream of movie culture, and also when the original was not only popular, but a very </w:t>
      </w:r>
      <w:r w:rsidR="00300FAE" w:rsidRPr="00300FAE">
        <w:rPr>
          <w:i/>
          <w:lang w:val="en-US"/>
        </w:rPr>
        <w:t>good</w:t>
      </w:r>
      <w:r w:rsidR="00300FAE" w:rsidRPr="00300FAE">
        <w:rPr>
          <w:lang w:val="en-US"/>
        </w:rPr>
        <w:t xml:space="preserve"> film indeed »</w:t>
      </w:r>
      <w:r w:rsidR="00645A27">
        <w:rPr>
          <w:rStyle w:val="FootnoteReference"/>
          <w:lang w:val="en-US"/>
        </w:rPr>
        <w:footnoteReference w:id="29"/>
      </w:r>
      <w:r w:rsidR="008865F3">
        <w:rPr>
          <w:lang w:val="en-US"/>
        </w:rPr>
        <w:t>.</w:t>
      </w:r>
      <w:r w:rsidR="00300FAE" w:rsidRPr="00300FAE">
        <w:rPr>
          <w:lang w:val="en-US"/>
        </w:rPr>
        <w:t xml:space="preserve"> </w:t>
      </w:r>
    </w:p>
    <w:p w14:paraId="70785CE7" w14:textId="77777777" w:rsidR="00656792" w:rsidRDefault="00656792" w:rsidP="00BF02C1">
      <w:pPr>
        <w:ind w:left="720"/>
        <w:jc w:val="both"/>
        <w:rPr>
          <w:lang w:val="en-US"/>
        </w:rPr>
      </w:pPr>
    </w:p>
    <w:p w14:paraId="5490FC1C" w14:textId="5EB211D1" w:rsidR="00656792" w:rsidRDefault="0082622B"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w:t>
      </w:r>
      <w:proofErr w:type="spellStart"/>
      <w:r>
        <w:rPr>
          <w:lang w:val="fr-CH"/>
        </w:rPr>
        <w:t>Kehr</w:t>
      </w:r>
      <w:proofErr w:type="spellEnd"/>
      <w:r>
        <w:rPr>
          <w:rStyle w:val="FootnoteReference"/>
          <w:lang w:val="fr-CH"/>
        </w:rPr>
        <w:footnoteReference w:id="30"/>
      </w:r>
      <w:r>
        <w:rPr>
          <w:lang w:val="fr-CH"/>
        </w:rPr>
        <w:t>)</w:t>
      </w:r>
      <w:r w:rsidR="00732B2C">
        <w:rPr>
          <w:lang w:val="fr-CH"/>
        </w:rPr>
        <w:t xml:space="preserve">, et est effectivement pris comme étalon dans l’évaluation. </w:t>
      </w:r>
      <w:proofErr w:type="spellStart"/>
      <w:r w:rsidR="00732B2C" w:rsidRPr="00781EA5">
        <w:rPr>
          <w:lang w:val="en-GB"/>
        </w:rPr>
        <w:t>Toutefois</w:t>
      </w:r>
      <w:proofErr w:type="spellEnd"/>
      <w:r w:rsidR="00732B2C" w:rsidRPr="00781EA5">
        <w:rPr>
          <w:lang w:val="en-GB"/>
        </w:rPr>
        <w:t xml:space="preserve">, </w:t>
      </w:r>
      <w:proofErr w:type="spellStart"/>
      <w:r w:rsidR="00732B2C" w:rsidRPr="00781EA5">
        <w:rPr>
          <w:lang w:val="en-GB"/>
        </w:rPr>
        <w:t>Kehr</w:t>
      </w:r>
      <w:proofErr w:type="spellEnd"/>
      <w:r w:rsidR="00732B2C" w:rsidRPr="00781EA5">
        <w:rPr>
          <w:lang w:val="en-GB"/>
        </w:rPr>
        <w:t xml:space="preserve"> </w:t>
      </w:r>
      <w:proofErr w:type="spellStart"/>
      <w:r w:rsidR="00732B2C" w:rsidRPr="00781EA5">
        <w:rPr>
          <w:lang w:val="en-GB"/>
        </w:rPr>
        <w:t>lui-même</w:t>
      </w:r>
      <w:proofErr w:type="spellEnd"/>
      <w:r w:rsidR="00732B2C" w:rsidRPr="00781EA5">
        <w:rPr>
          <w:lang w:val="en-GB"/>
        </w:rPr>
        <w:t xml:space="preserve"> </w:t>
      </w:r>
      <w:proofErr w:type="spellStart"/>
      <w:r w:rsidR="00732B2C" w:rsidRPr="00781EA5">
        <w:rPr>
          <w:lang w:val="en-GB"/>
        </w:rPr>
        <w:t>s’accorde</w:t>
      </w:r>
      <w:proofErr w:type="spellEnd"/>
      <w:r w:rsidR="00732B2C" w:rsidRPr="00781EA5">
        <w:rPr>
          <w:lang w:val="en-GB"/>
        </w:rPr>
        <w:t xml:space="preserve"> à dire que </w:t>
      </w:r>
      <w:r w:rsidR="00543A54" w:rsidRPr="00781EA5">
        <w:rPr>
          <w:lang w:val="en-GB"/>
        </w:rPr>
        <w:t>« </w:t>
      </w:r>
      <w:r w:rsidR="00543A54" w:rsidRPr="00FA4053">
        <w:rPr>
          <w:lang w:val="en-US"/>
        </w:rPr>
        <w:t>Phil Kaufman’s version […] is as good as remakes go, but not as good as the original</w:t>
      </w:r>
      <w:r w:rsidR="00543A54" w:rsidRPr="00781EA5">
        <w:rPr>
          <w:lang w:val="en-GB"/>
        </w:rPr>
        <w:t> »</w:t>
      </w:r>
      <w:r w:rsidR="00543A54">
        <w:rPr>
          <w:rStyle w:val="FootnoteReference"/>
          <w:lang w:val="fr-CH"/>
        </w:rPr>
        <w:footnoteReference w:id="31"/>
      </w:r>
      <w:r w:rsidR="00F54F1D" w:rsidRPr="00781EA5">
        <w:rPr>
          <w:lang w:val="en-GB"/>
        </w:rPr>
        <w:t xml:space="preserve">, </w:t>
      </w:r>
      <w:r w:rsidR="00A00FD7" w:rsidRPr="00781EA5">
        <w:rPr>
          <w:lang w:val="en-GB"/>
        </w:rPr>
        <w:t xml:space="preserve">Richard Combs </w:t>
      </w:r>
      <w:proofErr w:type="spellStart"/>
      <w:r w:rsidR="00A00FD7" w:rsidRPr="00781EA5">
        <w:rPr>
          <w:lang w:val="en-GB"/>
        </w:rPr>
        <w:t>parle</w:t>
      </w:r>
      <w:proofErr w:type="spellEnd"/>
      <w:r w:rsidR="00A00FD7" w:rsidRPr="00781EA5">
        <w:rPr>
          <w:lang w:val="en-GB"/>
        </w:rPr>
        <w:t xml:space="preserve"> de « </w:t>
      </w:r>
      <w:r w:rsidR="00A00FD7" w:rsidRPr="00A00FD7">
        <w:rPr>
          <w:lang w:val="en-US"/>
        </w:rPr>
        <w:t>one of the most intriguing adaptations for some time </w:t>
      </w:r>
      <w:r w:rsidR="00A00FD7" w:rsidRPr="00781EA5">
        <w:rPr>
          <w:lang w:val="en-GB"/>
        </w:rPr>
        <w:t>»</w:t>
      </w:r>
      <w:r w:rsidR="00A00FD7">
        <w:rPr>
          <w:rStyle w:val="FootnoteReference"/>
          <w:lang w:val="fr-CH"/>
        </w:rPr>
        <w:footnoteReference w:id="32"/>
      </w:r>
      <w:r w:rsidR="00A00FD7" w:rsidRPr="00781EA5">
        <w:rPr>
          <w:lang w:val="en-GB"/>
        </w:rPr>
        <w:t xml:space="preserve"> </w:t>
      </w:r>
      <w:r w:rsidR="00F910DC" w:rsidRPr="00781EA5">
        <w:rPr>
          <w:lang w:val="en-GB"/>
        </w:rPr>
        <w:t xml:space="preserve">et </w:t>
      </w:r>
      <w:r w:rsidR="00F54F1D" w:rsidRPr="00781EA5">
        <w:rPr>
          <w:i/>
          <w:lang w:val="en-GB"/>
        </w:rPr>
        <w:t xml:space="preserve">Variety </w:t>
      </w:r>
      <w:proofErr w:type="spellStart"/>
      <w:r w:rsidR="00F910DC" w:rsidRPr="00781EA5">
        <w:rPr>
          <w:lang w:val="en-GB"/>
        </w:rPr>
        <w:t>va</w:t>
      </w:r>
      <w:proofErr w:type="spellEnd"/>
      <w:r w:rsidR="00F910DC" w:rsidRPr="00781EA5">
        <w:rPr>
          <w:lang w:val="en-GB"/>
        </w:rPr>
        <w:t xml:space="preserve"> </w:t>
      </w:r>
      <w:proofErr w:type="spellStart"/>
      <w:r w:rsidR="00F910DC" w:rsidRPr="00781EA5">
        <w:rPr>
          <w:lang w:val="en-GB"/>
        </w:rPr>
        <w:t>jusqu’à</w:t>
      </w:r>
      <w:proofErr w:type="spellEnd"/>
      <w:r w:rsidR="00F910DC" w:rsidRPr="00781EA5">
        <w:rPr>
          <w:lang w:val="en-GB"/>
        </w:rPr>
        <w:t xml:space="preserve"> affirmer</w:t>
      </w:r>
      <w:r w:rsidR="00963ECD" w:rsidRPr="00781EA5">
        <w:rPr>
          <w:lang w:val="en-GB"/>
        </w:rPr>
        <w:t xml:space="preserve"> que « </w:t>
      </w:r>
      <w:r w:rsidR="00963ECD" w:rsidRPr="00C17BE9">
        <w:rPr>
          <w:lang w:val="en-US"/>
        </w:rPr>
        <w:t>The new version not only matches the original in horrific tone and effect, but exceeds it in both conception and execution. </w:t>
      </w:r>
      <w:r w:rsidR="00963ECD" w:rsidRPr="00781EA5">
        <w:rPr>
          <w:lang w:val="en-GB"/>
        </w:rPr>
        <w:t>»</w:t>
      </w:r>
      <w:r w:rsidR="00963ECD">
        <w:rPr>
          <w:rStyle w:val="FootnoteReference"/>
          <w:lang w:val="fr-CH"/>
        </w:rPr>
        <w:footnoteReference w:id="33"/>
      </w:r>
      <w:r w:rsidR="00C3166F">
        <w:rPr>
          <w:lang w:val="fr-CH"/>
        </w:rPr>
        <w:t xml:space="preserve">. </w:t>
      </w:r>
      <w:r w:rsidR="00506F6E">
        <w:rPr>
          <w:lang w:val="fr-CH"/>
        </w:rPr>
        <w:t>Beaucoup de critiques relèvent la « mise en scène luxueuse »</w:t>
      </w:r>
      <w:r w:rsidR="00506F6E">
        <w:rPr>
          <w:rStyle w:val="FootnoteReference"/>
          <w:lang w:val="fr-CH"/>
        </w:rPr>
        <w:footnoteReference w:id="34"/>
      </w:r>
      <w:r w:rsidR="00506F6E">
        <w:rPr>
          <w:lang w:val="fr-CH"/>
        </w:rPr>
        <w:t xml:space="preserve"> et parfois « </w:t>
      </w:r>
      <w:r w:rsidR="00C251F9">
        <w:rPr>
          <w:lang w:val="en-US"/>
        </w:rPr>
        <w:t>showy</w:t>
      </w:r>
      <w:r w:rsidR="000552FA">
        <w:rPr>
          <w:lang w:val="en-US"/>
        </w:rPr>
        <w:t xml:space="preserve"> </w:t>
      </w:r>
      <w:r w:rsidR="00506F6E">
        <w:rPr>
          <w:lang w:val="fr-CH"/>
        </w:rPr>
        <w:t>»</w:t>
      </w:r>
      <w:r w:rsidR="00506F6E">
        <w:rPr>
          <w:rStyle w:val="FootnoteReference"/>
          <w:lang w:val="fr-CH"/>
        </w:rPr>
        <w:footnoteReference w:id="35"/>
      </w:r>
      <w:r w:rsidR="00506F6E">
        <w:rPr>
          <w:lang w:val="fr-CH"/>
        </w:rPr>
        <w:t xml:space="preserve"> </w:t>
      </w:r>
      <w:r w:rsidR="00BA47A3">
        <w:rPr>
          <w:lang w:val="fr-CH"/>
        </w:rPr>
        <w:t xml:space="preserve">qui entre en </w:t>
      </w:r>
      <w:r w:rsidR="00771C29">
        <w:rPr>
          <w:lang w:val="fr-CH"/>
        </w:rPr>
        <w:t>conflit</w:t>
      </w:r>
      <w:r w:rsidR="00BA47A3">
        <w:rPr>
          <w:lang w:val="fr-CH"/>
        </w:rPr>
        <w:t xml:space="preserve"> direct avec la mise-en-scène « </w:t>
      </w:r>
      <w:r w:rsidR="00BA47A3" w:rsidRPr="00771C29">
        <w:rPr>
          <w:lang w:val="en-US"/>
        </w:rPr>
        <w:t>swift, compact and efficient</w:t>
      </w:r>
      <w:r w:rsidR="00BA47A3">
        <w:rPr>
          <w:lang w:val="fr-CH"/>
        </w:rPr>
        <w:t> »</w:t>
      </w:r>
      <w:r w:rsidR="00771C29">
        <w:rPr>
          <w:rStyle w:val="FootnoteReference"/>
          <w:lang w:val="fr-CH"/>
        </w:rPr>
        <w:footnoteReference w:id="36"/>
      </w:r>
      <w:r w:rsidR="00BA47A3">
        <w:rPr>
          <w:lang w:val="fr-CH"/>
        </w:rPr>
        <w:t xml:space="preserve"> du film de Siegel.</w:t>
      </w:r>
    </w:p>
    <w:p w14:paraId="463398EA" w14:textId="007A9EDA" w:rsidR="005E19B7" w:rsidRDefault="005E19B7" w:rsidP="00FE1599">
      <w:pPr>
        <w:pStyle w:val="Mmoire"/>
        <w:rPr>
          <w:lang w:val="fr-CH"/>
        </w:rPr>
      </w:pPr>
      <w:r>
        <w:rPr>
          <w:lang w:val="fr-CH"/>
        </w:rPr>
        <w:tab/>
        <w:t xml:space="preserve">Le bilan critique est encore plus </w:t>
      </w:r>
      <w:r w:rsidR="00A9420C">
        <w:rPr>
          <w:lang w:val="fr-CH"/>
        </w:rPr>
        <w:t>gris</w:t>
      </w:r>
      <w:r>
        <w:rPr>
          <w:lang w:val="fr-CH"/>
        </w:rPr>
        <w:t xml:space="preserve"> pour la version réali</w:t>
      </w:r>
      <w:r w:rsidR="003704D3">
        <w:rPr>
          <w:lang w:val="fr-CH"/>
        </w:rPr>
        <w:t>sée par Abel Ferrara, puisque les</w:t>
      </w:r>
      <w:r>
        <w:rPr>
          <w:lang w:val="fr-CH"/>
        </w:rPr>
        <w:t xml:space="preserve"> seul</w:t>
      </w:r>
      <w:r w:rsidR="003704D3">
        <w:rPr>
          <w:lang w:val="fr-CH"/>
        </w:rPr>
        <w:t>s</w:t>
      </w:r>
      <w:r>
        <w:rPr>
          <w:lang w:val="fr-CH"/>
        </w:rPr>
        <w:t xml:space="preserve"> critique</w:t>
      </w:r>
      <w:r w:rsidR="003704D3">
        <w:rPr>
          <w:lang w:val="fr-CH"/>
        </w:rPr>
        <w:t>s</w:t>
      </w:r>
      <w:r>
        <w:rPr>
          <w:lang w:val="fr-CH"/>
        </w:rPr>
        <w:t xml:space="preserve"> encensant le film </w:t>
      </w:r>
      <w:r w:rsidR="003704D3">
        <w:rPr>
          <w:lang w:val="fr-CH"/>
        </w:rPr>
        <w:t>sont</w:t>
      </w:r>
      <w:r>
        <w:rPr>
          <w:lang w:val="fr-CH"/>
        </w:rPr>
        <w:t xml:space="preserve"> signée</w:t>
      </w:r>
      <w:r w:rsidR="003704D3">
        <w:rPr>
          <w:lang w:val="fr-CH"/>
        </w:rPr>
        <w:t>s A.F.</w:t>
      </w:r>
      <w:r w:rsidR="003704D3">
        <w:rPr>
          <w:rStyle w:val="FootnoteReference"/>
          <w:lang w:val="fr-CH"/>
        </w:rPr>
        <w:footnoteReference w:id="37"/>
      </w:r>
      <w:r w:rsidR="003704D3">
        <w:rPr>
          <w:lang w:val="fr-CH"/>
        </w:rPr>
        <w:t xml:space="preserve"> et</w:t>
      </w:r>
      <w:r>
        <w:rPr>
          <w:lang w:val="fr-CH"/>
        </w:rPr>
        <w:t xml:space="preserve">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sidR="00253E7E">
        <w:rPr>
          <w:lang w:val="fr-CH"/>
        </w:rPr>
        <w:t xml:space="preserve">. Dans sa critique de </w:t>
      </w:r>
      <w:r w:rsidR="00253E7E">
        <w:rPr>
          <w:i/>
          <w:lang w:val="fr-CH"/>
        </w:rPr>
        <w:t>The Invasion</w:t>
      </w:r>
      <w:r w:rsidR="00253E7E">
        <w:rPr>
          <w:lang w:val="fr-CH"/>
        </w:rPr>
        <w:t>, il va même jusqu’à affirmer que la version de Ferrara est « </w:t>
      </w:r>
      <w:r w:rsidR="00253E7E" w:rsidRPr="0074138E">
        <w:rPr>
          <w:lang w:val="en-US"/>
        </w:rPr>
        <w:t>by far the best [of the series]</w:t>
      </w:r>
      <w:r w:rsidR="00253E7E">
        <w:rPr>
          <w:lang w:val="fr-CH"/>
        </w:rPr>
        <w:t xml:space="preserve"> »</w:t>
      </w:r>
      <w:r w:rsidR="00253E7E">
        <w:rPr>
          <w:rStyle w:val="FootnoteReference"/>
          <w:lang w:val="fr-CH"/>
        </w:rPr>
        <w:footnoteReference w:id="39"/>
      </w:r>
      <w:r w:rsidR="00E33B0D">
        <w:rPr>
          <w:lang w:val="fr-CH"/>
        </w:rPr>
        <w:t xml:space="preserve">. </w:t>
      </w:r>
      <w:r w:rsidR="00D0645A">
        <w:rPr>
          <w:lang w:val="fr-CH"/>
        </w:rPr>
        <w:t>Malgré quelques exceptions, principalement francophones, qui décrivent un film « </w:t>
      </w:r>
      <w:r w:rsidR="00DC2443">
        <w:rPr>
          <w:lang w:val="fr-CH"/>
        </w:rPr>
        <w:t>riche d’effets visuels et sonores »</w:t>
      </w:r>
      <w:r w:rsidR="003704D3">
        <w:rPr>
          <w:rStyle w:val="FootnoteReference"/>
          <w:lang w:val="fr-CH"/>
        </w:rPr>
        <w:footnoteReference w:id="40"/>
      </w:r>
      <w:r w:rsidR="00DC2443">
        <w:rPr>
          <w:lang w:val="fr-CH"/>
        </w:rPr>
        <w:t xml:space="preserve"> ou « adroit »</w:t>
      </w:r>
      <w:r w:rsidR="003704D3">
        <w:rPr>
          <w:rStyle w:val="FootnoteReference"/>
          <w:lang w:val="fr-CH"/>
        </w:rPr>
        <w:footnoteReference w:id="41"/>
      </w:r>
      <w:r w:rsidR="00703DA6">
        <w:rPr>
          <w:lang w:val="fr-CH"/>
        </w:rPr>
        <w:t>, l</w:t>
      </w:r>
      <w:r w:rsidR="00623FA5">
        <w:rPr>
          <w:lang w:val="fr-CH"/>
        </w:rPr>
        <w:t xml:space="preserve">a grande majorité </w:t>
      </w:r>
      <w:r w:rsidR="00E33B0D">
        <w:rPr>
          <w:lang w:val="fr-CH"/>
        </w:rPr>
        <w:t>de la critique juge le film « décevant »</w:t>
      </w:r>
      <w:r w:rsidR="00E33B0D">
        <w:rPr>
          <w:rStyle w:val="FootnoteReference"/>
          <w:lang w:val="fr-CH"/>
        </w:rPr>
        <w:footnoteReference w:id="42"/>
      </w:r>
      <w:r w:rsidR="00663724">
        <w:rPr>
          <w:lang w:val="fr-CH"/>
        </w:rPr>
        <w:t>, « </w:t>
      </w:r>
      <w:r w:rsidR="00663724" w:rsidRPr="0047129C">
        <w:rPr>
          <w:lang w:val="en-US"/>
        </w:rPr>
        <w:t>hollow </w:t>
      </w:r>
      <w:r w:rsidR="00663724">
        <w:rPr>
          <w:lang w:val="fr-CH"/>
        </w:rPr>
        <w:t>»</w:t>
      </w:r>
      <w:r w:rsidR="00663724">
        <w:rPr>
          <w:rStyle w:val="FootnoteReference"/>
          <w:lang w:val="fr-CH"/>
        </w:rPr>
        <w:footnoteReference w:id="43"/>
      </w:r>
      <w:r w:rsidR="00717BE1">
        <w:rPr>
          <w:lang w:val="fr-CH"/>
        </w:rPr>
        <w:t xml:space="preserve"> voire « rageant, même fatiguant »</w:t>
      </w:r>
      <w:r w:rsidR="00717BE1">
        <w:rPr>
          <w:rStyle w:val="FootnoteReference"/>
          <w:lang w:val="fr-CH"/>
        </w:rPr>
        <w:footnoteReference w:id="44"/>
      </w:r>
      <w:r w:rsidR="00593B27">
        <w:rPr>
          <w:lang w:val="fr-CH"/>
        </w:rPr>
        <w:t>.</w:t>
      </w:r>
    </w:p>
    <w:p w14:paraId="0138842F" w14:textId="1C7EFBDA" w:rsidR="00E766BF" w:rsidRDefault="00E766BF" w:rsidP="001937F5">
      <w:pPr>
        <w:pStyle w:val="Mmoire"/>
      </w:pPr>
      <w:r>
        <w:tab/>
      </w:r>
      <w:r w:rsidR="000141B8">
        <w:t xml:space="preserve">Si les bilans critiques étaient mitigés pour les versions de 1978 et de 1993, celui du </w:t>
      </w:r>
      <w:r w:rsidR="000141B8">
        <w:rPr>
          <w:i/>
        </w:rPr>
        <w:t>remake</w:t>
      </w:r>
      <w:r w:rsidR="000141B8">
        <w:t xml:space="preserve"> de Olivier </w:t>
      </w:r>
      <w:proofErr w:type="spellStart"/>
      <w:r w:rsidR="000141B8">
        <w:t>Hirschbiegel</w:t>
      </w:r>
      <w:proofErr w:type="spellEnd"/>
      <w:r w:rsidR="000141B8">
        <w:t xml:space="preserve"> ne l’est pas : l’ensemble de la critique –aussi bien américaine que française– semble s’accorder sur le fait que le film est au mieux « plat »</w:t>
      </w:r>
      <w:r w:rsidR="000141B8">
        <w:rPr>
          <w:rStyle w:val="FootnoteReference"/>
        </w:rPr>
        <w:footnoteReference w:id="45"/>
      </w:r>
      <w:r w:rsidR="00E57157">
        <w:t xml:space="preserve">, </w:t>
      </w:r>
      <w:r w:rsidR="007E60F5">
        <w:t>éventuellement « bancal »</w:t>
      </w:r>
      <w:r w:rsidR="007E60F5">
        <w:rPr>
          <w:rStyle w:val="FootnoteReference"/>
        </w:rPr>
        <w:footnoteReference w:id="46"/>
      </w:r>
      <w:r w:rsidR="00E57157">
        <w:t xml:space="preserve">, </w:t>
      </w:r>
      <w:r w:rsidR="006D1F72">
        <w:t xml:space="preserve">voire même </w:t>
      </w:r>
      <w:r w:rsidR="00E57157">
        <w:t>« </w:t>
      </w:r>
      <w:proofErr w:type="spellStart"/>
      <w:r w:rsidR="00E57157">
        <w:t>insauvable</w:t>
      </w:r>
      <w:proofErr w:type="spellEnd"/>
      <w:r w:rsidR="00E57157">
        <w:t> »</w:t>
      </w:r>
      <w:r w:rsidR="00E57157">
        <w:rPr>
          <w:rStyle w:val="FootnoteReference"/>
        </w:rPr>
        <w:footnoteReference w:id="47"/>
      </w:r>
      <w:r w:rsidR="006D1F72">
        <w:t xml:space="preserve">. </w:t>
      </w:r>
      <w:r w:rsidR="00452E70">
        <w:t>Certains critiques tentent de dresser un bilan post-mortem du film en spéculant sur la cause de son échec : le</w:t>
      </w:r>
      <w:r w:rsidR="004870CE">
        <w:t xml:space="preserve"> délai dans la distribution du film (tourné en 2005 pour finalement sortir en 2007) et la décision par le producteur </w:t>
      </w:r>
      <w:proofErr w:type="spellStart"/>
      <w:r w:rsidR="004870CE">
        <w:t>Joel</w:t>
      </w:r>
      <w:proofErr w:type="spellEnd"/>
      <w:r w:rsidR="004870CE">
        <w:t xml:space="preserve"> </w:t>
      </w:r>
      <w:proofErr w:type="spellStart"/>
      <w:r w:rsidR="004870CE">
        <w:t>Silver</w:t>
      </w:r>
      <w:proofErr w:type="spellEnd"/>
      <w:r w:rsidR="004870CE">
        <w:t xml:space="preserve"> de (</w:t>
      </w:r>
      <w:proofErr w:type="spellStart"/>
      <w:r w:rsidR="004870CE">
        <w:t>re</w:t>
      </w:r>
      <w:proofErr w:type="spellEnd"/>
      <w:r w:rsidR="004870CE">
        <w:t>)faire tourner certaines scènes à un autre réalisateur</w:t>
      </w:r>
      <w:r w:rsidR="004870CE">
        <w:rPr>
          <w:rStyle w:val="FootnoteReference"/>
        </w:rPr>
        <w:footnoteReference w:id="48"/>
      </w:r>
      <w:r w:rsidR="00B60790">
        <w:t xml:space="preserve"> qui donne l’impression de voir « </w:t>
      </w:r>
      <w:proofErr w:type="spellStart"/>
      <w:r w:rsidR="00B60790" w:rsidRPr="00781EA5">
        <w:rPr>
          <w:lang w:val="fr-CH"/>
        </w:rPr>
        <w:t>two</w:t>
      </w:r>
      <w:proofErr w:type="spellEnd"/>
      <w:r w:rsidR="00B60790" w:rsidRPr="00781EA5">
        <w:rPr>
          <w:lang w:val="fr-CH"/>
        </w:rPr>
        <w:t xml:space="preserve"> versions of the film </w:t>
      </w:r>
      <w:proofErr w:type="spellStart"/>
      <w:r w:rsidR="00B60790" w:rsidRPr="00781EA5">
        <w:rPr>
          <w:lang w:val="fr-CH"/>
        </w:rPr>
        <w:t>wrestling</w:t>
      </w:r>
      <w:proofErr w:type="spellEnd"/>
      <w:r w:rsidR="00B60790" w:rsidRPr="00781EA5">
        <w:rPr>
          <w:lang w:val="fr-CH"/>
        </w:rPr>
        <w:t> </w:t>
      </w:r>
      <w:r w:rsidR="00B60790">
        <w:t>»</w:t>
      </w:r>
      <w:r w:rsidR="00B60790">
        <w:rPr>
          <w:rStyle w:val="FootnoteReference"/>
        </w:rPr>
        <w:footnoteReference w:id="49"/>
      </w:r>
      <w:r w:rsidR="004870CE">
        <w:t>.</w:t>
      </w:r>
      <w:r w:rsidR="00B60790">
        <w:t xml:space="preserve"> </w:t>
      </w:r>
      <w:r w:rsidR="00156895">
        <w:t xml:space="preserve">C’est </w:t>
      </w:r>
      <w:r w:rsidR="00B60790">
        <w:t>également</w:t>
      </w:r>
      <w:r w:rsidR="00156895">
        <w:t xml:space="preserve"> dans le corpus critique relatif à ce film que l’on retrouve le plus de </w:t>
      </w:r>
      <w:r w:rsidR="00B60790">
        <w:rPr>
          <w:i/>
        </w:rPr>
        <w:t>mises-en-abîmes</w:t>
      </w:r>
      <w:r w:rsidR="00B60790">
        <w:t xml:space="preserve"> se référant à la prémisse du film</w:t>
      </w:r>
      <w:r w:rsidR="009F687A">
        <w:rPr>
          <w:rStyle w:val="FootnoteReference"/>
        </w:rPr>
        <w:footnoteReference w:id="50"/>
      </w:r>
      <w:r w:rsidR="00B60790">
        <w:t xml:space="preserve"> : Keith </w:t>
      </w:r>
      <w:proofErr w:type="spellStart"/>
      <w:r w:rsidR="00B60790">
        <w:t>Phipps</w:t>
      </w:r>
      <w:proofErr w:type="spellEnd"/>
      <w:r w:rsidR="00B60790">
        <w:t xml:space="preserve"> parle</w:t>
      </w:r>
      <w:r w:rsidR="009F687A">
        <w:t xml:space="preserve"> par exemple</w:t>
      </w:r>
      <w:r w:rsidR="00B60790">
        <w:t xml:space="preserve"> d’un film qui « </w:t>
      </w:r>
      <w:r w:rsidR="00CE51D3" w:rsidRPr="00781EA5">
        <w:rPr>
          <w:lang w:val="fr-CH"/>
        </w:rPr>
        <w:t xml:space="preserve">looks </w:t>
      </w:r>
      <w:proofErr w:type="spellStart"/>
      <w:r w:rsidR="00CE51D3" w:rsidRPr="00781EA5">
        <w:rPr>
          <w:lang w:val="fr-CH"/>
        </w:rPr>
        <w:t>like</w:t>
      </w:r>
      <w:proofErr w:type="spellEnd"/>
      <w:r w:rsidR="00CE51D3" w:rsidRPr="00781EA5">
        <w:rPr>
          <w:lang w:val="fr-CH"/>
        </w:rPr>
        <w:t xml:space="preserve"> the </w:t>
      </w:r>
      <w:proofErr w:type="spellStart"/>
      <w:r w:rsidR="00CE51D3" w:rsidRPr="00781EA5">
        <w:rPr>
          <w:lang w:val="fr-CH"/>
        </w:rPr>
        <w:t>work</w:t>
      </w:r>
      <w:proofErr w:type="spellEnd"/>
      <w:r w:rsidR="00CE51D3" w:rsidRPr="00781EA5">
        <w:rPr>
          <w:lang w:val="fr-CH"/>
        </w:rPr>
        <w:t xml:space="preserve"> of […]</w:t>
      </w:r>
      <w:r w:rsidR="00B60790" w:rsidRPr="00781EA5">
        <w:rPr>
          <w:lang w:val="fr-CH"/>
        </w:rPr>
        <w:t xml:space="preserve"> </w:t>
      </w:r>
      <w:proofErr w:type="spellStart"/>
      <w:r w:rsidR="00B60790" w:rsidRPr="00781EA5">
        <w:rPr>
          <w:lang w:val="fr-CH"/>
        </w:rPr>
        <w:t>pod</w:t>
      </w:r>
      <w:proofErr w:type="spellEnd"/>
      <w:r w:rsidR="00B60790" w:rsidRPr="00781EA5">
        <w:rPr>
          <w:lang w:val="fr-CH"/>
        </w:rPr>
        <w:t xml:space="preserve"> people </w:t>
      </w:r>
      <w:r w:rsidR="00B60790">
        <w:t>»</w:t>
      </w:r>
      <w:r w:rsidR="00CE51D3">
        <w:rPr>
          <w:rStyle w:val="FootnoteReference"/>
        </w:rPr>
        <w:footnoteReference w:id="51"/>
      </w:r>
      <w:r w:rsidR="009F687A">
        <w:t>.</w:t>
      </w:r>
    </w:p>
    <w:p w14:paraId="136E62B5" w14:textId="7A89C988" w:rsidR="007F6A07" w:rsidRPr="007F6A07" w:rsidRDefault="00443326" w:rsidP="007F6A07">
      <w:pPr>
        <w:pStyle w:val="Mmoire"/>
      </w:pPr>
      <w:r>
        <w:tab/>
        <w:t>Ce retour sur la réception critique permet de tirer certains points de bilan : d’une part la série de films est jugée comme étant qualitativement inégale</w:t>
      </w:r>
      <w:r w:rsidR="00D97C6A">
        <w:t xml:space="preserve"> –avec une tendance vers la dépréciation de version en version–, et, d’une autre part, </w:t>
      </w:r>
      <w:r w:rsidR="007F6A07">
        <w:t xml:space="preserve">que la critique de la dernière version en date se réfère toujours à l’original, si ce n’est à toutes les versions précédentes. Si ces </w:t>
      </w:r>
      <w:r w:rsidR="007F6A07">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sidR="007F6A07">
        <w:rPr>
          <w:i/>
        </w:rPr>
        <w:t>genre</w:t>
      </w:r>
      <w:r w:rsidR="007F6A07">
        <w:t xml:space="preserve"> des films et celle des possibilités d’interprétation qu’il offre.</w:t>
      </w:r>
    </w:p>
    <w:p w14:paraId="3EEFED19" w14:textId="77777777" w:rsidR="007F6A07" w:rsidRDefault="007F6A07" w:rsidP="007F6A07">
      <w:pPr>
        <w:pStyle w:val="Heading2"/>
      </w:pPr>
    </w:p>
    <w:p w14:paraId="6C0BA3BA" w14:textId="7961A93F" w:rsidR="007F6A07" w:rsidRDefault="007F6A07" w:rsidP="007F6A07">
      <w:pPr>
        <w:pStyle w:val="Heading2"/>
      </w:pPr>
      <w:r w:rsidRPr="007F6A07">
        <w:t>La question du genre</w:t>
      </w:r>
    </w:p>
    <w:p w14:paraId="5FA53EAC" w14:textId="77777777" w:rsidR="007F6A07" w:rsidRPr="007F6A07" w:rsidRDefault="007F6A07" w:rsidP="007F6A07"/>
    <w:p w14:paraId="32A6CBE6" w14:textId="30584320" w:rsidR="007F6A07" w:rsidRDefault="007F6A07" w:rsidP="007F6A07">
      <w:pPr>
        <w:pStyle w:val="Mmoire"/>
      </w:pPr>
      <w:r>
        <w:t xml:space="preserve"> </w:t>
      </w:r>
      <w:r w:rsidR="00781EA5">
        <w:t>Si le statut du roman de Jack Finney en tant qu’œuvre de science-fiction ne fait aucun doute, d’une part à cause de son statut en tant que romancier</w:t>
      </w:r>
      <w:r w:rsidR="00781EA5">
        <w:rPr>
          <w:rStyle w:val="FootnoteReference"/>
        </w:rPr>
        <w:footnoteReference w:id="52"/>
      </w:r>
      <w:r w:rsidR="00781EA5">
        <w:t xml:space="preserve"> mais surtout d</w:t>
      </w:r>
      <w:r w:rsidR="00213BA4">
        <w:t xml:space="preserve">e par le contenu de </w:t>
      </w:r>
      <w:r w:rsidR="00213BA4">
        <w:rPr>
          <w:i/>
        </w:rPr>
        <w:t xml:space="preserve">The Body Snatchers </w:t>
      </w:r>
      <w:r w:rsidR="00781EA5">
        <w:t xml:space="preserve">lui-même, </w:t>
      </w:r>
      <w:r w:rsidR="001F52E4">
        <w:t>son adaptation cinématographique –et les remakes subséquents– jouent sur une ambiguïté</w:t>
      </w:r>
      <w:r w:rsidR="00DC11D1">
        <w:t xml:space="preserve"> des genres : dans le film de Don Siegel, le seul élément de science-ficti</w:t>
      </w:r>
      <w:r w:rsidR="00D56248">
        <w:t xml:space="preserve">on du film étant le discours du Dr. Danny </w:t>
      </w:r>
      <w:proofErr w:type="spellStart"/>
      <w:r w:rsidR="00D56248">
        <w:t>Kauffman</w:t>
      </w:r>
      <w:proofErr w:type="spellEnd"/>
      <w:r w:rsidR="00D56248">
        <w:t xml:space="preserve"> (Danny) lors de la confrontation avec le Dr. Miles </w:t>
      </w:r>
      <w:proofErr w:type="spellStart"/>
      <w:r w:rsidR="00D56248">
        <w:t>Bennell</w:t>
      </w:r>
      <w:proofErr w:type="spellEnd"/>
      <w:r w:rsidR="00D56248">
        <w:t xml:space="preserve"> (Miles) et </w:t>
      </w:r>
      <w:proofErr w:type="spellStart"/>
      <w:r w:rsidR="00D56248">
        <w:t>Becky</w:t>
      </w:r>
      <w:proofErr w:type="spellEnd"/>
      <w:r w:rsidR="00D56248">
        <w:t xml:space="preserve"> </w:t>
      </w:r>
      <w:proofErr w:type="spellStart"/>
      <w:r w:rsidR="00D56248">
        <w:t>Driscoll</w:t>
      </w:r>
      <w:proofErr w:type="spellEnd"/>
      <w:r w:rsidR="00D56248">
        <w:t xml:space="preserve"> (</w:t>
      </w:r>
      <w:proofErr w:type="spellStart"/>
      <w:r w:rsidR="00D56248">
        <w:t>Becky</w:t>
      </w:r>
      <w:proofErr w:type="spellEnd"/>
      <w:r w:rsidR="00D56248">
        <w:t>) :</w:t>
      </w:r>
    </w:p>
    <w:p w14:paraId="451401A2" w14:textId="2ABFCCE6" w:rsidR="00D56248" w:rsidRDefault="00BE2589" w:rsidP="00BE2589">
      <w:pPr>
        <w:spacing w:after="120"/>
        <w:ind w:left="720"/>
        <w:jc w:val="both"/>
        <w:rPr>
          <w:lang w:val="en-GB"/>
        </w:rPr>
      </w:pPr>
      <w:r w:rsidRPr="00BE2589">
        <w:rPr>
          <w:lang w:val="en-GB"/>
        </w:rPr>
        <w:t>«</w:t>
      </w:r>
      <w:r w:rsidRPr="00D56248">
        <w:rPr>
          <w:lang w:val="en-GB"/>
        </w:rPr>
        <w:t xml:space="preserve"> </w:t>
      </w:r>
      <w:r w:rsidR="00D56248" w:rsidRPr="00D56248">
        <w:rPr>
          <w:lang w:val="en-GB"/>
        </w:rPr>
        <w:t xml:space="preserve">[…] Then </w:t>
      </w:r>
      <w:r w:rsidR="00D56248">
        <w:rPr>
          <w:lang w:val="en-GB"/>
        </w:rPr>
        <w:t>out of the sky came a solution. Seeds, drifting through space for years, took root in a farmer’s field. From the seeds came pods which have the power to reproduce themselves in the exact likeness of any form of life.</w:t>
      </w:r>
      <w:r w:rsidR="00D56248">
        <w:rPr>
          <w:rStyle w:val="FootnoteReference"/>
          <w:lang w:val="en-GB"/>
        </w:rPr>
        <w:footnoteReference w:id="53"/>
      </w:r>
      <w:r w:rsidRPr="00BE2589">
        <w:rPr>
          <w:lang w:val="fr-CH"/>
        </w:rPr>
        <w:t xml:space="preserve"> </w:t>
      </w:r>
      <w:r>
        <w:rPr>
          <w:lang w:val="fr-CH"/>
        </w:rPr>
        <w:t>»</w:t>
      </w:r>
    </w:p>
    <w:p w14:paraId="1ED87DBE" w14:textId="21886768" w:rsidR="00D56248" w:rsidRDefault="00CE3FB7" w:rsidP="00D56248">
      <w:pPr>
        <w:pStyle w:val="Mmoire"/>
        <w:rPr>
          <w:lang w:val="fr-CH"/>
        </w:rPr>
      </w:pPr>
      <w:r w:rsidRPr="00F33C24">
        <w:rPr>
          <w:lang w:val="fr-CH"/>
        </w:rPr>
        <w:t>C</w:t>
      </w:r>
      <w:r w:rsidR="00D9060A" w:rsidRPr="00F33C24">
        <w:rPr>
          <w:lang w:val="fr-CH"/>
        </w:rPr>
        <w:t xml:space="preserve">ette scène </w:t>
      </w:r>
      <w:r w:rsidR="00670840" w:rsidRPr="00F33C24">
        <w:rPr>
          <w:lang w:val="fr-CH"/>
        </w:rPr>
        <w:t>explicative, courante</w:t>
      </w:r>
      <w:r w:rsidR="00F33C24" w:rsidRPr="00F33C24">
        <w:rPr>
          <w:lang w:val="fr-CH"/>
        </w:rPr>
        <w:t xml:space="preserve"> dans le </w:t>
      </w:r>
      <w:r w:rsidR="00670840" w:rsidRPr="00F33C24">
        <w:rPr>
          <w:lang w:val="fr-CH"/>
        </w:rPr>
        <w:t>cinéma</w:t>
      </w:r>
      <w:r w:rsidR="00F33C24" w:rsidRPr="00F33C24">
        <w:rPr>
          <w:lang w:val="fr-CH"/>
        </w:rPr>
        <w:t xml:space="preserve"> hollywoodien de science-fiction</w:t>
      </w:r>
      <w:r w:rsidR="00503CBA">
        <w:rPr>
          <w:rStyle w:val="FootnoteReference"/>
          <w:lang w:val="fr-CH"/>
        </w:rPr>
        <w:footnoteReference w:id="54"/>
      </w:r>
      <w:r w:rsidR="00F33C24" w:rsidRPr="00F33C24">
        <w:rPr>
          <w:lang w:val="fr-CH"/>
        </w:rPr>
        <w:t>, renseigne le spectateur</w:t>
      </w:r>
      <w:r w:rsidR="00503CBA">
        <w:rPr>
          <w:rStyle w:val="FootnoteReference"/>
          <w:lang w:val="fr-CH"/>
        </w:rPr>
        <w:footnoteReference w:id="55"/>
      </w:r>
      <w:r w:rsidR="00503CBA">
        <w:rPr>
          <w:lang w:val="fr-CH"/>
        </w:rPr>
        <w:t xml:space="preserve"> sur l’intention des antagonistes et confirme une suspicion émise</w:t>
      </w:r>
      <w:r w:rsidR="00CF0127">
        <w:rPr>
          <w:lang w:val="fr-CH"/>
        </w:rPr>
        <w:t xml:space="preserve"> par Miles (à un Danny encore inchangé)</w:t>
      </w:r>
      <w:r w:rsidR="00503CBA">
        <w:rPr>
          <w:lang w:val="fr-CH"/>
        </w:rPr>
        <w:t xml:space="preserve"> lors d</w:t>
      </w:r>
      <w:r w:rsidR="00CF0127">
        <w:rPr>
          <w:lang w:val="fr-CH"/>
        </w:rPr>
        <w:t>e l’inspection d’un corps dans une</w:t>
      </w:r>
      <w:r w:rsidR="00503CBA">
        <w:rPr>
          <w:lang w:val="fr-CH"/>
        </w:rPr>
        <w:t xml:space="preserve"> scène précédente.</w:t>
      </w:r>
      <w:r w:rsidR="006E18EF">
        <w:rPr>
          <w:lang w:val="fr-CH"/>
        </w:rPr>
        <w:t xml:space="preserve"> Ce monologue constitue la seule vraie référence à un élément science-fictionnel : aucun plan ne montre de vaisseau spécial, d’être extra-terrestre ou même de plan large de la planète terre.</w:t>
      </w:r>
      <w:r w:rsidR="005A0C4C">
        <w:rPr>
          <w:lang w:val="fr-CH"/>
        </w:rPr>
        <w:t xml:space="preserve"> Les </w:t>
      </w:r>
      <w:proofErr w:type="spellStart"/>
      <w:r w:rsidR="005A0C4C" w:rsidRPr="005A0C4C">
        <w:rPr>
          <w:i/>
          <w:lang w:val="fr-CH"/>
        </w:rPr>
        <w:t>pods</w:t>
      </w:r>
      <w:proofErr w:type="spellEnd"/>
      <w:r w:rsidR="005A0C4C">
        <w:rPr>
          <w:i/>
          <w:lang w:val="fr-CH"/>
        </w:rPr>
        <w:t xml:space="preserve"> </w:t>
      </w:r>
      <w:r w:rsidR="005A0C4C">
        <w:rPr>
          <w:lang w:val="fr-CH"/>
        </w:rPr>
        <w:t xml:space="preserve">montrés en détail lors de la scène du barbecue n’ont aucune propriété qui pourrait mettre en doute, pour le spectateur moyen </w:t>
      </w:r>
      <w:r w:rsidR="000A0EDA">
        <w:rPr>
          <w:lang w:val="fr-CH"/>
        </w:rPr>
        <w:t xml:space="preserve">non diplômé en biologie, </w:t>
      </w:r>
      <w:r w:rsidR="002A445A">
        <w:rPr>
          <w:lang w:val="fr-CH"/>
        </w:rPr>
        <w:t>une origine terrestre ; aucun discours explicite n’est prononcé sur la radiation ou l’expérimentation scientifique.</w:t>
      </w:r>
      <w:r w:rsidR="001E2D11">
        <w:rPr>
          <w:lang w:val="fr-CH"/>
        </w:rPr>
        <w:t xml:space="preserve"> Le principal argument pour la classification du film dans le genre science-fiction provient du matériel publicitaire utilisé pour la promotion du film, certaines affiches utilisant la </w:t>
      </w:r>
      <w:r w:rsidR="001E2D11">
        <w:rPr>
          <w:i/>
          <w:lang w:val="fr-CH"/>
        </w:rPr>
        <w:t>slogan</w:t>
      </w:r>
      <w:r w:rsidR="001E2D11">
        <w:rPr>
          <w:lang w:val="fr-CH"/>
        </w:rPr>
        <w:t xml:space="preserve"> « </w:t>
      </w:r>
      <w:r w:rsidR="001E2D11" w:rsidRPr="0036501B">
        <w:rPr>
          <w:lang w:val="en-US"/>
        </w:rPr>
        <w:t xml:space="preserve">THEY come </w:t>
      </w:r>
      <w:r w:rsidR="001E2D11" w:rsidRPr="0036501B">
        <w:rPr>
          <w:lang w:val="en-US"/>
        </w:rPr>
        <w:lastRenderedPageBreak/>
        <w:t>from another world ! </w:t>
      </w:r>
      <w:r w:rsidR="001E2D11">
        <w:rPr>
          <w:lang w:val="fr-CH"/>
        </w:rPr>
        <w:t>»</w:t>
      </w:r>
      <w:r w:rsidR="001E2D11">
        <w:rPr>
          <w:rStyle w:val="FootnoteReference"/>
          <w:lang w:val="fr-CH"/>
        </w:rPr>
        <w:footnoteReference w:id="56"/>
      </w:r>
      <w:r w:rsidR="00F1669A">
        <w:rPr>
          <w:lang w:val="fr-CH"/>
        </w:rPr>
        <w:t xml:space="preserve">, </w:t>
      </w:r>
      <w:r w:rsidR="00C249AB">
        <w:rPr>
          <w:lang w:val="fr-CH"/>
        </w:rPr>
        <w:t>« </w:t>
      </w:r>
      <w:r w:rsidR="00C249AB" w:rsidRPr="00C060D1">
        <w:rPr>
          <w:lang w:val="en-US"/>
        </w:rPr>
        <w:t>The Things that came from another world ! </w:t>
      </w:r>
      <w:r w:rsidR="00C249AB">
        <w:rPr>
          <w:lang w:val="fr-CH"/>
        </w:rPr>
        <w:t>»</w:t>
      </w:r>
      <w:r w:rsidR="00C249AB">
        <w:rPr>
          <w:rStyle w:val="FootnoteReference"/>
          <w:lang w:val="fr-CH"/>
        </w:rPr>
        <w:footnoteReference w:id="57"/>
      </w:r>
      <w:r w:rsidR="00F1669A">
        <w:rPr>
          <w:lang w:val="fr-CH"/>
        </w:rPr>
        <w:t xml:space="preserve"> ou « </w:t>
      </w:r>
      <w:r w:rsidR="00F1669A" w:rsidRPr="0036501B">
        <w:rPr>
          <w:lang w:val="en-US"/>
        </w:rPr>
        <w:t>Walter Wagner creates the ultimate in science-fiction !</w:t>
      </w:r>
      <w:r w:rsidR="00DA4FCE">
        <w:rPr>
          <w:lang w:val="fr-CH"/>
        </w:rPr>
        <w:t xml:space="preserve"> </w:t>
      </w:r>
      <w:r w:rsidR="00F1669A">
        <w:rPr>
          <w:lang w:val="fr-CH"/>
        </w:rPr>
        <w:t>»</w:t>
      </w:r>
      <w:r w:rsidR="00DA4FCE">
        <w:rPr>
          <w:rStyle w:val="FootnoteReference"/>
          <w:lang w:val="fr-CH"/>
        </w:rPr>
        <w:footnoteReference w:id="58"/>
      </w:r>
      <w:r w:rsidR="00C249AB">
        <w:rPr>
          <w:lang w:val="fr-CH"/>
        </w:rPr>
        <w:t xml:space="preserve">. </w:t>
      </w:r>
      <w:r w:rsidR="00AA0F22">
        <w:rPr>
          <w:lang w:val="fr-CH"/>
        </w:rPr>
        <w:t>En contrepoint, certaines affiches du film ne mentionnent aucun élément de science-fiction et présentent plutôt le film comme un film d’horreur</w:t>
      </w:r>
      <w:r w:rsidR="00AA0F22">
        <w:rPr>
          <w:rStyle w:val="FootnoteReference"/>
          <w:lang w:val="fr-CH"/>
        </w:rPr>
        <w:footnoteReference w:id="59"/>
      </w:r>
      <w:r w:rsidR="00FD4B37">
        <w:rPr>
          <w:lang w:val="fr-CH"/>
        </w:rPr>
        <w:t xml:space="preserve">. Cette </w:t>
      </w:r>
      <w:r w:rsidR="00FF2B62">
        <w:rPr>
          <w:lang w:val="fr-CH"/>
        </w:rPr>
        <w:t>ambiguïté</w:t>
      </w:r>
      <w:r w:rsidR="00FD4B37">
        <w:rPr>
          <w:lang w:val="fr-CH"/>
        </w:rPr>
        <w:t xml:space="preserve"> dans le genre du </w:t>
      </w:r>
      <w:r w:rsidR="00FF2B62">
        <w:rPr>
          <w:lang w:val="fr-CH"/>
        </w:rPr>
        <w:t>film sont par exemple omniprésentes dans les critiques contemporaines à la sortie du film en France : si certains parlent de « science-fiction »</w:t>
      </w:r>
      <w:r w:rsidR="00FF2B62">
        <w:rPr>
          <w:rStyle w:val="FootnoteReference"/>
          <w:lang w:val="fr-CH"/>
        </w:rPr>
        <w:footnoteReference w:id="60"/>
      </w:r>
      <w:r w:rsidR="00C32B00">
        <w:rPr>
          <w:lang w:val="fr-CH"/>
        </w:rPr>
        <w:t>, d’autres le présentent comme un « film d’épouvante »</w:t>
      </w:r>
      <w:r w:rsidR="00C32B00">
        <w:rPr>
          <w:rStyle w:val="FootnoteReference"/>
          <w:lang w:val="fr-CH"/>
        </w:rPr>
        <w:footnoteReference w:id="61"/>
      </w:r>
      <w:r w:rsidR="00C32B00">
        <w:rPr>
          <w:lang w:val="fr-CH"/>
        </w:rPr>
        <w:t>, un « film d’horreur »</w:t>
      </w:r>
      <w:r w:rsidR="00876848">
        <w:rPr>
          <w:rStyle w:val="FootnoteReference"/>
          <w:lang w:val="fr-CH"/>
        </w:rPr>
        <w:footnoteReference w:id="62"/>
      </w:r>
      <w:r w:rsidR="00C32B00">
        <w:rPr>
          <w:lang w:val="fr-CH"/>
        </w:rPr>
        <w:t xml:space="preserve"> ou un « film à suspense »</w:t>
      </w:r>
      <w:r w:rsidR="00C32B00">
        <w:rPr>
          <w:rStyle w:val="FootnoteReference"/>
          <w:lang w:val="fr-CH"/>
        </w:rPr>
        <w:footnoteReference w:id="63"/>
      </w:r>
      <w:r w:rsidR="00C32B00">
        <w:rPr>
          <w:lang w:val="fr-CH"/>
        </w:rPr>
        <w:t>.</w:t>
      </w:r>
      <w:r w:rsidR="00FD4B37">
        <w:rPr>
          <w:lang w:val="fr-CH"/>
        </w:rPr>
        <w:t xml:space="preserve"> </w:t>
      </w:r>
      <w:r w:rsidR="00C4663F">
        <w:rPr>
          <w:lang w:val="fr-CH"/>
        </w:rPr>
        <w:t xml:space="preserve">Dans sa critique, Marcel Reguilhem va jusqu’à quadrupler la </w:t>
      </w:r>
      <w:r w:rsidR="004F4AF0">
        <w:rPr>
          <w:lang w:val="fr-CH"/>
        </w:rPr>
        <w:t>classification</w:t>
      </w:r>
      <w:r w:rsidR="00C4663F">
        <w:rPr>
          <w:lang w:val="fr-CH"/>
        </w:rPr>
        <w:t xml:space="preserve"> du film en parlant de « […] le film (aventure, policier, fiction, épouvante) […] »</w:t>
      </w:r>
      <w:r w:rsidR="00C4663F">
        <w:rPr>
          <w:rStyle w:val="FootnoteReference"/>
          <w:lang w:val="fr-CH"/>
        </w:rPr>
        <w:footnoteReference w:id="64"/>
      </w:r>
      <w:r w:rsidR="00E748E4">
        <w:rPr>
          <w:lang w:val="fr-CH"/>
        </w:rPr>
        <w:t xml:space="preserve">. Cette hybridité des genres est également constatée par les auteurs </w:t>
      </w:r>
      <w:r w:rsidR="00F81209">
        <w:rPr>
          <w:lang w:val="fr-CH"/>
        </w:rPr>
        <w:t xml:space="preserve">des textes académiques concernant le film, Al LaValley </w:t>
      </w:r>
      <w:r w:rsidR="00991F6F">
        <w:rPr>
          <w:lang w:val="fr-CH"/>
        </w:rPr>
        <w:t>évoque les différents entre Walter Wagner et Allied Artists durant le processus de post-production du film, le studio semblant « </w:t>
      </w:r>
      <w:r w:rsidR="00991F6F" w:rsidRPr="00991F6F">
        <w:rPr>
          <w:lang w:val="en-US"/>
        </w:rPr>
        <w:t>befuddled by a film that did not clearly fit into science fiction or horror genre formats </w:t>
      </w:r>
      <w:r w:rsidR="00991F6F">
        <w:rPr>
          <w:lang w:val="fr-CH"/>
        </w:rPr>
        <w:t>»</w:t>
      </w:r>
      <w:r w:rsidR="00991F6F">
        <w:rPr>
          <w:rStyle w:val="FootnoteReference"/>
          <w:lang w:val="fr-CH"/>
        </w:rPr>
        <w:footnoteReference w:id="65"/>
      </w:r>
      <w:r w:rsidR="00DF0B77">
        <w:rPr>
          <w:lang w:val="fr-CH"/>
        </w:rPr>
        <w:t xml:space="preserve"> menant à un « </w:t>
      </w:r>
      <w:proofErr w:type="spellStart"/>
      <w:r w:rsidR="00DF0B77">
        <w:rPr>
          <w:lang w:val="fr-CH"/>
        </w:rPr>
        <w:t>highly</w:t>
      </w:r>
      <w:proofErr w:type="spellEnd"/>
      <w:r w:rsidR="00DF0B77">
        <w:rPr>
          <w:lang w:val="fr-CH"/>
        </w:rPr>
        <w:t xml:space="preserve"> </w:t>
      </w:r>
      <w:proofErr w:type="spellStart"/>
      <w:r w:rsidR="00DF0B77">
        <w:rPr>
          <w:lang w:val="fr-CH"/>
        </w:rPr>
        <w:t>unstable</w:t>
      </w:r>
      <w:proofErr w:type="spellEnd"/>
      <w:r w:rsidR="00DF0B77">
        <w:rPr>
          <w:lang w:val="fr-CH"/>
        </w:rPr>
        <w:t xml:space="preserve"> </w:t>
      </w:r>
      <w:proofErr w:type="spellStart"/>
      <w:r w:rsidR="00DF0B77">
        <w:rPr>
          <w:lang w:val="fr-CH"/>
        </w:rPr>
        <w:t>text</w:t>
      </w:r>
      <w:proofErr w:type="spellEnd"/>
      <w:r w:rsidR="00DF0B77">
        <w:rPr>
          <w:lang w:val="fr-CH"/>
        </w:rPr>
        <w:t> »</w:t>
      </w:r>
      <w:r w:rsidR="00DF0B77">
        <w:rPr>
          <w:rStyle w:val="FootnoteReference"/>
          <w:lang w:val="fr-CH"/>
        </w:rPr>
        <w:footnoteReference w:id="66"/>
      </w:r>
      <w:r w:rsidR="005368DD">
        <w:rPr>
          <w:lang w:val="fr-CH"/>
        </w:rPr>
        <w:t xml:space="preserve">. </w:t>
      </w:r>
      <w:r w:rsidR="00E84BB2">
        <w:rPr>
          <w:lang w:val="fr-CH"/>
        </w:rPr>
        <w:t xml:space="preserve">Barry Keith Grant accorde au film une esthétique de </w:t>
      </w:r>
      <w:r w:rsidR="00E84BB2">
        <w:rPr>
          <w:i/>
          <w:lang w:val="fr-CH"/>
        </w:rPr>
        <w:t>film noir</w:t>
      </w:r>
      <w:r w:rsidR="00E84BB2">
        <w:rPr>
          <w:rStyle w:val="FootnoteReference"/>
          <w:i/>
          <w:lang w:val="fr-CH"/>
        </w:rPr>
        <w:footnoteReference w:id="67"/>
      </w:r>
      <w:r w:rsidR="00E84BB2">
        <w:rPr>
          <w:lang w:val="fr-CH"/>
        </w:rPr>
        <w:t>, une esthétique ensuite échangée pour « action et thriller »</w:t>
      </w:r>
      <w:r w:rsidR="00E84BB2">
        <w:rPr>
          <w:rStyle w:val="FootnoteReference"/>
          <w:lang w:val="fr-CH"/>
        </w:rPr>
        <w:footnoteReference w:id="68"/>
      </w:r>
      <w:r w:rsidR="00E84BB2">
        <w:rPr>
          <w:lang w:val="fr-CH"/>
        </w:rPr>
        <w:t xml:space="preserve"> dans les remakes.</w:t>
      </w:r>
      <w:r w:rsidR="005368DD">
        <w:rPr>
          <w:lang w:val="fr-CH"/>
        </w:rPr>
        <w:t xml:space="preserve"> </w:t>
      </w:r>
      <w:r w:rsidR="00BE2589">
        <w:rPr>
          <w:lang w:val="fr-CH"/>
        </w:rPr>
        <w:t xml:space="preserve">Kathleen Loock va même jusqu’à affirmer que cette hybridité des genres est une marque de fabrique de la série </w:t>
      </w:r>
      <w:r w:rsidR="00BE2589">
        <w:rPr>
          <w:i/>
          <w:lang w:val="fr-CH"/>
        </w:rPr>
        <w:t>Invasion of the Body Snatchers </w:t>
      </w:r>
      <w:r w:rsidR="00BE2589">
        <w:rPr>
          <w:lang w:val="fr-CH"/>
        </w:rPr>
        <w:t>:</w:t>
      </w:r>
    </w:p>
    <w:p w14:paraId="08F3D06F" w14:textId="270E3C96" w:rsidR="00BE2589" w:rsidRDefault="00BE2589"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w:t>
      </w:r>
      <w:r>
        <w:rPr>
          <w:lang w:val="en-GB"/>
        </w:rPr>
        <w:lastRenderedPageBreak/>
        <w:t xml:space="preserve">back-drop of the story, thereby enhancing the aesthetic value and </w:t>
      </w:r>
      <w:r w:rsidR="00E251B8">
        <w:rPr>
          <w:lang w:val="en-GB"/>
        </w:rPr>
        <w:t>originality</w:t>
      </w:r>
      <w:r>
        <w:rPr>
          <w:lang w:val="en-GB"/>
        </w:rPr>
        <w:t xml:space="preserve"> of each work. </w:t>
      </w:r>
      <w:r>
        <w:rPr>
          <w:lang w:val="fr-CH"/>
        </w:rPr>
        <w:t>»</w:t>
      </w:r>
    </w:p>
    <w:p w14:paraId="1376B001" w14:textId="507226AA" w:rsidR="00D9060A" w:rsidRDefault="00257664"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sidR="0039669B">
        <w:rPr>
          <w:rStyle w:val="FootnoteReference"/>
          <w:lang w:val="fr-CH"/>
        </w:rPr>
        <w:footnoteReference w:id="69"/>
      </w:r>
      <w:r>
        <w:rPr>
          <w:lang w:val="fr-CH"/>
        </w:rPr>
        <w:t>. Plutôt que d’évaluer la qualité horrifique d’un remake par rapport à l’orignal</w:t>
      </w:r>
      <w:r w:rsidR="00572515">
        <w:rPr>
          <w:rStyle w:val="FootnoteReference"/>
          <w:lang w:val="fr-CH"/>
        </w:rPr>
        <w:footnoteReference w:id="70"/>
      </w:r>
      <w:r>
        <w:rPr>
          <w:lang w:val="fr-CH"/>
        </w:rPr>
        <w:t xml:space="preserve">, elle </w:t>
      </w:r>
      <w:r w:rsidR="0084708F">
        <w:rPr>
          <w:lang w:val="fr-CH"/>
        </w:rPr>
        <w:t>place l’hybridité générique au centre du processus de remake, en postulant que chaque film cherche à améliorer la value esthétique et l’originalité de ses prédécesseurs.</w:t>
      </w:r>
      <w:r w:rsidR="009B1CA9">
        <w:rPr>
          <w:lang w:val="fr-CH"/>
        </w:rPr>
        <w:t xml:space="preserve"> Cette idée, mentionnée rapidement au tournant d’un chapitre, est ensuite laissée de côté au profit d’une comparaison </w:t>
      </w:r>
      <w:r w:rsidR="007504B3">
        <w:rPr>
          <w:lang w:val="fr-CH"/>
        </w:rPr>
        <w:t>des changements dans le récit des 4 films.</w:t>
      </w:r>
      <w:r w:rsidR="0014602A">
        <w:rPr>
          <w:lang w:val="fr-CH"/>
        </w:rPr>
        <w:t xml:space="preserve"> La question du genre de chaque film individuel est donc relevée aussi bien dans la réception critique que dans les analyses académiques</w:t>
      </w:r>
      <w:r w:rsidR="00572515">
        <w:rPr>
          <w:lang w:val="fr-CH"/>
        </w:rPr>
        <w:t>, sans pour autant –ou seulement partiellement– être mise en perspective dans le cadre de la série.</w:t>
      </w:r>
      <w:r w:rsidR="00ED3A88">
        <w:rPr>
          <w:lang w:val="fr-CH"/>
        </w:rPr>
        <w:t xml:space="preserve"> Il conviendra donc d’accorder une place aux questions de genre et d’esthétique dans le troisième chapitre de ce travail.</w:t>
      </w:r>
    </w:p>
    <w:p w14:paraId="049E4AB3" w14:textId="625E8E41" w:rsidR="009E2528" w:rsidRPr="009E2528" w:rsidRDefault="00ED3A88" w:rsidP="009E2528">
      <w:pPr>
        <w:pStyle w:val="Mmoire"/>
        <w:rPr>
          <w:lang w:val="fr-CH"/>
        </w:rPr>
      </w:pPr>
      <w:r>
        <w:rPr>
          <w:lang w:val="fr-CH"/>
        </w:rPr>
        <w:tab/>
        <w:t>Si les questions d’hybridité et de changement de genres n’ont pas, ou peu, leur place dans les critiques et analyses liées au film, la question du récit –plus précisément de ses interprétations–</w:t>
      </w:r>
      <w:r w:rsidR="009E2528">
        <w:rPr>
          <w:lang w:val="fr-CH"/>
        </w:rPr>
        <w:t xml:space="preserve"> et les liens qu’il entretient avec son contexte socio-historique sont quant à elles omniprésentes.</w:t>
      </w:r>
    </w:p>
    <w:p w14:paraId="2DCAE6A5" w14:textId="5BFF0B3A" w:rsidR="009E2528" w:rsidRPr="009E2528" w:rsidRDefault="009E2528" w:rsidP="009E2528">
      <w:pPr>
        <w:pStyle w:val="Heading2"/>
      </w:pPr>
      <w:r w:rsidRPr="009E2528">
        <w:t>Une métaphore pluri-sémantique, ou une foison d’interprétations</w:t>
      </w:r>
    </w:p>
    <w:p w14:paraId="2A5B1E18" w14:textId="77777777" w:rsidR="009E2528" w:rsidRDefault="009E2528" w:rsidP="009E2528">
      <w:pPr>
        <w:rPr>
          <w:lang w:val="fr-CH"/>
        </w:rPr>
      </w:pPr>
    </w:p>
    <w:p w14:paraId="19B0D56F" w14:textId="7CFA9DBC" w:rsidR="008540F1" w:rsidRDefault="003C5211"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w:t>
      </w:r>
      <w:r w:rsidR="00F90D23">
        <w:rPr>
          <w:lang w:val="fr-CH"/>
        </w:rPr>
        <w:t xml:space="preserve">la nature </w:t>
      </w:r>
      <w:r w:rsidR="00767450">
        <w:rPr>
          <w:lang w:val="fr-CH"/>
        </w:rPr>
        <w:t>simple</w:t>
      </w:r>
      <w:r w:rsidR="00F90D23">
        <w:rPr>
          <w:lang w:val="fr-CH"/>
        </w:rPr>
        <w:t xml:space="preserve"> et</w:t>
      </w:r>
      <w:r w:rsidR="00767450">
        <w:rPr>
          <w:lang w:val="fr-CH"/>
        </w:rPr>
        <w:t xml:space="preserve"> ouverte du récit offre une très grande possibilité d’interprétation, Raymond </w:t>
      </w:r>
      <w:proofErr w:type="spellStart"/>
      <w:r w:rsidR="00767450">
        <w:rPr>
          <w:lang w:val="fr-CH"/>
        </w:rPr>
        <w:t>Durgnat</w:t>
      </w:r>
      <w:proofErr w:type="spellEnd"/>
      <w:r w:rsidR="00767450">
        <w:rPr>
          <w:lang w:val="fr-CH"/>
        </w:rPr>
        <w:t xml:space="preserve"> va jusqu’à parler d’un « délire d’interprétations »</w:t>
      </w:r>
      <w:r w:rsidR="00651CAA">
        <w:rPr>
          <w:rStyle w:val="FootnoteReference"/>
          <w:lang w:val="fr-CH"/>
        </w:rPr>
        <w:footnoteReference w:id="71"/>
      </w:r>
      <w:r w:rsidR="00767450">
        <w:rPr>
          <w:lang w:val="fr-CH"/>
        </w:rPr>
        <w:t xml:space="preserve"> élicité par les films. </w:t>
      </w:r>
      <w:r w:rsidR="004B4016">
        <w:rPr>
          <w:lang w:val="fr-CH"/>
        </w:rPr>
        <w:t xml:space="preserve">Offrir une rétrospective et discussion </w:t>
      </w:r>
      <w:r w:rsidR="006D5FD9">
        <w:rPr>
          <w:lang w:val="fr-CH"/>
        </w:rPr>
        <w:t xml:space="preserve">détaillée </w:t>
      </w:r>
      <w:r w:rsidR="004B4016">
        <w:rPr>
          <w:lang w:val="fr-CH"/>
        </w:rPr>
        <w:t xml:space="preserve">des interprétations publiées dans la presse quotidienne, spécialisée ou même académique </w:t>
      </w:r>
      <w:r w:rsidR="006D5FD9">
        <w:rPr>
          <w:lang w:val="fr-CH"/>
        </w:rPr>
        <w:t xml:space="preserve">constituerait en lui seul un travail de thèse de </w:t>
      </w:r>
      <w:r w:rsidR="008540F1">
        <w:rPr>
          <w:lang w:val="fr-CH"/>
        </w:rPr>
        <w:t>doctorat</w:t>
      </w:r>
      <w:r w:rsidR="006D5FD9">
        <w:rPr>
          <w:lang w:val="fr-CH"/>
        </w:rPr>
        <w:t>, tant ces dernières sont parfois complexes et inscrite</w:t>
      </w:r>
      <w:r w:rsidR="00E823D7">
        <w:rPr>
          <w:lang w:val="fr-CH"/>
        </w:rPr>
        <w:t>s</w:t>
      </w:r>
      <w:r w:rsidR="006D5FD9">
        <w:rPr>
          <w:lang w:val="fr-CH"/>
        </w:rPr>
        <w:t xml:space="preserve"> dans un contexte </w:t>
      </w:r>
      <w:r w:rsidR="00810ADF">
        <w:rPr>
          <w:lang w:val="fr-CH"/>
        </w:rPr>
        <w:t xml:space="preserve">particulier. Cette partie </w:t>
      </w:r>
      <w:r w:rsidR="00E823D7">
        <w:rPr>
          <w:lang w:val="fr-CH"/>
        </w:rPr>
        <w:t>se limitera donc à dresser un tableau concis des interprétations les plus communément proposées en inscrivant ces dernières, et le film dont il est question, dans leur contexte socio-historique.</w:t>
      </w:r>
    </w:p>
    <w:p w14:paraId="1BA77BE8" w14:textId="224688FD" w:rsidR="003553A5" w:rsidRDefault="00E823D7" w:rsidP="003553A5">
      <w:pPr>
        <w:pStyle w:val="Mmoire"/>
        <w:rPr>
          <w:lang w:val="fr-CH"/>
        </w:rPr>
      </w:pPr>
      <w:r>
        <w:rPr>
          <w:lang w:val="fr-CH"/>
        </w:rPr>
        <w:lastRenderedPageBreak/>
        <w:t xml:space="preserve"> </w:t>
      </w:r>
      <w:r w:rsidR="00DE0070">
        <w:rPr>
          <w:lang w:val="fr-CH"/>
        </w:rPr>
        <w:tab/>
      </w:r>
      <w:r w:rsidR="003D1B8D">
        <w:rPr>
          <w:lang w:val="fr-CH"/>
        </w:rPr>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w:t>
      </w:r>
      <w:r w:rsidR="00D834B2">
        <w:rPr>
          <w:lang w:val="fr-CH"/>
        </w:rPr>
        <w:t xml:space="preserve"> en 1967</w:t>
      </w:r>
      <w:r w:rsidR="003D1B8D">
        <w:rPr>
          <w:lang w:val="fr-CH"/>
        </w:rPr>
        <w:t>, ancrée dans une autre pratique de la critique, offre déjà quelques pistes de lecture quant au sens des « </w:t>
      </w:r>
      <w:proofErr w:type="spellStart"/>
      <w:r w:rsidR="003D1B8D">
        <w:rPr>
          <w:lang w:val="fr-CH"/>
        </w:rPr>
        <w:t>pod</w:t>
      </w:r>
      <w:proofErr w:type="spellEnd"/>
      <w:r w:rsidR="003D1B8D">
        <w:rPr>
          <w:lang w:val="fr-CH"/>
        </w:rPr>
        <w:t xml:space="preserve"> people » : </w:t>
      </w:r>
      <w:r w:rsidR="003812EF">
        <w:rPr>
          <w:lang w:val="fr-CH"/>
        </w:rPr>
        <w:t>une première parle d’une sorte de « hippies avant la date »</w:t>
      </w:r>
      <w:r w:rsidR="003812EF">
        <w:rPr>
          <w:rStyle w:val="FootnoteReference"/>
          <w:lang w:val="fr-CH"/>
        </w:rPr>
        <w:footnoteReference w:id="72"/>
      </w:r>
      <w:r w:rsidR="0022552E">
        <w:rPr>
          <w:lang w:val="fr-CH"/>
        </w:rPr>
        <w:t xml:space="preserve"> et</w:t>
      </w:r>
      <w:r w:rsidR="00626266">
        <w:rPr>
          <w:lang w:val="fr-CH"/>
        </w:rPr>
        <w:t xml:space="preserve"> une </w:t>
      </w:r>
      <w:r w:rsidR="0022552E">
        <w:rPr>
          <w:lang w:val="fr-CH"/>
        </w:rPr>
        <w:t>deuxième</w:t>
      </w:r>
      <w:r w:rsidR="00626266">
        <w:rPr>
          <w:lang w:val="fr-CH"/>
        </w:rPr>
        <w:t xml:space="preserve"> de « fascisme (le fascisme tuant l’individu en nous) »</w:t>
      </w:r>
      <w:r w:rsidR="00626266">
        <w:rPr>
          <w:rStyle w:val="FootnoteReference"/>
          <w:lang w:val="fr-CH"/>
        </w:rPr>
        <w:footnoteReference w:id="73"/>
      </w:r>
      <w:r w:rsidR="0022552E">
        <w:rPr>
          <w:lang w:val="fr-CH"/>
        </w:rPr>
        <w:t xml:space="preserve">. Dans les deux cas, les interprétations offertes </w:t>
      </w:r>
      <w:r w:rsidR="004279CD">
        <w:rPr>
          <w:lang w:val="fr-CH"/>
        </w:rPr>
        <w:t>sont anachroniques au contexte de réalisation du film (</w:t>
      </w:r>
      <w:r w:rsidR="00360B6A">
        <w:rPr>
          <w:lang w:val="fr-CH"/>
        </w:rPr>
        <w:t xml:space="preserve">la première </w:t>
      </w:r>
      <w:r w:rsidR="00C54747">
        <w:rPr>
          <w:lang w:val="fr-CH"/>
        </w:rPr>
        <w:t xml:space="preserve">attribuant au film un phénomène social apparu dans </w:t>
      </w:r>
      <w:r w:rsidR="00BF6D6C">
        <w:rPr>
          <w:lang w:val="fr-CH"/>
        </w:rPr>
        <w:t>le milieu</w:t>
      </w:r>
      <w:r w:rsidR="00C54747">
        <w:rPr>
          <w:lang w:val="fr-CH"/>
        </w:rPr>
        <w:t xml:space="preserve"> des années 1960</w:t>
      </w:r>
      <w:r w:rsidR="00BF6D6C">
        <w:rPr>
          <w:rStyle w:val="FootnoteReference"/>
          <w:lang w:val="fr-CH"/>
        </w:rPr>
        <w:footnoteReference w:id="74"/>
      </w:r>
      <w:r w:rsidR="00BF6D6C">
        <w:rPr>
          <w:lang w:val="fr-CH"/>
        </w:rPr>
        <w:t xml:space="preserve"> </w:t>
      </w:r>
      <w:r w:rsidR="00C54747">
        <w:rPr>
          <w:lang w:val="fr-CH"/>
        </w:rPr>
        <w:t xml:space="preserve">et la deuxième </w:t>
      </w:r>
      <w:r w:rsidR="00BF6D6C">
        <w:rPr>
          <w:lang w:val="fr-CH"/>
        </w:rPr>
        <w:t>y attachant un concept très vague du fascisme, qui trouve ses racines au début du XXème siècle et connaît son apogée immédiatement avant et durant la seconde Guerre Mondiale</w:t>
      </w:r>
      <w:r w:rsidR="00BF6D6C">
        <w:rPr>
          <w:rStyle w:val="FootnoteReference"/>
          <w:lang w:val="fr-CH"/>
        </w:rPr>
        <w:footnoteReference w:id="75"/>
      </w:r>
      <w:r w:rsidR="00AD153C">
        <w:rPr>
          <w:lang w:val="fr-CH"/>
        </w:rPr>
        <w:t xml:space="preserve">) et sont proposées sans grande justification. Dans toutes les critiques contemporaines aux sorties du film (anglophones et francophones), une seule fait mention du </w:t>
      </w:r>
      <w:r w:rsidR="00AD153C" w:rsidRPr="00AD153C">
        <w:rPr>
          <w:lang w:val="fr-CH"/>
        </w:rPr>
        <w:t>maccarthysme</w:t>
      </w:r>
      <w:r w:rsidR="0004743C">
        <w:rPr>
          <w:lang w:val="fr-CH"/>
        </w:rPr>
        <w:t> ;</w:t>
      </w:r>
      <w:r w:rsidR="00AD153C">
        <w:rPr>
          <w:lang w:val="fr-CH"/>
        </w:rPr>
        <w:t xml:space="preserve"> il s’agit de la critique française publiée dans l’Humanité</w:t>
      </w:r>
      <w:r w:rsidR="00AD153C">
        <w:rPr>
          <w:rStyle w:val="FootnoteReference"/>
          <w:lang w:val="fr-CH"/>
        </w:rPr>
        <w:footnoteReference w:id="76"/>
      </w:r>
      <w:r w:rsidR="0004743C">
        <w:rPr>
          <w:lang w:val="fr-CH"/>
        </w:rPr>
        <w:t xml:space="preserve"> qui décrit le contexte de production du film ainsi : « Réalisé aux Etats-Unis, il y a une douzaine d’années, immédiatement au bout du tunnel mac-carthyste »</w:t>
      </w:r>
      <w:r w:rsidR="0004743C">
        <w:rPr>
          <w:rStyle w:val="FootnoteReference"/>
          <w:lang w:val="fr-CH"/>
        </w:rPr>
        <w:footnoteReference w:id="77"/>
      </w:r>
      <w:r w:rsidR="007F20DF">
        <w:rPr>
          <w:lang w:val="fr-CH"/>
        </w:rPr>
        <w:t>. Cette description, qui de par l’affiliation politique de sa source assigne au maccarthysme une connotation négative</w:t>
      </w:r>
      <w:r w:rsidR="00230823">
        <w:rPr>
          <w:lang w:val="fr-CH"/>
        </w:rPr>
        <w:t xml:space="preserve"> de période sombre à traverser, évoque un élément clé du contexte socio-politique entourant la sortie du film sans pour autant en offrir un lien explicite dans l’interprétation du film.</w:t>
      </w:r>
      <w:r w:rsidR="00E74AF3">
        <w:rPr>
          <w:lang w:val="fr-CH"/>
        </w:rPr>
        <w:t xml:space="preserve"> </w:t>
      </w:r>
      <w:r w:rsidR="0092189B">
        <w:rPr>
          <w:lang w:val="fr-CH"/>
        </w:rPr>
        <w:t>Cette évocation préfigure pourtant une piste de lecture qui est centrale aux critiques ultérieures du film de Siegel (</w:t>
      </w:r>
      <w:r w:rsidR="004D6815">
        <w:rPr>
          <w:lang w:val="fr-CH"/>
        </w:rPr>
        <w:t xml:space="preserve">que l’on retrouve aussi bien dans de très courtes </w:t>
      </w:r>
      <w:r w:rsidR="004D6815">
        <w:rPr>
          <w:lang w:val="fr-CH"/>
        </w:rPr>
        <w:lastRenderedPageBreak/>
        <w:t>critiques</w:t>
      </w:r>
      <w:r w:rsidR="004D6815">
        <w:rPr>
          <w:rStyle w:val="FootnoteReference"/>
          <w:lang w:val="fr-CH"/>
        </w:rPr>
        <w:footnoteReference w:id="78"/>
      </w:r>
      <w:r w:rsidR="004D6815">
        <w:rPr>
          <w:lang w:val="fr-CH"/>
        </w:rPr>
        <w:t xml:space="preserve"> que dans des critiques plus longues</w:t>
      </w:r>
      <w:r w:rsidR="00E847B5">
        <w:rPr>
          <w:rStyle w:val="FootnoteReference"/>
          <w:lang w:val="fr-CH"/>
        </w:rPr>
        <w:footnoteReference w:id="79"/>
      </w:r>
      <w:r w:rsidR="00E847B5">
        <w:rPr>
          <w:lang w:val="fr-CH"/>
        </w:rPr>
        <w:t xml:space="preserve">) mais aussi dans les articles académiques </w:t>
      </w:r>
      <w:r w:rsidR="004E23D6">
        <w:rPr>
          <w:lang w:val="fr-CH"/>
        </w:rPr>
        <w:t>consacrés</w:t>
      </w:r>
      <w:r w:rsidR="00E847B5">
        <w:rPr>
          <w:lang w:val="fr-CH"/>
        </w:rPr>
        <w:t xml:space="preserve"> au film.</w:t>
      </w:r>
      <w:r w:rsidR="00734C51">
        <w:rPr>
          <w:lang w:val="fr-CH"/>
        </w:rPr>
        <w:t xml:space="preserve"> La relecture </w:t>
      </w:r>
      <w:proofErr w:type="gramStart"/>
      <w:r w:rsidR="00734C51">
        <w:rPr>
          <w:lang w:val="fr-CH"/>
        </w:rPr>
        <w:t xml:space="preserve">de </w:t>
      </w:r>
      <w:r w:rsidR="00734C51">
        <w:rPr>
          <w:i/>
          <w:lang w:val="fr-CH"/>
        </w:rPr>
        <w:t>Invasion</w:t>
      </w:r>
      <w:proofErr w:type="gramEnd"/>
      <w:r w:rsidR="00734C51">
        <w:rPr>
          <w:i/>
          <w:lang w:val="fr-CH"/>
        </w:rPr>
        <w:t xml:space="preserve"> of the Body Snatchers</w:t>
      </w:r>
      <w:r w:rsidR="00734C51">
        <w:rPr>
          <w:lang w:val="fr-CH"/>
        </w:rPr>
        <w:t xml:space="preserve"> comme une critique de son contexte socio-politique n’est pas unique et s’inscrit dans un contexte critique plus large de relecture des productions hollywoodiennes </w:t>
      </w:r>
      <w:r w:rsidR="00A047B8">
        <w:rPr>
          <w:lang w:val="fr-CH"/>
        </w:rPr>
        <w:t>à l’aune de la Guerre Froide amorcée par le texte séminal de Susan Sontag publié en 1965 : « </w:t>
      </w:r>
      <w:r w:rsidR="00A047B8" w:rsidRPr="00A047B8">
        <w:rPr>
          <w:lang w:val="en-US"/>
        </w:rPr>
        <w:t>The Imagination of Disaster </w:t>
      </w:r>
      <w:r w:rsidR="00A047B8">
        <w:rPr>
          <w:lang w:val="fr-CH"/>
        </w:rPr>
        <w:t>»</w:t>
      </w:r>
      <w:r w:rsidR="00A047B8">
        <w:rPr>
          <w:rStyle w:val="FootnoteReference"/>
          <w:lang w:val="fr-CH"/>
        </w:rPr>
        <w:footnoteReference w:id="80"/>
      </w:r>
      <w:r w:rsidR="003B03B9">
        <w:rPr>
          <w:lang w:val="fr-CH"/>
        </w:rPr>
        <w:t xml:space="preserve">. Dans cet essai, Sontag </w:t>
      </w:r>
      <w:r w:rsidR="001B7687">
        <w:rPr>
          <w:lang w:val="fr-CH"/>
        </w:rPr>
        <w:t xml:space="preserve">propose une analyse des schémas de la science-fiction </w:t>
      </w:r>
      <w:r w:rsidR="001E7675">
        <w:rPr>
          <w:lang w:val="fr-CH"/>
        </w:rPr>
        <w:t xml:space="preserve">qui révéleraient une imagination collective du désastre et illustreraient la perception d’un mode moderne déshumanisant. </w:t>
      </w:r>
      <w:r w:rsidR="001E7675" w:rsidRPr="001E7675">
        <w:rPr>
          <w:lang w:val="en-GB"/>
        </w:rPr>
        <w:t xml:space="preserve">Elle </w:t>
      </w:r>
      <w:proofErr w:type="spellStart"/>
      <w:r w:rsidR="001E7675" w:rsidRPr="001E7675">
        <w:rPr>
          <w:lang w:val="en-GB"/>
        </w:rPr>
        <w:t>postule</w:t>
      </w:r>
      <w:proofErr w:type="spellEnd"/>
      <w:r w:rsidR="001E7675" w:rsidRPr="001E7675">
        <w:rPr>
          <w:lang w:val="en-GB"/>
        </w:rPr>
        <w:t xml:space="preserve"> que « </w:t>
      </w:r>
      <w:r w:rsidR="001E7675" w:rsidRPr="00891450">
        <w:rPr>
          <w:lang w:val="en-US"/>
        </w:rPr>
        <w:t>Science fiction films are not about science. They are about disaster, which is one of the oldest subjects of all.</w:t>
      </w:r>
      <w:r w:rsidR="001E7675" w:rsidRPr="0082726C">
        <w:rPr>
          <w:lang w:val="fr-CH"/>
        </w:rPr>
        <w:t> »</w:t>
      </w:r>
      <w:r w:rsidR="001E7675">
        <w:rPr>
          <w:rStyle w:val="FootnoteReference"/>
          <w:lang w:val="en-GB"/>
        </w:rPr>
        <w:footnoteReference w:id="81"/>
      </w:r>
      <w:r w:rsidR="001E328D" w:rsidRPr="0082726C">
        <w:rPr>
          <w:lang w:val="fr-CH"/>
        </w:rPr>
        <w:t>,</w:t>
      </w:r>
      <w:r w:rsidR="001E328D" w:rsidRPr="00B22705">
        <w:rPr>
          <w:lang w:val="fr-CH"/>
        </w:rPr>
        <w:t xml:space="preserve"> afin de </w:t>
      </w:r>
      <w:r w:rsidR="00B22705">
        <w:rPr>
          <w:lang w:val="fr-CH"/>
        </w:rPr>
        <w:t xml:space="preserve">défendre son argument, elle se base sur une série de films de science-fiction produits dans les années 1950 et dans la première moitié de la </w:t>
      </w:r>
      <w:r w:rsidR="0082726C">
        <w:rPr>
          <w:lang w:val="fr-CH"/>
        </w:rPr>
        <w:t>décennie</w:t>
      </w:r>
      <w:r w:rsidR="00B22705">
        <w:rPr>
          <w:lang w:val="fr-CH"/>
        </w:rPr>
        <w:t xml:space="preserve"> suivante.</w:t>
      </w:r>
      <w:r w:rsidR="001E328D" w:rsidRPr="00B22705">
        <w:rPr>
          <w:lang w:val="fr-CH"/>
        </w:rPr>
        <w:t xml:space="preserve"> </w:t>
      </w:r>
      <w:r w:rsidR="004C6BE7">
        <w:rPr>
          <w:lang w:val="fr-CH"/>
        </w:rPr>
        <w:t xml:space="preserve">Le thème central de ces films serait la dépersonnalisation, </w:t>
      </w:r>
      <w:r w:rsidR="00317A04">
        <w:rPr>
          <w:lang w:val="fr-CH"/>
        </w:rPr>
        <w:t>souvent</w:t>
      </w:r>
      <w:r w:rsidR="004C6BE7">
        <w:rPr>
          <w:lang w:val="fr-CH"/>
        </w:rPr>
        <w:t xml:space="preserve"> </w:t>
      </w:r>
      <w:r w:rsidR="00317A04">
        <w:rPr>
          <w:lang w:val="fr-CH"/>
        </w:rPr>
        <w:t>signifiée</w:t>
      </w:r>
      <w:r w:rsidR="004C6BE7">
        <w:rPr>
          <w:lang w:val="fr-CH"/>
        </w:rPr>
        <w:t xml:space="preserve"> à l’écran par la présence d’un « autre » à l’écran (</w:t>
      </w:r>
      <w:r w:rsidR="00C5130A">
        <w:rPr>
          <w:lang w:val="fr-CH"/>
        </w:rPr>
        <w:t xml:space="preserve">dans le cas </w:t>
      </w:r>
      <w:proofErr w:type="gramStart"/>
      <w:r w:rsidR="00C5130A">
        <w:rPr>
          <w:lang w:val="fr-CH"/>
        </w:rPr>
        <w:t xml:space="preserve">de </w:t>
      </w:r>
      <w:r w:rsidR="00C5130A">
        <w:rPr>
          <w:i/>
          <w:lang w:val="fr-CH"/>
        </w:rPr>
        <w:t>Invasion</w:t>
      </w:r>
      <w:proofErr w:type="gramEnd"/>
      <w:r w:rsidR="00C5130A">
        <w:rPr>
          <w:i/>
          <w:lang w:val="fr-CH"/>
        </w:rPr>
        <w:t xml:space="preserve"> of the Body Snatchers</w:t>
      </w:r>
      <w:r w:rsidR="00C5130A">
        <w:rPr>
          <w:lang w:val="fr-CH"/>
        </w:rPr>
        <w:t>, d’un « </w:t>
      </w:r>
      <w:r w:rsidR="00C5130A" w:rsidRPr="003E64C0">
        <w:rPr>
          <w:lang w:val="en-US"/>
        </w:rPr>
        <w:t>regime of emotionlessness</w:t>
      </w:r>
      <w:r w:rsidR="00C5130A">
        <w:rPr>
          <w:lang w:val="fr-CH"/>
        </w:rPr>
        <w:t> »</w:t>
      </w:r>
      <w:r w:rsidR="00C5130A">
        <w:rPr>
          <w:rStyle w:val="FootnoteReference"/>
          <w:lang w:val="fr-CH"/>
        </w:rPr>
        <w:footnoteReference w:id="82"/>
      </w:r>
      <w:r w:rsidR="004C6BE7">
        <w:rPr>
          <w:lang w:val="fr-CH"/>
        </w:rPr>
        <w:t xml:space="preserve"> </w:t>
      </w:r>
      <w:r w:rsidR="00C7506F">
        <w:rPr>
          <w:lang w:val="fr-CH"/>
        </w:rPr>
        <w:t>composé de « </w:t>
      </w:r>
      <w:r w:rsidR="00C7506F" w:rsidRPr="003E64C0">
        <w:rPr>
          <w:lang w:val="en-US"/>
        </w:rPr>
        <w:t>unpersons </w:t>
      </w:r>
      <w:r w:rsidR="00C7506F">
        <w:rPr>
          <w:lang w:val="fr-CH"/>
        </w:rPr>
        <w:t>»</w:t>
      </w:r>
      <w:r w:rsidR="00C7506F">
        <w:rPr>
          <w:rStyle w:val="FootnoteReference"/>
          <w:lang w:val="fr-CH"/>
        </w:rPr>
        <w:footnoteReference w:id="83"/>
      </w:r>
      <w:r w:rsidR="008E7C4E">
        <w:rPr>
          <w:lang w:val="fr-CH"/>
        </w:rPr>
        <w:t xml:space="preserve">) </w:t>
      </w:r>
      <w:r w:rsidR="009437ED">
        <w:rPr>
          <w:lang w:val="fr-CH"/>
        </w:rPr>
        <w:t>censé refléter une condition humaine « </w:t>
      </w:r>
      <w:r w:rsidR="009437ED" w:rsidRPr="003E64C0">
        <w:rPr>
          <w:lang w:val="en-US"/>
        </w:rPr>
        <w:t xml:space="preserve">always </w:t>
      </w:r>
      <w:r w:rsidR="003E64C0" w:rsidRPr="003E64C0">
        <w:rPr>
          <w:lang w:val="en-US"/>
        </w:rPr>
        <w:t>perilously</w:t>
      </w:r>
      <w:r w:rsidR="009437ED" w:rsidRPr="003E64C0">
        <w:rPr>
          <w:lang w:val="en-US"/>
        </w:rPr>
        <w:t xml:space="preserve"> close to insanity </w:t>
      </w:r>
      <w:r w:rsidR="009437ED">
        <w:rPr>
          <w:lang w:val="fr-CH"/>
        </w:rPr>
        <w:t>»</w:t>
      </w:r>
      <w:r w:rsidR="009437ED">
        <w:rPr>
          <w:rStyle w:val="FootnoteReference"/>
          <w:lang w:val="fr-CH"/>
        </w:rPr>
        <w:footnoteReference w:id="84"/>
      </w:r>
      <w:r w:rsidR="009943DF">
        <w:rPr>
          <w:lang w:val="fr-CH"/>
        </w:rPr>
        <w:t>.</w:t>
      </w:r>
      <w:r w:rsidR="0015665C">
        <w:rPr>
          <w:lang w:val="fr-CH"/>
        </w:rPr>
        <w:t xml:space="preserve"> Si cette condition humaine n’est pas </w:t>
      </w:r>
      <w:r w:rsidR="00FE7437">
        <w:rPr>
          <w:lang w:val="fr-CH"/>
        </w:rPr>
        <w:t>exclusive à la période de Guerre Froide</w:t>
      </w:r>
      <w:r w:rsidR="00700856">
        <w:rPr>
          <w:lang w:val="fr-CH"/>
        </w:rPr>
        <w:t xml:space="preserve"> « </w:t>
      </w:r>
      <w:r w:rsidR="00700856" w:rsidRPr="003E64C0">
        <w:rPr>
          <w:lang w:val="en-US"/>
        </w:rPr>
        <w:t>from a psychological point of view </w:t>
      </w:r>
      <w:r w:rsidR="00700856">
        <w:rPr>
          <w:lang w:val="fr-CH"/>
        </w:rPr>
        <w:t>»</w:t>
      </w:r>
      <w:r w:rsidR="00700856">
        <w:rPr>
          <w:rStyle w:val="FootnoteReference"/>
          <w:lang w:val="fr-CH"/>
        </w:rPr>
        <w:footnoteReference w:id="85"/>
      </w:r>
      <w:r w:rsidR="001A6504">
        <w:rPr>
          <w:lang w:val="fr-CH"/>
        </w:rPr>
        <w:t xml:space="preserve">, </w:t>
      </w:r>
      <w:r w:rsidR="009A3715">
        <w:rPr>
          <w:lang w:val="fr-CH"/>
        </w:rPr>
        <w:t>elles le sont</w:t>
      </w:r>
      <w:r w:rsidR="001A6504">
        <w:rPr>
          <w:lang w:val="fr-CH"/>
        </w:rPr>
        <w:t xml:space="preserve"> d’un point de vue politique et moral</w:t>
      </w:r>
      <w:r w:rsidR="001A6504">
        <w:rPr>
          <w:rStyle w:val="FootnoteReference"/>
          <w:lang w:val="fr-CH"/>
        </w:rPr>
        <w:footnoteReference w:id="86"/>
      </w:r>
      <w:r w:rsidR="009A3715">
        <w:rPr>
          <w:lang w:val="fr-CH"/>
        </w:rPr>
        <w:t xml:space="preserve"> : la réponse de la société contemporaine à la rédaction du texte est, selon Sontag, </w:t>
      </w:r>
      <w:r w:rsidR="0061419D">
        <w:rPr>
          <w:lang w:val="fr-CH"/>
        </w:rPr>
        <w:t xml:space="preserve">inappropriée ; plutôt que de contribuer à révéler et à susciter la peur, la science-fiction en ferait que de la normaliser et d’en distraire. </w:t>
      </w:r>
      <w:r w:rsidR="000725F5">
        <w:rPr>
          <w:lang w:val="fr-CH"/>
        </w:rPr>
        <w:t xml:space="preserve">Si cette analyse effectuée par Sontag </w:t>
      </w:r>
      <w:r w:rsidR="00680AE3">
        <w:rPr>
          <w:lang w:val="fr-CH"/>
        </w:rPr>
        <w:t>est très générique</w:t>
      </w:r>
      <w:r w:rsidR="00680AE3">
        <w:rPr>
          <w:rStyle w:val="FootnoteReference"/>
          <w:lang w:val="fr-CH"/>
        </w:rPr>
        <w:footnoteReference w:id="87"/>
      </w:r>
      <w:r w:rsidR="00FC6DD0">
        <w:rPr>
          <w:lang w:val="fr-CH"/>
        </w:rPr>
        <w:t xml:space="preserve"> et concerne un corpus large de film quasiment contemporains à sa réaction, il démontre toutefois un intérêt pour le monde académique dans les liens qu’entretiennent films de série B</w:t>
      </w:r>
      <w:r w:rsidR="00FC6DD0">
        <w:rPr>
          <w:rStyle w:val="FootnoteReference"/>
          <w:lang w:val="fr-CH"/>
        </w:rPr>
        <w:footnoteReference w:id="88"/>
      </w:r>
      <w:r w:rsidR="00A14516">
        <w:rPr>
          <w:lang w:val="fr-CH"/>
        </w:rPr>
        <w:t xml:space="preserve"> avec leur contexte socio-culturel </w:t>
      </w:r>
      <w:r w:rsidR="00F975F9">
        <w:rPr>
          <w:lang w:val="fr-CH"/>
        </w:rPr>
        <w:t>complexe</w:t>
      </w:r>
      <w:r w:rsidR="00A14516">
        <w:rPr>
          <w:lang w:val="fr-CH"/>
        </w:rPr>
        <w:t xml:space="preserve"> que représente la Guerre Froide.</w:t>
      </w:r>
    </w:p>
    <w:p w14:paraId="05CDC234" w14:textId="1205D64A" w:rsidR="00A14516" w:rsidRPr="006F6062" w:rsidRDefault="00A14516" w:rsidP="00F24C6F">
      <w:pPr>
        <w:pStyle w:val="Mmoire"/>
        <w:rPr>
          <w:lang w:val="fr-CH"/>
        </w:rPr>
      </w:pPr>
      <w:r>
        <w:rPr>
          <w:lang w:val="fr-CH"/>
        </w:rPr>
        <w:lastRenderedPageBreak/>
        <w:tab/>
      </w:r>
      <w:r w:rsidR="00444D30" w:rsidRPr="00F24C6F">
        <w:rPr>
          <w:lang w:val="fr-CH"/>
        </w:rPr>
        <w:t xml:space="preserve">Dans </w:t>
      </w:r>
      <w:proofErr w:type="spellStart"/>
      <w:r w:rsidR="00444D30" w:rsidRPr="00F24C6F">
        <w:rPr>
          <w:i/>
          <w:lang w:val="fr-CH"/>
        </w:rPr>
        <w:t>Hollywood’s</w:t>
      </w:r>
      <w:proofErr w:type="spellEnd"/>
      <w:r w:rsidR="00444D30" w:rsidRPr="00F24C6F">
        <w:rPr>
          <w:i/>
          <w:lang w:val="fr-CH"/>
        </w:rPr>
        <w:t xml:space="preserve"> Cold </w:t>
      </w:r>
      <w:proofErr w:type="spellStart"/>
      <w:r w:rsidR="00444D30" w:rsidRPr="00F24C6F">
        <w:rPr>
          <w:i/>
          <w:lang w:val="fr-CH"/>
        </w:rPr>
        <w:t>War</w:t>
      </w:r>
      <w:proofErr w:type="spellEnd"/>
      <w:r w:rsidR="00444D30">
        <w:rPr>
          <w:rStyle w:val="FootnoteReference"/>
          <w:i/>
          <w:lang w:val="fr-CH"/>
        </w:rPr>
        <w:footnoteReference w:id="89"/>
      </w:r>
      <w:r w:rsidR="00444D30" w:rsidRPr="00F24C6F">
        <w:rPr>
          <w:lang w:val="fr-CH"/>
        </w:rPr>
        <w:t xml:space="preserve">, Tony Shaw </w:t>
      </w:r>
      <w:r w:rsidR="00F24C6F" w:rsidRPr="00F24C6F">
        <w:rPr>
          <w:lang w:val="fr-CH"/>
        </w:rPr>
        <w:t xml:space="preserve">retrace l’impact de la Guerre Froide </w:t>
      </w:r>
      <w:r w:rsidR="00F24C6F">
        <w:rPr>
          <w:lang w:val="fr-CH"/>
        </w:rPr>
        <w:t>sur Hollywood. Plutôt que de s’intéresser à l’analyse ou la récession des films, Shaw se concentre sur la politique des studios hollywoodiens et son impact sur la production</w:t>
      </w:r>
      <w:r w:rsidR="008806D3">
        <w:rPr>
          <w:lang w:val="fr-CH"/>
        </w:rPr>
        <w:t xml:space="preserve"> et la diffusion</w:t>
      </w:r>
      <w:r w:rsidR="00F24C6F">
        <w:rPr>
          <w:lang w:val="fr-CH"/>
        </w:rPr>
        <w:t xml:space="preserve"> des films. </w:t>
      </w:r>
      <w:r w:rsidR="00064452">
        <w:rPr>
          <w:lang w:val="fr-CH"/>
        </w:rPr>
        <w:t>Il attribue au cinéma hollywoodien une tendance à « </w:t>
      </w:r>
      <w:r w:rsidR="006A46AA" w:rsidRPr="006A46AA">
        <w:rPr>
          <w:lang w:val="en-US"/>
        </w:rPr>
        <w:t>raising social issues yet containing them in a satisfactory bourgeois resolutions</w:t>
      </w:r>
      <w:r w:rsidR="006A46AA">
        <w:rPr>
          <w:lang w:val="fr-CH"/>
        </w:rPr>
        <w:t> »</w:t>
      </w:r>
      <w:r w:rsidR="006A46AA">
        <w:rPr>
          <w:rStyle w:val="FootnoteReference"/>
          <w:lang w:val="fr-CH"/>
        </w:rPr>
        <w:footnoteReference w:id="90"/>
      </w:r>
      <w:r w:rsidR="00AC4BB5">
        <w:rPr>
          <w:lang w:val="fr-CH"/>
        </w:rPr>
        <w:t xml:space="preserve"> réconfortant le système capitaliste libéral américain.</w:t>
      </w:r>
      <w:r w:rsidR="001373A0">
        <w:rPr>
          <w:lang w:val="fr-CH"/>
        </w:rPr>
        <w:t xml:space="preserve"> Cette tendance n’est pourtant pas le fruit d’une entente collective, mais d’une politique intentionnellement pratiquée par les studios. Dès la fin de la seconde Guerre Mondiale</w:t>
      </w:r>
      <w:r w:rsidR="001373A0">
        <w:rPr>
          <w:rStyle w:val="FootnoteReference"/>
          <w:lang w:val="fr-CH"/>
        </w:rPr>
        <w:footnoteReference w:id="91"/>
      </w:r>
      <w:r w:rsidR="0042563E">
        <w:rPr>
          <w:lang w:val="fr-CH"/>
        </w:rPr>
        <w:t xml:space="preserve">, le grand écart idéologique provoqué par une guerre ayant permis à deux puissances aux idéologies radicalement opposées d’émerger, s’avère problématique pour certains décideurs Hollywoodiens. </w:t>
      </w:r>
      <w:r w:rsidR="0042563E" w:rsidRPr="006F6062">
        <w:rPr>
          <w:lang w:val="fr-CH"/>
        </w:rPr>
        <w:t xml:space="preserve">En 1948, </w:t>
      </w:r>
      <w:r w:rsidR="00D02990" w:rsidRPr="006F6062">
        <w:rPr>
          <w:lang w:val="fr-CH"/>
        </w:rPr>
        <w:t xml:space="preserve">la </w:t>
      </w:r>
      <w:r w:rsidR="00D02990" w:rsidRPr="00082892">
        <w:rPr>
          <w:lang w:val="en-US"/>
        </w:rPr>
        <w:t>Motion Picture Alliance for the Preservation of American Ideals</w:t>
      </w:r>
      <w:r w:rsidR="00D02990">
        <w:rPr>
          <w:rStyle w:val="FootnoteReference"/>
          <w:lang w:val="en-GB"/>
        </w:rPr>
        <w:footnoteReference w:id="92"/>
      </w:r>
      <w:r w:rsidR="00D02990" w:rsidRPr="006F6062">
        <w:rPr>
          <w:lang w:val="fr-CH"/>
        </w:rPr>
        <w:t xml:space="preserve"> (MPA)</w:t>
      </w:r>
      <w:r w:rsidR="004C7DB0" w:rsidRPr="006F6062">
        <w:rPr>
          <w:lang w:val="fr-CH"/>
        </w:rPr>
        <w:t xml:space="preserve"> </w:t>
      </w:r>
      <w:r w:rsidR="004C7DB0" w:rsidRPr="004C7DB0">
        <w:rPr>
          <w:lang w:val="fr-CH"/>
        </w:rPr>
        <w:t>édite un livret intitul</w:t>
      </w:r>
      <w:r w:rsidR="004C7DB0">
        <w:rPr>
          <w:lang w:val="fr-CH"/>
        </w:rPr>
        <w:t>é « </w:t>
      </w:r>
      <w:r w:rsidR="004C7DB0" w:rsidRPr="00082892">
        <w:rPr>
          <w:lang w:val="en-US"/>
        </w:rPr>
        <w:t>A Screen Guide for Americans </w:t>
      </w:r>
      <w:r w:rsidR="004C7DB0">
        <w:rPr>
          <w:lang w:val="fr-CH"/>
        </w:rPr>
        <w:t>»</w:t>
      </w:r>
      <w:r w:rsidR="004C7DB0">
        <w:rPr>
          <w:rStyle w:val="FootnoteReference"/>
          <w:lang w:val="fr-CH"/>
        </w:rPr>
        <w:footnoteReference w:id="93"/>
      </w:r>
      <w:r w:rsidR="006F6062">
        <w:rPr>
          <w:lang w:val="fr-CH"/>
        </w:rPr>
        <w:t xml:space="preserve"> destiné aux studios et les mettant en garde contre la diffamation du système de libre entreprise et la </w:t>
      </w:r>
      <w:r w:rsidR="0079569E">
        <w:rPr>
          <w:lang w:val="fr-CH"/>
        </w:rPr>
        <w:t>déification</w:t>
      </w:r>
      <w:r w:rsidR="006F6062">
        <w:rPr>
          <w:lang w:val="fr-CH"/>
        </w:rPr>
        <w:t xml:space="preserve"> de l’homme ordinaire.</w:t>
      </w:r>
      <w:r w:rsidR="009C57A5">
        <w:rPr>
          <w:lang w:val="fr-CH"/>
        </w:rPr>
        <w:t xml:space="preserve"> Cette démarche </w:t>
      </w:r>
      <w:r w:rsidR="0075790B">
        <w:rPr>
          <w:lang w:val="fr-CH"/>
        </w:rPr>
        <w:t xml:space="preserve">limitée à l’industrie cinématographique s’inscrit dans un ensemble plus vaste de mouvements similaires, dont l’épitomé est incarné par le maccarthysme. </w:t>
      </w:r>
      <w:r w:rsidR="002E2A84">
        <w:rPr>
          <w:lang w:val="fr-CH"/>
        </w:rPr>
        <w:t>Le Petit Robert (</w:t>
      </w:r>
      <w:r w:rsidR="00D06E05">
        <w:rPr>
          <w:lang w:val="fr-CH"/>
        </w:rPr>
        <w:t>édition 2012) définit le maccarthysme comme « Politique de délation et de persécution menée aux Etats-Unis dans les années 50 contre les personnalités taxées de sympathies communistes (cf. Chasse aux sorcières) »</w:t>
      </w:r>
      <w:r w:rsidR="00FE2C1C">
        <w:rPr>
          <w:lang w:val="fr-CH"/>
        </w:rPr>
        <w:t>. Bien que la chasse aux communistes par le gouvernement fédéral américain ait officiellement débutée en 1938</w:t>
      </w:r>
      <w:r w:rsidR="000D6B0D">
        <w:rPr>
          <w:lang w:val="fr-CH"/>
        </w:rPr>
        <w:t xml:space="preserve"> avec la création du « </w:t>
      </w:r>
      <w:r w:rsidR="000D6B0D" w:rsidRPr="00082892">
        <w:rPr>
          <w:lang w:val="en-US"/>
        </w:rPr>
        <w:t xml:space="preserve">House </w:t>
      </w:r>
      <w:r w:rsidR="00082892" w:rsidRPr="00082892">
        <w:rPr>
          <w:lang w:val="en-US"/>
        </w:rPr>
        <w:t>Committee</w:t>
      </w:r>
      <w:r w:rsidR="000D6B0D" w:rsidRPr="00082892">
        <w:rPr>
          <w:lang w:val="en-US"/>
        </w:rPr>
        <w:t xml:space="preserve"> on Un-American Activities </w:t>
      </w:r>
      <w:r w:rsidR="000D6B0D">
        <w:rPr>
          <w:lang w:val="fr-CH"/>
        </w:rPr>
        <w:t>»</w:t>
      </w:r>
      <w:r w:rsidR="000D6B0D">
        <w:rPr>
          <w:rStyle w:val="FootnoteReference"/>
          <w:lang w:val="fr-CH"/>
        </w:rPr>
        <w:footnoteReference w:id="94"/>
      </w:r>
      <w:r w:rsidR="000D6B0D">
        <w:rPr>
          <w:lang w:val="fr-CH"/>
        </w:rPr>
        <w:t xml:space="preserve"> (HUAC)</w:t>
      </w:r>
      <w:r w:rsidR="00331356">
        <w:rPr>
          <w:lang w:val="fr-CH"/>
        </w:rPr>
        <w:t xml:space="preserve"> chargé d’enquêter sur les groupes aux activités concernées comme « non américaines »</w:t>
      </w:r>
      <w:r w:rsidR="00331356">
        <w:rPr>
          <w:rStyle w:val="FootnoteReference"/>
          <w:lang w:val="fr-CH"/>
        </w:rPr>
        <w:footnoteReference w:id="95"/>
      </w:r>
      <w:r w:rsidR="00D524D1">
        <w:rPr>
          <w:lang w:val="fr-CH"/>
        </w:rPr>
        <w:t xml:space="preserve"> ; et, bien que son nom soit à terme devenu l’adjectif signifiant les chasses aux sorcières politiques, le sénateur Joseph McCarthy n’a jamais été membre de cette organe gouvernemental officiel. </w:t>
      </w:r>
      <w:bookmarkStart w:id="0" w:name="_GoBack"/>
      <w:bookmarkEnd w:id="0"/>
    </w:p>
    <w:sectPr w:rsidR="00A14516" w:rsidRPr="006F6062"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55555" w14:textId="77777777" w:rsidR="008B2A9C" w:rsidRDefault="008B2A9C" w:rsidP="00173138">
      <w:r>
        <w:separator/>
      </w:r>
    </w:p>
  </w:endnote>
  <w:endnote w:type="continuationSeparator" w:id="0">
    <w:p w14:paraId="24E785A7" w14:textId="77777777" w:rsidR="008B2A9C" w:rsidRDefault="008B2A9C"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E19B7" w:rsidRDefault="005E19B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E19B7" w:rsidRDefault="005E19B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E19B7" w:rsidRPr="00A50EFA" w:rsidRDefault="005E19B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82892">
      <w:rPr>
        <w:rStyle w:val="PageNumber"/>
        <w:noProof/>
        <w:sz w:val="22"/>
      </w:rPr>
      <w:t>11</w:t>
    </w:r>
    <w:r w:rsidRPr="00A50EFA">
      <w:rPr>
        <w:rStyle w:val="PageNumber"/>
        <w:sz w:val="22"/>
      </w:rPr>
      <w:fldChar w:fldCharType="end"/>
    </w:r>
  </w:p>
  <w:p w14:paraId="6A6EF380" w14:textId="77777777" w:rsidR="005E19B7" w:rsidRDefault="005E19B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4858F" w14:textId="77777777" w:rsidR="008B2A9C" w:rsidRDefault="008B2A9C" w:rsidP="00173138">
      <w:r>
        <w:separator/>
      </w:r>
    </w:p>
  </w:footnote>
  <w:footnote w:type="continuationSeparator" w:id="0">
    <w:p w14:paraId="4EC9C643" w14:textId="77777777" w:rsidR="008B2A9C" w:rsidRDefault="008B2A9C" w:rsidP="00173138">
      <w:r>
        <w:continuationSeparator/>
      </w:r>
    </w:p>
  </w:footnote>
  <w:footnote w:id="1">
    <w:p w14:paraId="3F5D2513" w14:textId="06F2428C" w:rsidR="005E19B7" w:rsidRPr="00611886" w:rsidRDefault="005E19B7">
      <w:pPr>
        <w:pStyle w:val="FootnoteText"/>
        <w:rPr>
          <w:lang w:val="fr-CH"/>
        </w:rPr>
      </w:pPr>
      <w:r>
        <w:rPr>
          <w:rStyle w:val="FootnoteReference"/>
        </w:rPr>
        <w:footnoteRef/>
      </w:r>
      <w:r>
        <w:t xml:space="preserve"> La présence de critiques issues de la revue hebdomadaire éditée par la BFI </w:t>
      </w:r>
      <w:proofErr w:type="spellStart"/>
      <w:r>
        <w:rPr>
          <w:i/>
        </w:rPr>
        <w:t>Sight</w:t>
      </w:r>
      <w:proofErr w:type="spellEnd"/>
      <w:r>
        <w:rPr>
          <w:i/>
        </w:rPr>
        <w:t xml:space="preserve"> &amp; Sound</w:t>
      </w:r>
      <w:r>
        <w:t xml:space="preserve"> ou du trimestriel </w:t>
      </w:r>
      <w:r>
        <w:rPr>
          <w:i/>
        </w:rPr>
        <w:t>Cinéaste</w:t>
      </w:r>
      <w:r>
        <w:t xml:space="preserve"> pour les films de 1956, 1978 et 1993 font exception à cette règle.</w:t>
      </w:r>
    </w:p>
  </w:footnote>
  <w:footnote w:id="2">
    <w:p w14:paraId="0D4D19F5" w14:textId="094CDC2C" w:rsidR="005E19B7" w:rsidRPr="00781EA5" w:rsidRDefault="005E19B7">
      <w:pPr>
        <w:pStyle w:val="FootnoteText"/>
        <w:rPr>
          <w:lang w:val="en-GB"/>
        </w:rPr>
      </w:pPr>
      <w:r>
        <w:rPr>
          <w:rStyle w:val="FootnoteReference"/>
        </w:rPr>
        <w:footnoteRef/>
      </w:r>
      <w:r w:rsidRPr="00781EA5">
        <w:rPr>
          <w:lang w:val="en-GB"/>
        </w:rPr>
        <w:t xml:space="preserve"> </w:t>
      </w:r>
      <w:proofErr w:type="spellStart"/>
      <w:r w:rsidRPr="00781EA5">
        <w:rPr>
          <w:lang w:val="en-GB"/>
        </w:rPr>
        <w:t>Ou</w:t>
      </w:r>
      <w:proofErr w:type="spellEnd"/>
      <w:r w:rsidRPr="00781EA5">
        <w:rPr>
          <w:lang w:val="en-GB"/>
        </w:rPr>
        <w:t xml:space="preserve"> </w:t>
      </w:r>
      <w:proofErr w:type="spellStart"/>
      <w:r w:rsidRPr="00781EA5">
        <w:rPr>
          <w:lang w:val="en-GB"/>
        </w:rPr>
        <w:t>une</w:t>
      </w:r>
      <w:proofErr w:type="spellEnd"/>
      <w:r w:rsidRPr="00781EA5">
        <w:rPr>
          <w:lang w:val="en-GB"/>
        </w:rPr>
        <w:t xml:space="preserve"> excuse pour.</w:t>
      </w:r>
    </w:p>
  </w:footnote>
  <w:footnote w:id="3">
    <w:p w14:paraId="0A3B071E" w14:textId="7BC6F697"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462589ED" w14:textId="231448D5" w:rsidR="005E19B7" w:rsidRPr="00781EA5" w:rsidRDefault="005E19B7">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25FF3E9A" w14:textId="4AB9E896"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xml:space="preserve">, Duncan, </w:t>
      </w:r>
      <w:proofErr w:type="spellStart"/>
      <w:r w:rsidRPr="00781EA5">
        <w:rPr>
          <w:lang w:val="en-GB"/>
        </w:rPr>
        <w:t>BearManor</w:t>
      </w:r>
      <w:proofErr w:type="spellEnd"/>
      <w:r w:rsidRPr="00781EA5">
        <w:rPr>
          <w:lang w:val="en-GB"/>
        </w:rPr>
        <w:t>, 2012.</w:t>
      </w:r>
    </w:p>
  </w:footnote>
  <w:footnote w:id="6">
    <w:p w14:paraId="65259609" w14:textId="51B1D18C"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D4BA1D6" w14:textId="55875141" w:rsidR="005E19B7" w:rsidRPr="007D7652" w:rsidRDefault="005E19B7">
      <w:pPr>
        <w:pStyle w:val="FootnoteText"/>
        <w:rPr>
          <w:lang w:val="fr-CH"/>
        </w:rPr>
      </w:pPr>
      <w:r>
        <w:rPr>
          <w:rStyle w:val="FootnoteReference"/>
        </w:rPr>
        <w:footnoteRef/>
      </w:r>
      <w:r>
        <w:t xml:space="preserve"> </w:t>
      </w:r>
      <w:r>
        <w:rPr>
          <w:lang w:val="fr-CH"/>
        </w:rPr>
        <w:t>Producteur de la version 1956.</w:t>
      </w:r>
    </w:p>
  </w:footnote>
  <w:footnote w:id="8">
    <w:p w14:paraId="69180A08" w14:textId="31C392EC" w:rsidR="005E19B7" w:rsidRPr="0000607A" w:rsidRDefault="005E19B7">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 xml:space="preserve">op. </w:t>
      </w:r>
      <w:proofErr w:type="spellStart"/>
      <w:proofErr w:type="gramStart"/>
      <w:r w:rsidRPr="00781EA5">
        <w:rPr>
          <w:i/>
          <w:szCs w:val="20"/>
          <w:lang w:val="fr-CH"/>
        </w:rPr>
        <w:t>cit</w:t>
      </w:r>
      <w:proofErr w:type="spellEnd"/>
      <w:proofErr w:type="gramEnd"/>
      <w:r w:rsidRPr="00781EA5">
        <w:rPr>
          <w:i/>
          <w:szCs w:val="20"/>
          <w:lang w:val="fr-CH"/>
        </w:rPr>
        <w:t>.</w:t>
      </w:r>
      <w:r w:rsidRPr="00781EA5">
        <w:rPr>
          <w:szCs w:val="20"/>
          <w:lang w:val="fr-CH"/>
        </w:rPr>
        <w:t>, p .163.</w:t>
      </w:r>
    </w:p>
  </w:footnote>
  <w:footnote w:id="9">
    <w:p w14:paraId="560F38A7" w14:textId="4C921DCD"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.163</w:t>
      </w:r>
    </w:p>
  </w:footnote>
  <w:footnote w:id="10">
    <w:p w14:paraId="23A97179" w14:textId="04F411C9"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xml:space="preserve">, p. </w:t>
      </w:r>
      <w:proofErr w:type="gramStart"/>
      <w:r>
        <w:rPr>
          <w:szCs w:val="20"/>
          <w:lang w:val="en-US"/>
        </w:rPr>
        <w:t>163 ;</w:t>
      </w:r>
      <w:proofErr w:type="gramEnd"/>
      <w:r>
        <w:rPr>
          <w:szCs w:val="20"/>
          <w:lang w:val="en-US"/>
        </w:rPr>
        <w:t xml:space="preserve"> </w:t>
      </w:r>
      <w:r w:rsidRPr="00781EA5">
        <w:rPr>
          <w:lang w:val="en-GB"/>
        </w:rPr>
        <w:t xml:space="preserve">Mark Thomas McGee, </w:t>
      </w:r>
      <w:r w:rsidRPr="00781EA5">
        <w:rPr>
          <w:i/>
          <w:lang w:val="en-GB"/>
        </w:rPr>
        <w:t>op. cit.</w:t>
      </w:r>
      <w:r w:rsidRPr="00781EA5">
        <w:rPr>
          <w:lang w:val="en-GB"/>
        </w:rPr>
        <w:t xml:space="preserve">, p. 163 ; Arthur </w:t>
      </w:r>
      <w:proofErr w:type="spellStart"/>
      <w:r w:rsidRPr="00781EA5">
        <w:rPr>
          <w:lang w:val="en-GB"/>
        </w:rPr>
        <w:t>LeGacy</w:t>
      </w:r>
      <w:proofErr w:type="spellEnd"/>
      <w:r w:rsidRPr="00781EA5">
        <w:rPr>
          <w:lang w:val="en-GB"/>
        </w:rPr>
        <w:t xml:space="preserve">, « The Invasion of the Body Snatchers: A Metaphor for the Fifties », </w:t>
      </w:r>
      <w:proofErr w:type="spellStart"/>
      <w:r w:rsidRPr="00781EA5">
        <w:rPr>
          <w:i/>
          <w:lang w:val="en-GB"/>
        </w:rPr>
        <w:t>Litterature</w:t>
      </w:r>
      <w:proofErr w:type="spellEnd"/>
      <w:r w:rsidRPr="00781EA5">
        <w:rPr>
          <w:i/>
          <w:lang w:val="en-GB"/>
        </w:rPr>
        <w:t>/Film Quarterly</w:t>
      </w:r>
      <w:r w:rsidRPr="00781EA5">
        <w:rPr>
          <w:lang w:val="en-GB"/>
        </w:rPr>
        <w:t xml:space="preserve">, Vol. 6, No. 3, </w:t>
      </w:r>
      <w:proofErr w:type="spellStart"/>
      <w:r w:rsidRPr="00781EA5">
        <w:rPr>
          <w:lang w:val="en-GB"/>
        </w:rPr>
        <w:t>été</w:t>
      </w:r>
      <w:proofErr w:type="spellEnd"/>
      <w:r w:rsidRPr="00781EA5">
        <w:rPr>
          <w:lang w:val="en-GB"/>
        </w:rPr>
        <w:t xml:space="preserve"> 1978, p. 286.</w:t>
      </w:r>
    </w:p>
  </w:footnote>
  <w:footnote w:id="11">
    <w:p w14:paraId="0D550CCD" w14:textId="7E287901" w:rsidR="005E19B7" w:rsidRPr="00781EA5" w:rsidRDefault="005E19B7">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1EE60664" w14:textId="23244908" w:rsidR="005E19B7" w:rsidRPr="004C1431" w:rsidRDefault="005E19B7">
      <w:pPr>
        <w:pStyle w:val="FootnoteText"/>
        <w:rPr>
          <w:lang w:val="fr-CH"/>
        </w:rPr>
      </w:pPr>
      <w:r>
        <w:rPr>
          <w:rStyle w:val="FootnoteReference"/>
        </w:rPr>
        <w:footnoteRef/>
      </w:r>
      <w:r>
        <w:t xml:space="preserve"> </w:t>
      </w:r>
      <w:proofErr w:type="spellStart"/>
      <w:r>
        <w:rPr>
          <w:i/>
          <w:lang w:val="fr-CH"/>
        </w:rPr>
        <w:t>Riot</w:t>
      </w:r>
      <w:proofErr w:type="spellEnd"/>
      <w:r>
        <w:rPr>
          <w:i/>
          <w:lang w:val="fr-CH"/>
        </w:rPr>
        <w:t xml:space="preserve"> in </w:t>
      </w:r>
      <w:proofErr w:type="spellStart"/>
      <w:r>
        <w:rPr>
          <w:i/>
          <w:lang w:val="fr-CH"/>
        </w:rPr>
        <w:t>Cell</w:t>
      </w:r>
      <w:proofErr w:type="spellEnd"/>
      <w:r>
        <w:rPr>
          <w:i/>
          <w:lang w:val="fr-CH"/>
        </w:rPr>
        <w:t xml:space="preserve"> Block 11 (</w:t>
      </w:r>
      <w:r w:rsidRPr="004C1431">
        <w:rPr>
          <w:i/>
          <w:lang w:val="fr-CH"/>
        </w:rPr>
        <w:t>Les Révoltés de la cellule 11</w:t>
      </w:r>
      <w:r>
        <w:rPr>
          <w:lang w:val="fr-CH"/>
        </w:rPr>
        <w:t>, Don Siegel, 1954).</w:t>
      </w:r>
    </w:p>
  </w:footnote>
  <w:footnote w:id="13">
    <w:p w14:paraId="0C686DEA" w14:textId="331E1F94" w:rsidR="005E19B7" w:rsidRPr="00781EA5" w:rsidRDefault="005E19B7">
      <w:pPr>
        <w:pStyle w:val="FootnoteText"/>
        <w:rPr>
          <w:lang w:val="en-GB"/>
        </w:rPr>
      </w:pPr>
      <w:r>
        <w:rPr>
          <w:rStyle w:val="FootnoteReference"/>
        </w:rPr>
        <w:footnoteRef/>
      </w:r>
      <w:r w:rsidRPr="00781EA5">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.161.</w:t>
      </w:r>
    </w:p>
  </w:footnote>
  <w:footnote w:id="14">
    <w:p w14:paraId="523F5948" w14:textId="6924B2FC" w:rsidR="005E19B7" w:rsidRPr="00781EA5" w:rsidRDefault="005E19B7">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295EED7E" w14:textId="27AB7D69" w:rsidR="005E19B7" w:rsidRPr="00781EA5" w:rsidRDefault="005E19B7">
      <w:pPr>
        <w:pStyle w:val="FootnoteText"/>
        <w:rPr>
          <w:lang w:val="en-GB"/>
        </w:rPr>
      </w:pPr>
      <w:r>
        <w:rPr>
          <w:rStyle w:val="FootnoteReference"/>
        </w:rPr>
        <w:footnoteRef/>
      </w:r>
      <w:r w:rsidRPr="00781EA5">
        <w:rPr>
          <w:lang w:val="en-GB"/>
        </w:rPr>
        <w:t xml:space="preserve"> Les critiques </w:t>
      </w:r>
      <w:proofErr w:type="spellStart"/>
      <w:r w:rsidRPr="00781EA5">
        <w:rPr>
          <w:lang w:val="en-GB"/>
        </w:rPr>
        <w:t>parues</w:t>
      </w:r>
      <w:proofErr w:type="spellEnd"/>
      <w:r w:rsidRPr="00781EA5">
        <w:rPr>
          <w:lang w:val="en-GB"/>
        </w:rPr>
        <w:t xml:space="preserve"> </w:t>
      </w:r>
      <w:proofErr w:type="spellStart"/>
      <w:r w:rsidRPr="00781EA5">
        <w:rPr>
          <w:lang w:val="en-GB"/>
        </w:rPr>
        <w:t>dans</w:t>
      </w:r>
      <w:proofErr w:type="spellEnd"/>
      <w:r w:rsidRPr="00781EA5">
        <w:rPr>
          <w:lang w:val="en-GB"/>
        </w:rPr>
        <w:t xml:space="preserve"> les revues </w:t>
      </w:r>
      <w:proofErr w:type="spellStart"/>
      <w:r w:rsidRPr="00781EA5">
        <w:rPr>
          <w:lang w:val="en-GB"/>
        </w:rPr>
        <w:t>corporatives</w:t>
      </w:r>
      <w:proofErr w:type="spellEnd"/>
      <w:r w:rsidRPr="00781EA5">
        <w:rPr>
          <w:lang w:val="en-GB"/>
        </w:rPr>
        <w:t xml:space="preserve">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w:t>
      </w:r>
      <w:proofErr w:type="spellStart"/>
      <w:r w:rsidRPr="00781EA5">
        <w:rPr>
          <w:lang w:val="en-GB"/>
        </w:rPr>
        <w:t>étant</w:t>
      </w:r>
      <w:proofErr w:type="spellEnd"/>
      <w:r w:rsidRPr="00781EA5">
        <w:rPr>
          <w:lang w:val="en-GB"/>
        </w:rPr>
        <w:t xml:space="preserve"> par </w:t>
      </w:r>
      <w:proofErr w:type="spellStart"/>
      <w:r w:rsidRPr="00781EA5">
        <w:rPr>
          <w:lang w:val="en-GB"/>
        </w:rPr>
        <w:t>exemple</w:t>
      </w:r>
      <w:proofErr w:type="spellEnd"/>
      <w:r w:rsidRPr="00781EA5">
        <w:rPr>
          <w:lang w:val="en-GB"/>
        </w:rPr>
        <w:t xml:space="preserve"> </w:t>
      </w:r>
      <w:proofErr w:type="spellStart"/>
      <w:r w:rsidRPr="00781EA5">
        <w:rPr>
          <w:lang w:val="en-GB"/>
        </w:rPr>
        <w:t>datées</w:t>
      </w:r>
      <w:proofErr w:type="spellEnd"/>
      <w:r w:rsidRPr="00781EA5">
        <w:rPr>
          <w:lang w:val="en-GB"/>
        </w:rPr>
        <w:t xml:space="preserve"> du 31 </w:t>
      </w:r>
      <w:proofErr w:type="spellStart"/>
      <w:r w:rsidRPr="00781EA5">
        <w:rPr>
          <w:lang w:val="en-GB"/>
        </w:rPr>
        <w:t>décembre</w:t>
      </w:r>
      <w:proofErr w:type="spellEnd"/>
      <w:r w:rsidRPr="00781EA5">
        <w:rPr>
          <w:lang w:val="en-GB"/>
        </w:rPr>
        <w:t xml:space="preserve"> 1955 et 1</w:t>
      </w:r>
      <w:r w:rsidRPr="00781EA5">
        <w:rPr>
          <w:vertAlign w:val="superscript"/>
          <w:lang w:val="en-GB"/>
        </w:rPr>
        <w:t>er</w:t>
      </w:r>
      <w:r w:rsidRPr="00781EA5">
        <w:rPr>
          <w:lang w:val="en-GB"/>
        </w:rPr>
        <w:t xml:space="preserve"> </w:t>
      </w:r>
      <w:proofErr w:type="spellStart"/>
      <w:r w:rsidRPr="00781EA5">
        <w:rPr>
          <w:lang w:val="en-GB"/>
        </w:rPr>
        <w:t>janvier</w:t>
      </w:r>
      <w:proofErr w:type="spellEnd"/>
      <w:r w:rsidRPr="00781EA5">
        <w:rPr>
          <w:lang w:val="en-GB"/>
        </w:rPr>
        <w:t xml:space="preserve"> 1956, </w:t>
      </w:r>
      <w:proofErr w:type="spellStart"/>
      <w:proofErr w:type="gramStart"/>
      <w:r w:rsidRPr="00781EA5">
        <w:rPr>
          <w:lang w:val="en-GB"/>
        </w:rPr>
        <w:t>respectivement</w:t>
      </w:r>
      <w:proofErr w:type="spellEnd"/>
      <w:r w:rsidRPr="00781EA5">
        <w:rPr>
          <w:lang w:val="en-GB"/>
        </w:rPr>
        <w:t> ;</w:t>
      </w:r>
      <w:proofErr w:type="gramEnd"/>
      <w:r w:rsidRPr="00781EA5">
        <w:rPr>
          <w:lang w:val="en-GB"/>
        </w:rPr>
        <w:t xml:space="preserve"> –, « Review : ‘Invasion of the Body Snatchers’ », </w:t>
      </w:r>
      <w:r w:rsidRPr="00781EA5">
        <w:rPr>
          <w:i/>
          <w:lang w:val="en-GB"/>
        </w:rPr>
        <w:t>Variety</w:t>
      </w:r>
      <w:r w:rsidRPr="00781EA5">
        <w:rPr>
          <w:lang w:val="en-GB"/>
        </w:rPr>
        <w:t xml:space="preserve">, 31 </w:t>
      </w:r>
      <w:proofErr w:type="spellStart"/>
      <w:r w:rsidRPr="00781EA5">
        <w:rPr>
          <w:lang w:val="en-GB"/>
        </w:rPr>
        <w:t>décembre</w:t>
      </w:r>
      <w:proofErr w:type="spellEnd"/>
      <w:r w:rsidRPr="00781EA5">
        <w:rPr>
          <w:lang w:val="en-GB"/>
        </w:rPr>
        <w:t xml:space="preserve"> 1955 ; Derek </w:t>
      </w:r>
      <w:proofErr w:type="spellStart"/>
      <w:r w:rsidRPr="00781EA5">
        <w:rPr>
          <w:lang w:val="en-GB"/>
        </w:rPr>
        <w:t>Prouse</w:t>
      </w:r>
      <w:proofErr w:type="spellEnd"/>
      <w:r w:rsidRPr="00781EA5">
        <w:rPr>
          <w:lang w:val="en-GB"/>
        </w:rPr>
        <w:t xml:space="preserve">, « INVASION OF THE BODY SNATCHERS, U.S.A., 1955 », </w:t>
      </w:r>
      <w:r w:rsidRPr="00781EA5">
        <w:rPr>
          <w:i/>
          <w:lang w:val="en-GB"/>
        </w:rPr>
        <w:t>Monthly Film Bulletin</w:t>
      </w:r>
      <w:r w:rsidRPr="00781EA5">
        <w:rPr>
          <w:lang w:val="en-GB"/>
        </w:rPr>
        <w:t xml:space="preserve">, 1er </w:t>
      </w:r>
      <w:proofErr w:type="spellStart"/>
      <w:r w:rsidRPr="00781EA5">
        <w:rPr>
          <w:lang w:val="en-GB"/>
        </w:rPr>
        <w:t>janvier</w:t>
      </w:r>
      <w:proofErr w:type="spellEnd"/>
      <w:r w:rsidRPr="00781EA5">
        <w:rPr>
          <w:lang w:val="en-GB"/>
        </w:rPr>
        <w:t xml:space="preserve"> 1956.</w:t>
      </w:r>
    </w:p>
  </w:footnote>
  <w:footnote w:id="16">
    <w:p w14:paraId="7C0EFE20" w14:textId="164C4A7D" w:rsidR="005E19B7" w:rsidRPr="00781EA5" w:rsidRDefault="005E19B7">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xml:space="preserve">, Vol. 26, No. 2, </w:t>
      </w:r>
      <w:proofErr w:type="spellStart"/>
      <w:r w:rsidRPr="00781EA5">
        <w:rPr>
          <w:lang w:val="en-GB"/>
        </w:rPr>
        <w:t>automne</w:t>
      </w:r>
      <w:proofErr w:type="spellEnd"/>
      <w:r w:rsidRPr="00781EA5">
        <w:rPr>
          <w:lang w:val="en-GB"/>
        </w:rPr>
        <w:t xml:space="preserve"> 1956, p. 112.</w:t>
      </w:r>
    </w:p>
  </w:footnote>
  <w:footnote w:id="17">
    <w:p w14:paraId="6E356515" w14:textId="7EA86BF3" w:rsidR="005E19B7" w:rsidRPr="00781EA5" w:rsidRDefault="005E19B7">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18">
    <w:p w14:paraId="6178779C" w14:textId="24212444" w:rsidR="005E19B7" w:rsidRPr="00781EA5" w:rsidRDefault="005E19B7">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xml:space="preserve">, 23 </w:t>
      </w:r>
      <w:proofErr w:type="spellStart"/>
      <w:r w:rsidRPr="00781EA5">
        <w:rPr>
          <w:lang w:val="en-GB"/>
        </w:rPr>
        <w:t>août</w:t>
      </w:r>
      <w:proofErr w:type="spellEnd"/>
      <w:r w:rsidRPr="00781EA5">
        <w:rPr>
          <w:lang w:val="en-GB"/>
        </w:rPr>
        <w:t xml:space="preserve"> 1956.</w:t>
      </w:r>
    </w:p>
  </w:footnote>
  <w:footnote w:id="19">
    <w:p w14:paraId="30D3E805" w14:textId="2CE37EA7" w:rsidR="005E19B7" w:rsidRPr="00781EA5" w:rsidRDefault="005E19B7">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 xml:space="preserve">La chose d’un </w:t>
      </w:r>
      <w:proofErr w:type="spellStart"/>
      <w:r w:rsidRPr="00781EA5">
        <w:rPr>
          <w:i/>
          <w:lang w:val="en-GB"/>
        </w:rPr>
        <w:t>autre</w:t>
      </w:r>
      <w:proofErr w:type="spellEnd"/>
      <w:r w:rsidRPr="00781EA5">
        <w:rPr>
          <w:i/>
          <w:lang w:val="en-GB"/>
        </w:rPr>
        <w:t xml:space="preserve"> monde</w:t>
      </w:r>
      <w:r w:rsidRPr="00781EA5">
        <w:rPr>
          <w:lang w:val="en-GB"/>
        </w:rPr>
        <w:t xml:space="preserve">, Christian </w:t>
      </w:r>
      <w:proofErr w:type="spellStart"/>
      <w:r w:rsidRPr="00781EA5">
        <w:rPr>
          <w:lang w:val="en-GB"/>
        </w:rPr>
        <w:t>Nyby</w:t>
      </w:r>
      <w:proofErr w:type="spellEnd"/>
      <w:r w:rsidRPr="00781EA5">
        <w:rPr>
          <w:lang w:val="en-GB"/>
        </w:rPr>
        <w:t>, 1951)</w:t>
      </w:r>
    </w:p>
  </w:footnote>
  <w:footnote w:id="20">
    <w:p w14:paraId="0A912020" w14:textId="78E54526" w:rsidR="005E19B7" w:rsidRPr="00781EA5" w:rsidRDefault="005E19B7">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w:t>
      </w:r>
      <w:proofErr w:type="gramStart"/>
      <w:r w:rsidRPr="00781EA5">
        <w:rPr>
          <w:lang w:val="en-GB"/>
        </w:rPr>
        <w:t>1956 ;</w:t>
      </w:r>
      <w:proofErr w:type="gramEnd"/>
      <w:r w:rsidRPr="00781EA5">
        <w:rPr>
          <w:lang w:val="en-GB"/>
        </w:rPr>
        <w:t xml:space="preserve"> Jack Moffitt, « Invasion of the Body Snatchers », </w:t>
      </w:r>
      <w:r w:rsidRPr="00781EA5">
        <w:rPr>
          <w:i/>
          <w:lang w:val="en-GB"/>
        </w:rPr>
        <w:t>The Hollywood Reporter</w:t>
      </w:r>
      <w:r w:rsidRPr="00781EA5">
        <w:rPr>
          <w:lang w:val="en-GB"/>
        </w:rPr>
        <w:t xml:space="preserve">, 16 </w:t>
      </w:r>
      <w:proofErr w:type="spellStart"/>
      <w:r w:rsidRPr="00781EA5">
        <w:rPr>
          <w:lang w:val="en-GB"/>
        </w:rPr>
        <w:t>février</w:t>
      </w:r>
      <w:proofErr w:type="spellEnd"/>
      <w:r w:rsidRPr="00781EA5">
        <w:rPr>
          <w:lang w:val="en-GB"/>
        </w:rPr>
        <w:t xml:space="preserve"> 1956.</w:t>
      </w:r>
    </w:p>
  </w:footnote>
  <w:footnote w:id="21">
    <w:p w14:paraId="72636D53" w14:textId="0A9AA987" w:rsidR="005E19B7" w:rsidRPr="00300B5B" w:rsidRDefault="005E19B7">
      <w:pPr>
        <w:pStyle w:val="FootnoteText"/>
        <w:rPr>
          <w:lang w:val="fr-CH"/>
        </w:rPr>
      </w:pPr>
      <w:r>
        <w:rPr>
          <w:rStyle w:val="FootnoteReference"/>
        </w:rPr>
        <w:footnoteRef/>
      </w:r>
      <w:r>
        <w:t xml:space="preserve"> </w:t>
      </w:r>
      <w:r>
        <w:rPr>
          <w:lang w:val="fr-CH"/>
        </w:rPr>
        <w:t xml:space="preserve">Remarque également effectuée par </w:t>
      </w:r>
      <w:proofErr w:type="spellStart"/>
      <w:r>
        <w:rPr>
          <w:lang w:val="fr-CH"/>
        </w:rPr>
        <w:t>McGee</w:t>
      </w:r>
      <w:proofErr w:type="spellEnd"/>
      <w:r>
        <w:rPr>
          <w:lang w:val="fr-CH"/>
        </w:rPr>
        <w:t xml:space="preserve"> qui la justifie en se basant sur des qui-dires suspects ; </w:t>
      </w:r>
      <w:r w:rsidRPr="00F10E98">
        <w:t>Mark Thomas</w:t>
      </w:r>
      <w:r>
        <w:t xml:space="preserve"> </w:t>
      </w:r>
      <w:proofErr w:type="spellStart"/>
      <w:r>
        <w:t>McGee</w:t>
      </w:r>
      <w:proofErr w:type="spellEnd"/>
      <w:r w:rsidRPr="00F10E98">
        <w:t xml:space="preserve">, </w:t>
      </w:r>
      <w:r>
        <w:rPr>
          <w:i/>
        </w:rPr>
        <w:t>ibid.</w:t>
      </w:r>
      <w:r>
        <w:t>, p. 165.</w:t>
      </w:r>
    </w:p>
  </w:footnote>
  <w:footnote w:id="22">
    <w:p w14:paraId="70EA68E4" w14:textId="76A57347" w:rsidR="005E19B7" w:rsidRPr="00283CF4" w:rsidRDefault="005E19B7">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23">
    <w:p w14:paraId="7F36F225" w14:textId="04D7CF90" w:rsidR="005E19B7" w:rsidRPr="00DD3C95" w:rsidRDefault="005E19B7">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21D786BF" w14:textId="12240971" w:rsidR="005E19B7" w:rsidRPr="0083111B" w:rsidRDefault="005E19B7">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A3479B0" w14:textId="204DDBCC" w:rsidR="005E19B7" w:rsidRPr="008A7494" w:rsidRDefault="005E19B7">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7263106A" w14:textId="70EE9487" w:rsidR="005E19B7" w:rsidRPr="00DD6C92" w:rsidRDefault="005E19B7">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24 novembre 1967 ; le titre exact de la parution étant malheureusement illisible sur la copie fournie par la cinémathèque française. </w:t>
      </w:r>
    </w:p>
  </w:footnote>
  <w:footnote w:id="27">
    <w:p w14:paraId="3BD87A40" w14:textId="1AC0EC29" w:rsidR="005E19B7" w:rsidRPr="00DE3C2D" w:rsidRDefault="005E19B7">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4AC469AA" w14:textId="3D9D2FA9" w:rsidR="005E19B7" w:rsidRPr="005418E9" w:rsidRDefault="005E19B7" w:rsidP="005418E9">
      <w:pPr>
        <w:pStyle w:val="FootnoteText"/>
        <w:rPr>
          <w:lang w:val="fr-CH"/>
        </w:rPr>
      </w:pPr>
      <w:r>
        <w:rPr>
          <w:rStyle w:val="FootnoteReference"/>
        </w:rPr>
        <w:footnoteRef/>
      </w:r>
      <w:r>
        <w:t xml:space="preserve"> </w:t>
      </w:r>
      <w:r w:rsidRPr="005418E9">
        <w:rPr>
          <w:lang w:val="fr-CH"/>
        </w:rPr>
        <w:t>Jean-François</w:t>
      </w:r>
      <w:r>
        <w:rPr>
          <w:lang w:val="fr-CH"/>
        </w:rPr>
        <w:t xml:space="preserve"> </w:t>
      </w:r>
      <w:proofErr w:type="spellStart"/>
      <w:r>
        <w:rPr>
          <w:lang w:val="fr-CH"/>
        </w:rPr>
        <w:t>Rauger</w:t>
      </w:r>
      <w:proofErr w:type="spellEnd"/>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43BA8E75" w14:textId="54B0FA9A" w:rsidR="005E19B7" w:rsidRPr="005418E9" w:rsidRDefault="005E19B7">
      <w:pPr>
        <w:pStyle w:val="FootnoteText"/>
        <w:rPr>
          <w:lang w:val="fr-CH"/>
        </w:rPr>
      </w:pPr>
    </w:p>
  </w:footnote>
  <w:footnote w:id="29">
    <w:p w14:paraId="25AC74B5" w14:textId="4A2EFE1C" w:rsidR="005E19B7" w:rsidRPr="00543A54" w:rsidRDefault="005E19B7">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proofErr w:type="spellStart"/>
      <w:r w:rsidRPr="00645A27">
        <w:rPr>
          <w:i/>
          <w:lang w:val="en-US"/>
        </w:rPr>
        <w:t>Cinéaste</w:t>
      </w:r>
      <w:proofErr w:type="spellEnd"/>
      <w:r w:rsidRPr="00645A27">
        <w:rPr>
          <w:lang w:val="en-US"/>
        </w:rPr>
        <w:t xml:space="preserve">, Vol. </w:t>
      </w:r>
      <w:r>
        <w:rPr>
          <w:lang w:val="en-US"/>
        </w:rPr>
        <w:t>10, No. 1, hiver 1979, p. 52</w:t>
      </w:r>
      <w:r w:rsidRPr="00645A27">
        <w:rPr>
          <w:lang w:val="en-US"/>
        </w:rPr>
        <w:t>.</w:t>
      </w:r>
    </w:p>
  </w:footnote>
  <w:footnote w:id="30">
    <w:p w14:paraId="71A3B2BB" w14:textId="1D7A9F1C" w:rsidR="005E19B7" w:rsidRPr="00781EA5" w:rsidRDefault="005E19B7">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 Invasion of the Body Snatchers », </w:t>
      </w:r>
      <w:r w:rsidRPr="00543A54">
        <w:rPr>
          <w:i/>
          <w:lang w:val="en-US"/>
        </w:rPr>
        <w:t>The Chicago Reader</w:t>
      </w:r>
      <w:r w:rsidRPr="00543A54">
        <w:rPr>
          <w:lang w:val="en-US"/>
        </w:rPr>
        <w:t>, 1978.</w:t>
      </w:r>
    </w:p>
  </w:footnote>
  <w:footnote w:id="31">
    <w:p w14:paraId="4EA8E55A" w14:textId="60804B6A" w:rsidR="005E19B7" w:rsidRPr="00D024F2" w:rsidRDefault="005E19B7">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w:t>
      </w:r>
      <w:proofErr w:type="spellStart"/>
      <w:r>
        <w:rPr>
          <w:lang w:val="en-US"/>
        </w:rPr>
        <w:t>Kehr</w:t>
      </w:r>
      <w:proofErr w:type="spellEnd"/>
      <w:r w:rsidRPr="00543A54">
        <w:rPr>
          <w:lang w:val="en-US"/>
        </w:rPr>
        <w:t xml:space="preserve">, </w:t>
      </w:r>
      <w:r>
        <w:rPr>
          <w:i/>
          <w:lang w:val="en-US"/>
        </w:rPr>
        <w:t>ibid.</w:t>
      </w:r>
    </w:p>
  </w:footnote>
  <w:footnote w:id="32">
    <w:p w14:paraId="72E2E3C6" w14:textId="4C4B67D8" w:rsidR="005E19B7" w:rsidRPr="00A00FD7" w:rsidRDefault="005E19B7">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w:t>
      </w:r>
      <w:proofErr w:type="spellStart"/>
      <w:r w:rsidRPr="00A00FD7">
        <w:rPr>
          <w:lang w:val="en-US"/>
        </w:rPr>
        <w:t>janvier</w:t>
      </w:r>
      <w:proofErr w:type="spellEnd"/>
      <w:r w:rsidRPr="00A00FD7">
        <w:rPr>
          <w:lang w:val="en-US"/>
        </w:rPr>
        <w:t xml:space="preserve"> 1979.</w:t>
      </w:r>
    </w:p>
  </w:footnote>
  <w:footnote w:id="33">
    <w:p w14:paraId="19286BD0" w14:textId="6F9EF4A2" w:rsidR="005E19B7" w:rsidRPr="00506F6E" w:rsidRDefault="005E19B7">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xml:space="preserve">, 31 </w:t>
      </w:r>
      <w:proofErr w:type="spellStart"/>
      <w:r w:rsidRPr="00963ECD">
        <w:rPr>
          <w:lang w:val="en-US"/>
        </w:rPr>
        <w:t>décembre</w:t>
      </w:r>
      <w:proofErr w:type="spellEnd"/>
      <w:r w:rsidRPr="00963ECD">
        <w:rPr>
          <w:lang w:val="en-US"/>
        </w:rPr>
        <w:t xml:space="preserve"> 1977.</w:t>
      </w:r>
    </w:p>
  </w:footnote>
  <w:footnote w:id="34">
    <w:p w14:paraId="7DE7ABFA" w14:textId="02010C30" w:rsidR="005E19B7" w:rsidRPr="00506F6E" w:rsidRDefault="005E19B7">
      <w:pPr>
        <w:pStyle w:val="FootnoteText"/>
        <w:rPr>
          <w:lang w:val="fr-CH"/>
        </w:rPr>
      </w:pPr>
      <w:r>
        <w:rPr>
          <w:rStyle w:val="FootnoteReference"/>
        </w:rPr>
        <w:footnoteRef/>
      </w:r>
      <w:r>
        <w:t xml:space="preserve"> </w:t>
      </w:r>
      <w:r w:rsidRPr="009705B0">
        <w:t>Robert</w:t>
      </w:r>
      <w:r>
        <w:t xml:space="preserve"> </w:t>
      </w:r>
      <w:proofErr w:type="spellStart"/>
      <w:r>
        <w:t>Chazal</w:t>
      </w:r>
      <w:proofErr w:type="spellEnd"/>
      <w:r w:rsidRPr="009705B0">
        <w:t>, « L’invasion des profanateurs. Nouvelle version », France Soir, 15 février 1979.</w:t>
      </w:r>
    </w:p>
  </w:footnote>
  <w:footnote w:id="35">
    <w:p w14:paraId="6EE7B678" w14:textId="7F030ABE" w:rsidR="005E19B7" w:rsidRPr="00781EA5" w:rsidRDefault="005E19B7">
      <w:pPr>
        <w:pStyle w:val="FootnoteText"/>
        <w:rPr>
          <w:lang w:val="en-GB"/>
        </w:rPr>
      </w:pPr>
      <w:r>
        <w:rPr>
          <w:rStyle w:val="FootnoteReference"/>
        </w:rPr>
        <w:footnoteRef/>
      </w:r>
      <w:r w:rsidRPr="00781EA5">
        <w:rPr>
          <w:lang w:val="en-GB"/>
        </w:rPr>
        <w:t xml:space="preserve"> Janet Maslin, « Screen: ‘Body Snatchers’ Return in All Their Creepy Glory », The New York Times, 22 </w:t>
      </w:r>
      <w:proofErr w:type="spellStart"/>
      <w:r w:rsidRPr="00781EA5">
        <w:rPr>
          <w:lang w:val="en-GB"/>
        </w:rPr>
        <w:t>décembre</w:t>
      </w:r>
      <w:proofErr w:type="spellEnd"/>
      <w:r w:rsidRPr="00781EA5">
        <w:rPr>
          <w:lang w:val="en-GB"/>
        </w:rPr>
        <w:t xml:space="preserve"> 1978.</w:t>
      </w:r>
    </w:p>
  </w:footnote>
  <w:footnote w:id="36">
    <w:p w14:paraId="250C0DD9" w14:textId="34DA12F3" w:rsidR="005E19B7" w:rsidRPr="00D024F2" w:rsidRDefault="005E19B7">
      <w:pPr>
        <w:pStyle w:val="FootnoteText"/>
        <w:rPr>
          <w:lang w:val="fr-CH"/>
        </w:rPr>
      </w:pPr>
      <w:r>
        <w:rPr>
          <w:rStyle w:val="FootnoteReference"/>
        </w:rPr>
        <w:footnoteRef/>
      </w:r>
      <w:r>
        <w:t xml:space="preserve"> </w:t>
      </w:r>
      <w:r w:rsidRPr="00781EA5">
        <w:rPr>
          <w:lang w:val="fr-CH"/>
        </w:rPr>
        <w:t xml:space="preserve">David </w:t>
      </w:r>
      <w:proofErr w:type="spellStart"/>
      <w:r w:rsidRPr="00781EA5">
        <w:rPr>
          <w:lang w:val="fr-CH"/>
        </w:rPr>
        <w:t>Kehr</w:t>
      </w:r>
      <w:proofErr w:type="spellEnd"/>
      <w:r w:rsidRPr="00781EA5">
        <w:rPr>
          <w:lang w:val="fr-CH"/>
        </w:rPr>
        <w:t xml:space="preserve">, </w:t>
      </w:r>
      <w:r w:rsidRPr="00781EA5">
        <w:rPr>
          <w:i/>
          <w:lang w:val="fr-CH"/>
        </w:rPr>
        <w:t xml:space="preserve">op. </w:t>
      </w:r>
      <w:proofErr w:type="spellStart"/>
      <w:proofErr w:type="gramStart"/>
      <w:r w:rsidRPr="00781EA5">
        <w:rPr>
          <w:i/>
          <w:lang w:val="fr-CH"/>
        </w:rPr>
        <w:t>cit</w:t>
      </w:r>
      <w:proofErr w:type="spellEnd"/>
      <w:proofErr w:type="gramEnd"/>
      <w:r w:rsidRPr="00781EA5">
        <w:rPr>
          <w:i/>
          <w:lang w:val="fr-CH"/>
        </w:rPr>
        <w:t>.</w:t>
      </w:r>
    </w:p>
  </w:footnote>
  <w:footnote w:id="37">
    <w:p w14:paraId="0221DD52" w14:textId="553AFA10" w:rsidR="003704D3" w:rsidRPr="003704D3" w:rsidRDefault="003704D3">
      <w:pPr>
        <w:pStyle w:val="FootnoteText"/>
        <w:rPr>
          <w:lang w:val="fr-CH"/>
        </w:rPr>
      </w:pPr>
      <w:r>
        <w:rPr>
          <w:rStyle w:val="FootnoteReference"/>
        </w:rPr>
        <w:footnoteRef/>
      </w:r>
      <w:r>
        <w:t xml:space="preserve"> </w:t>
      </w:r>
      <w:r w:rsidRPr="003704D3">
        <w:rPr>
          <w:lang w:val="fr-CH"/>
        </w:rPr>
        <w:t xml:space="preserve">A. </w:t>
      </w:r>
      <w:r w:rsidR="00174D7C" w:rsidRPr="003704D3">
        <w:rPr>
          <w:lang w:val="fr-CH"/>
        </w:rPr>
        <w:t xml:space="preserve">F., « Fantastique cauchemar », </w:t>
      </w:r>
      <w:r w:rsidR="00174D7C" w:rsidRPr="003704D3">
        <w:rPr>
          <w:i/>
          <w:lang w:val="fr-CH"/>
        </w:rPr>
        <w:t>La Croix</w:t>
      </w:r>
      <w:r w:rsidR="00174D7C" w:rsidRPr="003704D3">
        <w:rPr>
          <w:lang w:val="fr-CH"/>
        </w:rPr>
        <w:t>, 15 mai 1993.</w:t>
      </w:r>
    </w:p>
  </w:footnote>
  <w:footnote w:id="38">
    <w:p w14:paraId="33565727" w14:textId="4A9468BF" w:rsidR="005E19B7" w:rsidRPr="00663724" w:rsidRDefault="005E19B7">
      <w:pPr>
        <w:pStyle w:val="FootnoteText"/>
        <w:rPr>
          <w:szCs w:val="20"/>
          <w:lang w:val="en-US"/>
        </w:rPr>
      </w:pPr>
      <w:r w:rsidRPr="00663724">
        <w:rPr>
          <w:rStyle w:val="FootnoteReference"/>
          <w:szCs w:val="20"/>
        </w:rPr>
        <w:footnoteRef/>
      </w:r>
      <w:r w:rsidRPr="00781EA5">
        <w:rPr>
          <w:szCs w:val="20"/>
          <w:lang w:val="en-GB"/>
        </w:rPr>
        <w:t xml:space="preserve"> </w:t>
      </w:r>
      <w:r w:rsidR="00006DAE" w:rsidRPr="00663724">
        <w:rPr>
          <w:szCs w:val="20"/>
          <w:lang w:val="en-US"/>
        </w:rPr>
        <w:t>Roger</w:t>
      </w:r>
      <w:r w:rsidR="00E33B0D" w:rsidRPr="00663724">
        <w:rPr>
          <w:szCs w:val="20"/>
          <w:lang w:val="en-US"/>
        </w:rPr>
        <w:t xml:space="preserve"> Ebert</w:t>
      </w:r>
      <w:r w:rsidR="00006DAE" w:rsidRPr="00663724">
        <w:rPr>
          <w:szCs w:val="20"/>
          <w:lang w:val="en-US"/>
        </w:rPr>
        <w:t xml:space="preserve">, « Body Snatchers », </w:t>
      </w:r>
      <w:r w:rsidR="00006DAE" w:rsidRPr="00663724">
        <w:rPr>
          <w:i/>
          <w:szCs w:val="20"/>
          <w:lang w:val="en-US"/>
        </w:rPr>
        <w:t>Chicago Sun-Times</w:t>
      </w:r>
      <w:r w:rsidR="00006DAE" w:rsidRPr="00663724">
        <w:rPr>
          <w:szCs w:val="20"/>
          <w:lang w:val="en-US"/>
        </w:rPr>
        <w:t xml:space="preserve">, 25 </w:t>
      </w:r>
      <w:proofErr w:type="spellStart"/>
      <w:r w:rsidR="00006DAE" w:rsidRPr="00663724">
        <w:rPr>
          <w:szCs w:val="20"/>
          <w:lang w:val="en-US"/>
        </w:rPr>
        <w:t>février</w:t>
      </w:r>
      <w:proofErr w:type="spellEnd"/>
      <w:r w:rsidR="00006DAE" w:rsidRPr="00663724">
        <w:rPr>
          <w:szCs w:val="20"/>
          <w:lang w:val="en-US"/>
        </w:rPr>
        <w:t xml:space="preserve"> 1994.</w:t>
      </w:r>
    </w:p>
  </w:footnote>
  <w:footnote w:id="39">
    <w:p w14:paraId="1903778C" w14:textId="562579DD" w:rsidR="00253E7E" w:rsidRPr="00663724" w:rsidRDefault="00253E7E">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Roger</w:t>
      </w:r>
      <w:r w:rsidR="00E33B0D" w:rsidRPr="00663724">
        <w:rPr>
          <w:szCs w:val="20"/>
          <w:lang w:val="en-US"/>
        </w:rPr>
        <w:t xml:space="preserve"> Ebert</w:t>
      </w:r>
      <w:r w:rsidRPr="00663724">
        <w:rPr>
          <w:szCs w:val="20"/>
          <w:lang w:val="en-US"/>
        </w:rPr>
        <w:t xml:space="preserve">, « The Invasion », </w:t>
      </w:r>
      <w:r w:rsidRPr="00663724">
        <w:rPr>
          <w:i/>
          <w:szCs w:val="20"/>
          <w:lang w:val="en-US"/>
        </w:rPr>
        <w:t>Chicago Sun-Times</w:t>
      </w:r>
      <w:r w:rsidRPr="00663724">
        <w:rPr>
          <w:szCs w:val="20"/>
          <w:lang w:val="en-US"/>
        </w:rPr>
        <w:t xml:space="preserve">, 16 </w:t>
      </w:r>
      <w:proofErr w:type="spellStart"/>
      <w:r w:rsidRPr="00663724">
        <w:rPr>
          <w:szCs w:val="20"/>
          <w:lang w:val="en-US"/>
        </w:rPr>
        <w:t>août</w:t>
      </w:r>
      <w:proofErr w:type="spellEnd"/>
      <w:r w:rsidRPr="00663724">
        <w:rPr>
          <w:szCs w:val="20"/>
          <w:lang w:val="en-US"/>
        </w:rPr>
        <w:t xml:space="preserve"> 2007.</w:t>
      </w:r>
    </w:p>
  </w:footnote>
  <w:footnote w:id="40">
    <w:p w14:paraId="7665BB40" w14:textId="73F0BF0A" w:rsidR="003704D3" w:rsidRPr="003704D3" w:rsidRDefault="003704D3">
      <w:pPr>
        <w:pStyle w:val="FootnoteText"/>
        <w:rPr>
          <w:lang w:val="fr-CH"/>
        </w:rPr>
      </w:pPr>
      <w:r>
        <w:rPr>
          <w:rStyle w:val="FootnoteReference"/>
        </w:rPr>
        <w:footnoteRef/>
      </w:r>
      <w:r w:rsidRPr="00781EA5">
        <w:rPr>
          <w:lang w:val="en-GB"/>
        </w:rPr>
        <w:t xml:space="preserve"> Jean-Paul </w:t>
      </w:r>
      <w:proofErr w:type="spellStart"/>
      <w:r w:rsidRPr="00781EA5">
        <w:rPr>
          <w:lang w:val="en-GB"/>
        </w:rPr>
        <w:t>Grousset</w:t>
      </w:r>
      <w:proofErr w:type="spellEnd"/>
      <w:r w:rsidRPr="00781EA5">
        <w:rPr>
          <w:lang w:val="en-GB"/>
        </w:rPr>
        <w:t xml:space="preserve">,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EE51514" w14:textId="5AB33051" w:rsidR="003704D3" w:rsidRPr="003704D3" w:rsidRDefault="003704D3">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4071B84F" w14:textId="4D13DFAD" w:rsidR="00E33B0D" w:rsidRPr="00663724" w:rsidRDefault="00E33B0D">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w:t>
      </w:r>
      <w:proofErr w:type="spellStart"/>
      <w:r w:rsidRPr="00663724">
        <w:rPr>
          <w:szCs w:val="20"/>
          <w:lang w:val="en-US"/>
        </w:rPr>
        <w:t>Glieberman</w:t>
      </w:r>
      <w:proofErr w:type="spellEnd"/>
      <w:r w:rsidRPr="00663724">
        <w:rPr>
          <w:szCs w:val="20"/>
          <w:lang w:val="en-US"/>
        </w:rPr>
        <w:t xml:space="preserve">, « Body Snatchers », </w:t>
      </w:r>
      <w:r w:rsidRPr="00663724">
        <w:rPr>
          <w:i/>
          <w:szCs w:val="20"/>
          <w:lang w:val="en-US"/>
        </w:rPr>
        <w:t>Entertainment Weekly</w:t>
      </w:r>
      <w:r w:rsidRPr="00663724">
        <w:rPr>
          <w:szCs w:val="20"/>
          <w:lang w:val="en-US"/>
        </w:rPr>
        <w:t xml:space="preserve">, 11 </w:t>
      </w:r>
      <w:proofErr w:type="spellStart"/>
      <w:r w:rsidRPr="00663724">
        <w:rPr>
          <w:szCs w:val="20"/>
          <w:lang w:val="en-US"/>
        </w:rPr>
        <w:t>février</w:t>
      </w:r>
      <w:proofErr w:type="spellEnd"/>
      <w:r w:rsidRPr="00663724">
        <w:rPr>
          <w:szCs w:val="20"/>
          <w:lang w:val="en-US"/>
        </w:rPr>
        <w:t xml:space="preserve"> 1994.</w:t>
      </w:r>
    </w:p>
  </w:footnote>
  <w:footnote w:id="43">
    <w:p w14:paraId="0C3F6C1E" w14:textId="22B67911" w:rsidR="00663724" w:rsidRPr="00717BE1" w:rsidRDefault="00663724"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xml:space="preserve">, 18 </w:t>
      </w:r>
      <w:proofErr w:type="spellStart"/>
      <w:r w:rsidRPr="00663724">
        <w:rPr>
          <w:sz w:val="20"/>
          <w:szCs w:val="20"/>
          <w:lang w:val="en-US"/>
        </w:rPr>
        <w:t>février</w:t>
      </w:r>
      <w:proofErr w:type="spellEnd"/>
      <w:r w:rsidRPr="00663724">
        <w:rPr>
          <w:sz w:val="20"/>
          <w:szCs w:val="20"/>
          <w:lang w:val="en-US"/>
        </w:rPr>
        <w:t xml:space="preserve"> 1994.</w:t>
      </w:r>
    </w:p>
  </w:footnote>
  <w:footnote w:id="44">
    <w:p w14:paraId="2A79E2EA" w14:textId="15C3719D" w:rsidR="00717BE1" w:rsidRPr="00717BE1" w:rsidRDefault="00717BE1">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1C948C60" w14:textId="68674968" w:rsidR="000141B8" w:rsidRPr="000141B8" w:rsidRDefault="000141B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2CAA1CD5" w14:textId="0B3AC622" w:rsidR="007E60F5" w:rsidRPr="007E60F5" w:rsidRDefault="007E60F5">
      <w:pPr>
        <w:pStyle w:val="FootnoteText"/>
        <w:rPr>
          <w:lang w:val="fr-CH"/>
        </w:rPr>
      </w:pPr>
      <w:r>
        <w:rPr>
          <w:rStyle w:val="FootnoteReference"/>
        </w:rPr>
        <w:footnoteRef/>
      </w:r>
      <w:r>
        <w:t xml:space="preserve"> </w:t>
      </w:r>
      <w:r w:rsidR="00D60512">
        <w:rPr>
          <w:lang w:val="fr-CH"/>
        </w:rPr>
        <w:t>Jean-Baptiste</w:t>
      </w:r>
      <w:r>
        <w:rPr>
          <w:lang w:val="fr-CH"/>
        </w:rPr>
        <w:t xml:space="preserve"> </w:t>
      </w:r>
      <w:proofErr w:type="spellStart"/>
      <w:r>
        <w:rPr>
          <w:lang w:val="fr-CH"/>
        </w:rPr>
        <w:t>Thoret</w:t>
      </w:r>
      <w:proofErr w:type="spellEnd"/>
      <w:r w:rsidR="00AD3049">
        <w:rPr>
          <w:lang w:val="fr-CH"/>
        </w:rPr>
        <w:t>,</w:t>
      </w:r>
      <w:r w:rsidRPr="007E60F5">
        <w:rPr>
          <w:lang w:val="fr-CH"/>
        </w:rPr>
        <w:t xml:space="preserve"> « Ils sont parmi nous », </w:t>
      </w:r>
      <w:r w:rsidRPr="007E60F5">
        <w:rPr>
          <w:i/>
          <w:lang w:val="fr-CH"/>
        </w:rPr>
        <w:t>Charlie Hebdo</w:t>
      </w:r>
      <w:r w:rsidRPr="007E60F5">
        <w:rPr>
          <w:lang w:val="fr-CH"/>
        </w:rPr>
        <w:t>, 17 octobre 2007.</w:t>
      </w:r>
    </w:p>
  </w:footnote>
  <w:footnote w:id="47">
    <w:p w14:paraId="29A92F2B" w14:textId="59D2CD3B" w:rsidR="00E57157" w:rsidRPr="00781EA5" w:rsidRDefault="00E57157">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A75E370" w14:textId="4AD66B93" w:rsidR="004870CE" w:rsidRPr="004870CE" w:rsidRDefault="004870CE">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06998613" w14:textId="00B9BFC1" w:rsidR="00B60790" w:rsidRPr="00B60790" w:rsidRDefault="00B60790">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xml:space="preserve">, 17 </w:t>
      </w:r>
      <w:proofErr w:type="spellStart"/>
      <w:r w:rsidRPr="00B60790">
        <w:rPr>
          <w:lang w:val="en-US"/>
        </w:rPr>
        <w:t>août</w:t>
      </w:r>
      <w:proofErr w:type="spellEnd"/>
      <w:r w:rsidRPr="00B60790">
        <w:rPr>
          <w:lang w:val="en-US"/>
        </w:rPr>
        <w:t xml:space="preserve"> 2007.</w:t>
      </w:r>
    </w:p>
  </w:footnote>
  <w:footnote w:id="50">
    <w:p w14:paraId="4E90885A" w14:textId="218541F4" w:rsidR="009F687A" w:rsidRPr="009F687A" w:rsidRDefault="009F687A">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6AEC921A" w14:textId="6352210E" w:rsidR="00CE51D3" w:rsidRPr="00CE51D3" w:rsidRDefault="00CE51D3" w:rsidP="00CE51D3">
      <w:pPr>
        <w:pStyle w:val="FootnoteText"/>
        <w:rPr>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xml:space="preserve">, 17 </w:t>
      </w:r>
      <w:proofErr w:type="spellStart"/>
      <w:r w:rsidRPr="00CE51D3">
        <w:rPr>
          <w:lang w:val="en-US"/>
        </w:rPr>
        <w:t>août</w:t>
      </w:r>
      <w:proofErr w:type="spellEnd"/>
      <w:r w:rsidRPr="00CE51D3">
        <w:rPr>
          <w:lang w:val="en-US"/>
        </w:rPr>
        <w:t xml:space="preserve"> 2007.</w:t>
      </w:r>
    </w:p>
    <w:p w14:paraId="2A805F4B" w14:textId="09B84BBB" w:rsidR="00CE51D3" w:rsidRPr="00781EA5" w:rsidRDefault="00CE51D3">
      <w:pPr>
        <w:pStyle w:val="FootnoteText"/>
        <w:rPr>
          <w:lang w:val="en-GB"/>
        </w:rPr>
      </w:pPr>
    </w:p>
  </w:footnote>
  <w:footnote w:id="52">
    <w:p w14:paraId="1DB98D1B" w14:textId="6265B86D" w:rsidR="00781EA5" w:rsidRPr="00E748E4" w:rsidRDefault="00781EA5">
      <w:pPr>
        <w:pStyle w:val="FootnoteText"/>
        <w:rPr>
          <w:lang w:val="en-GB"/>
        </w:rPr>
      </w:pPr>
      <w:r>
        <w:rPr>
          <w:rStyle w:val="FootnoteReference"/>
        </w:rPr>
        <w:footnoteRef/>
      </w:r>
      <w:r>
        <w:t xml:space="preserve"> </w:t>
      </w:r>
      <w:r w:rsidR="00213BA4">
        <w:rPr>
          <w:i/>
          <w:lang w:val="fr-CH"/>
        </w:rPr>
        <w:t xml:space="preserve">Time and </w:t>
      </w:r>
      <w:proofErr w:type="spellStart"/>
      <w:r w:rsidR="00213BA4">
        <w:rPr>
          <w:i/>
          <w:lang w:val="fr-CH"/>
        </w:rPr>
        <w:t>Again</w:t>
      </w:r>
      <w:proofErr w:type="spellEnd"/>
      <w:r w:rsidR="00213BA4">
        <w:rPr>
          <w:lang w:val="fr-CH"/>
        </w:rPr>
        <w:t xml:space="preserve"> (1970), un roman de </w:t>
      </w:r>
      <w:r w:rsidR="001F756A">
        <w:rPr>
          <w:lang w:val="fr-CH"/>
        </w:rPr>
        <w:t>science-fiction</w:t>
      </w:r>
      <w:r w:rsidR="00213BA4">
        <w:rPr>
          <w:lang w:val="fr-CH"/>
        </w:rPr>
        <w:t>, étant systématiquement cité lorsqu’il est question de l’auteur. Comme c’est par exemple le cas pour l’édition 60</w:t>
      </w:r>
      <w:r w:rsidR="00213BA4" w:rsidRPr="00213BA4">
        <w:rPr>
          <w:vertAlign w:val="superscript"/>
          <w:lang w:val="fr-CH"/>
        </w:rPr>
        <w:t>ème</w:t>
      </w:r>
      <w:r w:rsidR="00213BA4">
        <w:rPr>
          <w:lang w:val="fr-CH"/>
        </w:rPr>
        <w:t xml:space="preserve"> anniversaire the </w:t>
      </w:r>
      <w:proofErr w:type="spellStart"/>
      <w:r w:rsidR="00213BA4">
        <w:rPr>
          <w:i/>
          <w:lang w:val="fr-CH"/>
        </w:rPr>
        <w:t>The</w:t>
      </w:r>
      <w:proofErr w:type="spellEnd"/>
      <w:r w:rsidR="00213BA4">
        <w:rPr>
          <w:i/>
          <w:lang w:val="fr-CH"/>
        </w:rPr>
        <w:t xml:space="preserve"> Body Snatchers</w:t>
      </w:r>
      <w:r w:rsidR="00213BA4">
        <w:rPr>
          <w:lang w:val="fr-CH"/>
        </w:rPr>
        <w:t xml:space="preserve"> qui identifie l’auteur par « Jack Finney. </w:t>
      </w:r>
      <w:r w:rsidR="00213BA4" w:rsidRPr="00E748E4">
        <w:rPr>
          <w:lang w:val="en-GB"/>
        </w:rPr>
        <w:t xml:space="preserve">Author of </w:t>
      </w:r>
      <w:r w:rsidR="00213BA4" w:rsidRPr="00E748E4">
        <w:rPr>
          <w:i/>
          <w:lang w:val="en-GB"/>
        </w:rPr>
        <w:t>Time and Again</w:t>
      </w:r>
      <w:r w:rsidR="00213BA4" w:rsidRPr="00E748E4">
        <w:rPr>
          <w:lang w:val="en-GB"/>
        </w:rPr>
        <w:t xml:space="preserve"> » </w:t>
      </w:r>
      <w:r w:rsidR="00213BA4" w:rsidRPr="00E748E4">
        <w:rPr>
          <w:highlight w:val="red"/>
          <w:lang w:val="en-GB"/>
        </w:rPr>
        <w:t>(</w:t>
      </w:r>
      <w:proofErr w:type="spellStart"/>
      <w:r w:rsidR="00213BA4" w:rsidRPr="00E748E4">
        <w:rPr>
          <w:highlight w:val="red"/>
          <w:lang w:val="en-GB"/>
        </w:rPr>
        <w:t>voir</w:t>
      </w:r>
      <w:proofErr w:type="spellEnd"/>
      <w:r w:rsidR="00213BA4" w:rsidRPr="00E748E4">
        <w:rPr>
          <w:highlight w:val="red"/>
          <w:lang w:val="en-GB"/>
        </w:rPr>
        <w:t xml:space="preserve"> figure XX).</w:t>
      </w:r>
    </w:p>
  </w:footnote>
  <w:footnote w:id="53">
    <w:p w14:paraId="227D8C42" w14:textId="44C604F0" w:rsidR="00D56248" w:rsidRPr="00DF0B77" w:rsidRDefault="00D56248">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00DF0B77" w:rsidRPr="00DF0B77">
        <w:rPr>
          <w:i/>
          <w:szCs w:val="20"/>
          <w:lang w:val="fr-CH"/>
        </w:rPr>
        <w:t xml:space="preserve">op. </w:t>
      </w:r>
      <w:proofErr w:type="spellStart"/>
      <w:proofErr w:type="gramStart"/>
      <w:r w:rsidR="00DF0B77" w:rsidRPr="00DF0B77">
        <w:rPr>
          <w:i/>
          <w:szCs w:val="20"/>
          <w:lang w:val="fr-CH"/>
        </w:rPr>
        <w:t>cit</w:t>
      </w:r>
      <w:proofErr w:type="spellEnd"/>
      <w:proofErr w:type="gramEnd"/>
      <w:r w:rsidRPr="00DF0B77">
        <w:rPr>
          <w:i/>
          <w:szCs w:val="20"/>
          <w:lang w:val="fr-CH"/>
        </w:rPr>
        <w:t>.</w:t>
      </w:r>
      <w:r w:rsidR="00991F6F" w:rsidRPr="00DF0B77">
        <w:rPr>
          <w:szCs w:val="20"/>
          <w:lang w:val="fr-CH"/>
        </w:rPr>
        <w:t xml:space="preserve">, p. </w:t>
      </w:r>
      <w:r w:rsidR="004A4981" w:rsidRPr="00DF0B77">
        <w:rPr>
          <w:szCs w:val="20"/>
          <w:lang w:val="fr-CH"/>
        </w:rPr>
        <w:t>87.</w:t>
      </w:r>
    </w:p>
  </w:footnote>
  <w:footnote w:id="54">
    <w:p w14:paraId="3C29C3EE" w14:textId="41C4E4CE" w:rsidR="00503CBA" w:rsidRPr="00503CBA" w:rsidRDefault="00503CBA">
      <w:pPr>
        <w:pStyle w:val="FootnoteText"/>
        <w:rPr>
          <w:lang w:val="fr-CH"/>
        </w:rPr>
      </w:pPr>
      <w:r>
        <w:rPr>
          <w:rStyle w:val="FootnoteReference"/>
        </w:rPr>
        <w:footnoteRef/>
      </w:r>
      <w:r>
        <w:t xml:space="preserve"> </w:t>
      </w:r>
      <w:r w:rsidRPr="00503CBA">
        <w:rPr>
          <w:highlight w:val="yellow"/>
          <w:lang w:val="fr-CH"/>
        </w:rPr>
        <w:t>REF ?</w:t>
      </w:r>
    </w:p>
  </w:footnote>
  <w:footnote w:id="55">
    <w:p w14:paraId="6BF05032" w14:textId="21012E03" w:rsidR="00503CBA" w:rsidRPr="00503CBA" w:rsidRDefault="00503CBA">
      <w:pPr>
        <w:pStyle w:val="FootnoteText"/>
        <w:rPr>
          <w:lang w:val="fr-CH"/>
        </w:rPr>
      </w:pPr>
      <w:r>
        <w:rPr>
          <w:rStyle w:val="FootnoteReference"/>
        </w:rPr>
        <w:footnoteRef/>
      </w:r>
      <w:r>
        <w:t xml:space="preserve"> </w:t>
      </w:r>
      <w:r>
        <w:rPr>
          <w:lang w:val="fr-CH"/>
        </w:rPr>
        <w:t>Par le biais de son avatar filmique, Miles.</w:t>
      </w:r>
    </w:p>
  </w:footnote>
  <w:footnote w:id="56">
    <w:p w14:paraId="3D311530" w14:textId="153A245F" w:rsidR="001E2D11" w:rsidRPr="001E2D11" w:rsidRDefault="001E2D11">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24990155" w14:textId="77777777" w:rsidR="00C249AB" w:rsidRPr="00283CF4" w:rsidRDefault="00C249AB" w:rsidP="00C249AB">
      <w:pPr>
        <w:pStyle w:val="FootnoteText"/>
        <w:rPr>
          <w:lang w:val="fr-CH"/>
        </w:rPr>
      </w:pPr>
      <w:r>
        <w:rPr>
          <w:rStyle w:val="FootnoteReference"/>
        </w:rPr>
        <w:footnoteRef/>
      </w:r>
      <w:r>
        <w:t xml:space="preserve"> </w:t>
      </w:r>
      <w:r>
        <w:rPr>
          <w:lang w:val="fr-CH"/>
        </w:rPr>
        <w:t>Publicités numéro 206, 209 et 303 du « </w:t>
      </w:r>
      <w:proofErr w:type="spellStart"/>
      <w:r>
        <w:rPr>
          <w:lang w:val="fr-CH"/>
        </w:rPr>
        <w:t>Showmanship</w:t>
      </w:r>
      <w:proofErr w:type="spellEnd"/>
      <w:r>
        <w:rPr>
          <w:lang w:val="fr-CH"/>
        </w:rPr>
        <w:t xml:space="preserve"> </w:t>
      </w:r>
      <w:proofErr w:type="spellStart"/>
      <w:r>
        <w:rPr>
          <w:lang w:val="fr-CH"/>
        </w:rPr>
        <w:t>campaign</w:t>
      </w:r>
      <w:proofErr w:type="spellEnd"/>
      <w:r>
        <w:rPr>
          <w:lang w:val="fr-CH"/>
        </w:rPr>
        <w:t xml:space="preserve"> book » édité par Allied Artists pour la distribution américaine du film.</w:t>
      </w:r>
    </w:p>
  </w:footnote>
  <w:footnote w:id="58">
    <w:p w14:paraId="1A3C28EA" w14:textId="3ABDF168" w:rsidR="00DA4FCE" w:rsidRPr="00DA4FCE" w:rsidRDefault="00DA4FCE">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4DC40339" w14:textId="6BB9B3B6" w:rsidR="00AA0F22" w:rsidRPr="00AA0F22" w:rsidRDefault="00AA0F22">
      <w:pPr>
        <w:pStyle w:val="FootnoteText"/>
        <w:rPr>
          <w:lang w:val="fr-CH"/>
        </w:rPr>
      </w:pPr>
      <w:r>
        <w:rPr>
          <w:rStyle w:val="FootnoteReference"/>
        </w:rPr>
        <w:footnoteRef/>
      </w:r>
      <w:r>
        <w:t xml:space="preserve"> </w:t>
      </w:r>
      <w:r w:rsidR="00047F06">
        <w:t xml:space="preserve">L’affiche </w:t>
      </w:r>
      <w:r w:rsidR="00047F06">
        <w:rPr>
          <w:lang w:val="fr-CH"/>
        </w:rPr>
        <w:t xml:space="preserve">2x77 éditée par Crystal </w:t>
      </w:r>
      <w:proofErr w:type="spellStart"/>
      <w:r w:rsidR="00047F06">
        <w:rPr>
          <w:lang w:val="fr-CH"/>
        </w:rPr>
        <w:t>Pictures</w:t>
      </w:r>
      <w:proofErr w:type="spellEnd"/>
      <w:r w:rsidR="00047F06">
        <w:rPr>
          <w:lang w:val="fr-CH"/>
        </w:rPr>
        <w:t xml:space="preserve"> pour la </w:t>
      </w:r>
      <w:proofErr w:type="spellStart"/>
      <w:r w:rsidR="00047F06">
        <w:rPr>
          <w:lang w:val="fr-CH"/>
        </w:rPr>
        <w:t>re-sortie</w:t>
      </w:r>
      <w:proofErr w:type="spellEnd"/>
      <w:r w:rsidR="00047F06">
        <w:rPr>
          <w:lang w:val="fr-CH"/>
        </w:rPr>
        <w:t xml:space="preserve"> du film en 1977 décrit même le film comme « The All-Time </w:t>
      </w:r>
      <w:proofErr w:type="spellStart"/>
      <w:r w:rsidR="00047F06" w:rsidRPr="00047F06">
        <w:rPr>
          <w:i/>
          <w:lang w:val="fr-CH"/>
        </w:rPr>
        <w:t>Horror</w:t>
      </w:r>
      <w:proofErr w:type="spellEnd"/>
      <w:r w:rsidR="00047F06">
        <w:rPr>
          <w:lang w:val="fr-CH"/>
        </w:rPr>
        <w:t xml:space="preserve"> </w:t>
      </w:r>
      <w:proofErr w:type="spellStart"/>
      <w:r w:rsidR="00047F06">
        <w:rPr>
          <w:lang w:val="fr-CH"/>
        </w:rPr>
        <w:t>Classic</w:t>
      </w:r>
      <w:proofErr w:type="spellEnd"/>
      <w:r w:rsidR="00047F06">
        <w:rPr>
          <w:lang w:val="fr-CH"/>
        </w:rPr>
        <w:t> ».</w:t>
      </w:r>
      <w:r w:rsidR="00A31725" w:rsidRPr="00A31725">
        <w:rPr>
          <w:highlight w:val="red"/>
          <w:lang w:val="fr-CH"/>
        </w:rPr>
        <w:t xml:space="preserve"> </w:t>
      </w:r>
      <w:r w:rsidR="00A31725" w:rsidRPr="001E2D11">
        <w:rPr>
          <w:highlight w:val="red"/>
          <w:lang w:val="fr-CH"/>
        </w:rPr>
        <w:t>Voir annexe XX</w:t>
      </w:r>
    </w:p>
  </w:footnote>
  <w:footnote w:id="60">
    <w:p w14:paraId="0662E3D7" w14:textId="142F2CBF" w:rsidR="00FF2B62" w:rsidRPr="00C32B00" w:rsidRDefault="00FF2B62">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w:t>
      </w:r>
      <w:proofErr w:type="spellStart"/>
      <w:r>
        <w:rPr>
          <w:rFonts w:cs="Times New Roman"/>
          <w:color w:val="000000"/>
          <w:lang w:val="fr-CH"/>
        </w:rPr>
        <w:t>Baroncelli</w:t>
      </w:r>
      <w:proofErr w:type="spellEnd"/>
      <w:r>
        <w:rPr>
          <w:rFonts w:cs="Times New Roman"/>
          <w:color w:val="000000"/>
          <w:lang w:val="fr-CH"/>
        </w:rPr>
        <w:t xml:space="preserve">,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sidR="00C32B00">
        <w:rPr>
          <w:rFonts w:cs="Times New Roman"/>
          <w:color w:val="000000"/>
          <w:lang w:val="fr-CH"/>
        </w:rPr>
        <w:t xml:space="preserve">, 12 novembre 1967 ; </w:t>
      </w:r>
      <w:r w:rsidR="00C32B00" w:rsidRPr="00C32B00">
        <w:rPr>
          <w:rFonts w:cs="Times New Roman"/>
          <w:color w:val="000000"/>
          <w:lang w:val="fr-CH"/>
        </w:rPr>
        <w:t>Robert</w:t>
      </w:r>
      <w:r w:rsidR="00C32B00">
        <w:rPr>
          <w:rFonts w:cs="Times New Roman"/>
          <w:color w:val="000000"/>
          <w:lang w:val="fr-CH"/>
        </w:rPr>
        <w:t xml:space="preserve"> </w:t>
      </w:r>
      <w:proofErr w:type="spellStart"/>
      <w:r w:rsidR="00C32B00">
        <w:rPr>
          <w:rFonts w:cs="Times New Roman"/>
          <w:color w:val="000000"/>
          <w:lang w:val="fr-CH"/>
        </w:rPr>
        <w:t>Chazal</w:t>
      </w:r>
      <w:proofErr w:type="spellEnd"/>
      <w:r w:rsidR="00C32B00" w:rsidRPr="00C32B00">
        <w:rPr>
          <w:rFonts w:cs="Times New Roman"/>
          <w:color w:val="000000"/>
          <w:lang w:val="fr-CH"/>
        </w:rPr>
        <w:t xml:space="preserve">, « L’invasion des profanateurs de sépultures », </w:t>
      </w:r>
      <w:r w:rsidR="00C32B00" w:rsidRPr="00C32B00">
        <w:rPr>
          <w:rFonts w:cs="Times New Roman"/>
          <w:i/>
          <w:color w:val="000000"/>
          <w:lang w:val="fr-CH"/>
        </w:rPr>
        <w:t>France Soir</w:t>
      </w:r>
      <w:r w:rsidR="00C32B00" w:rsidRPr="00C32B00">
        <w:rPr>
          <w:rFonts w:cs="Times New Roman"/>
          <w:color w:val="000000"/>
          <w:lang w:val="fr-CH"/>
        </w:rPr>
        <w:t>, 9 novembre 1967.</w:t>
      </w:r>
    </w:p>
  </w:footnote>
  <w:footnote w:id="61">
    <w:p w14:paraId="374DFCF9" w14:textId="5C16A8D5" w:rsidR="00C32B00" w:rsidRPr="00C32B00" w:rsidRDefault="00C32B00">
      <w:pPr>
        <w:pStyle w:val="FootnoteText"/>
        <w:rPr>
          <w:lang w:val="fr-CH"/>
        </w:rPr>
      </w:pPr>
      <w:r>
        <w:rPr>
          <w:rStyle w:val="FootnoteReference"/>
        </w:rPr>
        <w:footnoteRef/>
      </w:r>
      <w:r>
        <w:t xml:space="preserve"> </w:t>
      </w:r>
      <w:proofErr w:type="spellStart"/>
      <w:r w:rsidR="005041DE">
        <w:t>Garriou-Lagrange</w:t>
      </w:r>
      <w:proofErr w:type="spellEnd"/>
      <w:r w:rsidR="005041DE" w:rsidRPr="005041DE">
        <w:rPr>
          <w:lang w:val="fr-CH"/>
        </w:rPr>
        <w:t xml:space="preserve">, « L’angoisse vous prend aux tripes », </w:t>
      </w:r>
      <w:r w:rsidR="005041DE" w:rsidRPr="005041DE">
        <w:rPr>
          <w:i/>
          <w:lang w:val="fr-CH"/>
        </w:rPr>
        <w:t>Témoignage Chrétien</w:t>
      </w:r>
      <w:r w:rsidR="00F87191">
        <w:rPr>
          <w:lang w:val="fr-CH"/>
        </w:rPr>
        <w:t xml:space="preserve">, 23 novembre 1967 ; </w:t>
      </w:r>
      <w:r w:rsidR="00F87191" w:rsidRPr="00F87191">
        <w:rPr>
          <w:lang w:val="fr-CH"/>
        </w:rPr>
        <w:t xml:space="preserve">S. L., « Invasion of the Body-Snatchers. Ils volent le corps et l’esprit », </w:t>
      </w:r>
      <w:r w:rsidR="00F87191" w:rsidRPr="00F87191">
        <w:rPr>
          <w:i/>
          <w:lang w:val="fr-CH"/>
        </w:rPr>
        <w:t>L’Humanité</w:t>
      </w:r>
      <w:r w:rsidR="00F87191" w:rsidRPr="00F87191">
        <w:rPr>
          <w:lang w:val="fr-CH"/>
        </w:rPr>
        <w:t>, 8 novembre 1967.</w:t>
      </w:r>
    </w:p>
  </w:footnote>
  <w:footnote w:id="62">
    <w:p w14:paraId="20395D9C" w14:textId="63776E7C" w:rsidR="00876848" w:rsidRPr="00876848" w:rsidRDefault="00876848">
      <w:pPr>
        <w:pStyle w:val="FootnoteText"/>
      </w:pPr>
      <w:r>
        <w:rPr>
          <w:rStyle w:val="FootnoteReference"/>
        </w:rPr>
        <w:footnoteRef/>
      </w:r>
      <w:r>
        <w:t xml:space="preserve"> </w:t>
      </w:r>
      <w:r w:rsidRPr="0083111B">
        <w:t xml:space="preserve">C. S., « L’invasion des profanateurs de sépultures », </w:t>
      </w:r>
      <w:r w:rsidRPr="00A95A9C">
        <w:rPr>
          <w:i/>
        </w:rPr>
        <w:t>Combat</w:t>
      </w:r>
      <w:r w:rsidR="00DE6431">
        <w:t>, 7 novembre 1967.</w:t>
      </w:r>
    </w:p>
  </w:footnote>
  <w:footnote w:id="63">
    <w:p w14:paraId="1E3AFA6B" w14:textId="0D509162" w:rsidR="00C32B00" w:rsidRPr="00C32B00" w:rsidRDefault="00C32B00">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08862D98" w14:textId="32B1466E" w:rsidR="00C4663F" w:rsidRPr="00C4663F" w:rsidRDefault="00C4663F">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3EA4E472" w14:textId="0AFFDAE2" w:rsidR="00991F6F" w:rsidRPr="008540F1" w:rsidRDefault="00991F6F">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sidR="00DF0B77">
        <w:rPr>
          <w:i/>
          <w:szCs w:val="20"/>
          <w:lang w:val="en-US"/>
        </w:rPr>
        <w:t>op</w:t>
      </w:r>
      <w:r>
        <w:rPr>
          <w:i/>
          <w:szCs w:val="20"/>
          <w:lang w:val="en-US"/>
        </w:rPr>
        <w:t>.</w:t>
      </w:r>
      <w:r w:rsidR="00DF0B77">
        <w:rPr>
          <w:i/>
          <w:szCs w:val="20"/>
          <w:lang w:val="en-US"/>
        </w:rPr>
        <w:t xml:space="preserve"> cit.</w:t>
      </w:r>
      <w:r>
        <w:rPr>
          <w:szCs w:val="20"/>
          <w:lang w:val="en-US"/>
        </w:rPr>
        <w:t>, p. 4.</w:t>
      </w:r>
    </w:p>
  </w:footnote>
  <w:footnote w:id="66">
    <w:p w14:paraId="1646B1DE" w14:textId="67316FBB" w:rsidR="00DF0B77" w:rsidRPr="008540F1" w:rsidRDefault="00DF0B77">
      <w:pPr>
        <w:pStyle w:val="FootnoteText"/>
        <w:rPr>
          <w:lang w:val="en-GB"/>
        </w:rPr>
      </w:pPr>
      <w:r>
        <w:rPr>
          <w:rStyle w:val="FootnoteReference"/>
        </w:rPr>
        <w:footnoteRef/>
      </w:r>
      <w:r w:rsidRPr="008540F1">
        <w:rPr>
          <w:lang w:val="en-GB"/>
        </w:rPr>
        <w:t xml:space="preserve"> </w:t>
      </w:r>
      <w:r w:rsidRPr="00F11331">
        <w:rPr>
          <w:szCs w:val="20"/>
          <w:lang w:val="en-US"/>
        </w:rPr>
        <w:t>Al LaValley (</w:t>
      </w:r>
      <w:proofErr w:type="spellStart"/>
      <w:r w:rsidRPr="00F11331">
        <w:rPr>
          <w:szCs w:val="20"/>
          <w:lang w:val="en-US"/>
        </w:rPr>
        <w:t>éd</w:t>
      </w:r>
      <w:proofErr w:type="spellEnd"/>
      <w:r w:rsidRPr="00F11331">
        <w:rPr>
          <w:szCs w:val="20"/>
          <w:lang w:val="en-US"/>
        </w:rPr>
        <w:t xml:space="preserve">.), </w:t>
      </w:r>
      <w:r>
        <w:rPr>
          <w:i/>
          <w:szCs w:val="20"/>
          <w:lang w:val="en-US"/>
        </w:rPr>
        <w:t>ibid.</w:t>
      </w:r>
      <w:r>
        <w:rPr>
          <w:szCs w:val="20"/>
          <w:lang w:val="en-US"/>
        </w:rPr>
        <w:t>, p. 5.</w:t>
      </w:r>
    </w:p>
  </w:footnote>
  <w:footnote w:id="67">
    <w:p w14:paraId="5A93894C" w14:textId="3CF21F4D" w:rsidR="00E84BB2" w:rsidRPr="00273D4F" w:rsidRDefault="00E84BB2">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p. 50.</w:t>
      </w:r>
      <w:r w:rsidR="00273D4F">
        <w:rPr>
          <w:szCs w:val="20"/>
          <w:lang w:val="en-GB"/>
        </w:rPr>
        <w:t xml:space="preserve"> </w:t>
      </w:r>
      <w:r w:rsidR="00273D4F" w:rsidRPr="00273D4F">
        <w:rPr>
          <w:szCs w:val="20"/>
          <w:lang w:val="fr-CH"/>
        </w:rPr>
        <w:t xml:space="preserve">Il convient de relever le fait que la notion de </w:t>
      </w:r>
      <w:r w:rsidR="00273D4F" w:rsidRPr="00273D4F">
        <w:rPr>
          <w:i/>
          <w:szCs w:val="20"/>
          <w:lang w:val="fr-CH"/>
        </w:rPr>
        <w:t>film noir</w:t>
      </w:r>
      <w:r w:rsidR="00273D4F" w:rsidRPr="00273D4F">
        <w:rPr>
          <w:szCs w:val="20"/>
          <w:lang w:val="fr-CH"/>
        </w:rPr>
        <w:t xml:space="preserve"> n’étant pas encore </w:t>
      </w:r>
      <w:proofErr w:type="spellStart"/>
      <w:r w:rsidR="00273D4F" w:rsidRPr="00273D4F">
        <w:rPr>
          <w:szCs w:val="20"/>
          <w:lang w:val="fr-CH"/>
        </w:rPr>
        <w:t>prévalant</w:t>
      </w:r>
      <w:r w:rsidR="00273D4F">
        <w:rPr>
          <w:szCs w:val="20"/>
          <w:lang w:val="fr-CH"/>
        </w:rPr>
        <w:t>e</w:t>
      </w:r>
      <w:proofErr w:type="spellEnd"/>
      <w:r w:rsidR="00273D4F" w:rsidRPr="00273D4F">
        <w:rPr>
          <w:szCs w:val="20"/>
          <w:lang w:val="fr-CH"/>
        </w:rPr>
        <w:t xml:space="preserve"> dans la critique au moment de la sortie du film, </w:t>
      </w:r>
      <w:r w:rsidR="00273D4F">
        <w:rPr>
          <w:szCs w:val="20"/>
          <w:lang w:val="fr-CH"/>
        </w:rPr>
        <w:t>et que les auteurs académiques cités ici bénéficient d’un recul de presque un demi-siècle par rapport à la sortie du film.</w:t>
      </w:r>
    </w:p>
  </w:footnote>
  <w:footnote w:id="68">
    <w:p w14:paraId="3A571F64" w14:textId="2E02E912" w:rsidR="00E84BB2" w:rsidRPr="00E84BB2" w:rsidRDefault="00E84BB2">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w:t>
      </w:r>
      <w:proofErr w:type="spellStart"/>
      <w:r w:rsidRPr="008378E6">
        <w:rPr>
          <w:lang w:val="en-US"/>
        </w:rPr>
        <w:t>Vervis</w:t>
      </w:r>
      <w:proofErr w:type="spellEnd"/>
      <w:r w:rsidRPr="008378E6">
        <w:rPr>
          <w:lang w:val="en-US"/>
        </w:rPr>
        <w:t xml:space="preserve"> et Kathleen Loock (</w:t>
      </w:r>
      <w:proofErr w:type="spellStart"/>
      <w:r w:rsidRPr="008378E6">
        <w:rPr>
          <w:lang w:val="en-US"/>
        </w:rPr>
        <w:t>éd</w:t>
      </w:r>
      <w:proofErr w:type="spellEnd"/>
      <w:r w:rsidRPr="008378E6">
        <w:rPr>
          <w:lang w:val="en-US"/>
        </w:rPr>
        <w:t xml:space="preserve">.), </w:t>
      </w:r>
      <w:r w:rsidRPr="008378E6">
        <w:rPr>
          <w:i/>
          <w:lang w:val="en-US"/>
        </w:rPr>
        <w:t>Film Remakes, Adaptations and Fan Productions: Remake/Remodel</w:t>
      </w:r>
      <w:r w:rsidRPr="008378E6">
        <w:rPr>
          <w:lang w:val="en-US"/>
        </w:rPr>
        <w:t xml:space="preserve">, </w:t>
      </w:r>
      <w:proofErr w:type="spellStart"/>
      <w:r w:rsidRPr="008378E6">
        <w:rPr>
          <w:lang w:val="en-US"/>
        </w:rPr>
        <w:t>Londre</w:t>
      </w:r>
      <w:r w:rsidR="00B23C6B">
        <w:rPr>
          <w:lang w:val="en-US"/>
        </w:rPr>
        <w:t>s</w:t>
      </w:r>
      <w:proofErr w:type="spellEnd"/>
      <w:r w:rsidR="00B23C6B">
        <w:rPr>
          <w:lang w:val="en-US"/>
        </w:rPr>
        <w:t>, Palgrave MacMillan, 2012, p</w:t>
      </w:r>
      <w:r w:rsidRPr="008378E6">
        <w:rPr>
          <w:lang w:val="en-US"/>
        </w:rPr>
        <w:t>.</w:t>
      </w:r>
      <w:r w:rsidR="00B23C6B">
        <w:rPr>
          <w:lang w:val="en-US"/>
        </w:rPr>
        <w:t xml:space="preserve"> 133.</w:t>
      </w:r>
    </w:p>
  </w:footnote>
  <w:footnote w:id="69">
    <w:p w14:paraId="093BAA1D" w14:textId="32335CE1" w:rsidR="0039669B" w:rsidRPr="0039669B" w:rsidRDefault="0039669B">
      <w:pPr>
        <w:pStyle w:val="FootnoteText"/>
        <w:rPr>
          <w:lang w:val="fr-CH"/>
        </w:rPr>
      </w:pPr>
      <w:r>
        <w:rPr>
          <w:rStyle w:val="FootnoteReference"/>
        </w:rPr>
        <w:footnoteRef/>
      </w:r>
      <w:r>
        <w:t xml:space="preserve"> </w:t>
      </w:r>
      <w:r w:rsidR="00CD6788">
        <w:rPr>
          <w:lang w:val="fr-CH"/>
        </w:rPr>
        <w:t>En se ba</w:t>
      </w:r>
      <w:r w:rsidR="00DF358E">
        <w:rPr>
          <w:lang w:val="fr-CH"/>
        </w:rPr>
        <w:t>s</w:t>
      </w:r>
      <w:r w:rsidR="00CD6788">
        <w:rPr>
          <w:lang w:val="fr-CH"/>
        </w:rPr>
        <w:t>ant</w:t>
      </w:r>
      <w:r>
        <w:rPr>
          <w:lang w:val="fr-CH"/>
        </w:rPr>
        <w:t xml:space="preserve"> des textes critiques et ou académiques concernant les 4 films</w:t>
      </w:r>
      <w:r w:rsidR="00CD6788">
        <w:rPr>
          <w:lang w:val="fr-CH"/>
        </w:rPr>
        <w:t>.</w:t>
      </w:r>
    </w:p>
  </w:footnote>
  <w:footnote w:id="70">
    <w:p w14:paraId="4599E83D" w14:textId="44FD7032" w:rsidR="00572515" w:rsidRPr="00572515" w:rsidRDefault="00572515">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06378460" w14:textId="514AADF3" w:rsidR="00651CAA" w:rsidRPr="00651CAA" w:rsidRDefault="00651CAA">
      <w:pPr>
        <w:pStyle w:val="FootnoteText"/>
        <w:rPr>
          <w:lang w:val="en-GB"/>
        </w:rPr>
      </w:pPr>
      <w:r>
        <w:rPr>
          <w:rStyle w:val="FootnoteReference"/>
        </w:rPr>
        <w:footnoteRef/>
      </w:r>
      <w:r w:rsidRPr="00651CAA">
        <w:rPr>
          <w:lang w:val="en-GB"/>
        </w:rPr>
        <w:t xml:space="preserve"> </w:t>
      </w:r>
      <w:r w:rsidRPr="00651CAA">
        <w:rPr>
          <w:highlight w:val="yellow"/>
          <w:lang w:val="en-GB"/>
        </w:rPr>
        <w:t xml:space="preserve">Raymond </w:t>
      </w:r>
      <w:proofErr w:type="spellStart"/>
      <w:r w:rsidRPr="00651CAA">
        <w:rPr>
          <w:highlight w:val="yellow"/>
          <w:lang w:val="en-GB"/>
        </w:rPr>
        <w:t>Durgnat</w:t>
      </w:r>
      <w:proofErr w:type="spellEnd"/>
      <w:r w:rsidRPr="00651CAA">
        <w:rPr>
          <w:highlight w:val="yellow"/>
          <w:lang w:val="en-GB"/>
        </w:rPr>
        <w:t>, LLL, VVV, EEE, PPP.</w:t>
      </w:r>
    </w:p>
  </w:footnote>
  <w:footnote w:id="72">
    <w:p w14:paraId="1B84F0EC" w14:textId="7C767D98" w:rsidR="003812EF" w:rsidRPr="003812EF" w:rsidRDefault="003812EF">
      <w:pPr>
        <w:pStyle w:val="FootnoteText"/>
        <w:rPr>
          <w:lang w:val="fr-CH"/>
        </w:rPr>
      </w:pPr>
      <w:r>
        <w:rPr>
          <w:rStyle w:val="FootnoteReference"/>
        </w:rPr>
        <w:footnoteRef/>
      </w:r>
      <w:r>
        <w:t xml:space="preserve"> </w:t>
      </w:r>
      <w:r w:rsidRPr="00C43266">
        <w:t>–, « L’invasion des body-</w:t>
      </w:r>
      <w:proofErr w:type="spellStart"/>
      <w:r w:rsidRPr="00C43266">
        <w:t>snatchers</w:t>
      </w:r>
      <w:proofErr w:type="spellEnd"/>
      <w:r w:rsidRPr="00C43266">
        <w:t xml:space="preserve"> », </w:t>
      </w:r>
      <w:r w:rsidRPr="00C43266">
        <w:rPr>
          <w:i/>
        </w:rPr>
        <w:t>Télé libératrice(?)</w:t>
      </w:r>
      <w:r>
        <w:t xml:space="preserve">, </w:t>
      </w:r>
      <w:r>
        <w:rPr>
          <w:i/>
        </w:rPr>
        <w:t xml:space="preserve">op. </w:t>
      </w:r>
      <w:proofErr w:type="spellStart"/>
      <w:proofErr w:type="gramStart"/>
      <w:r>
        <w:rPr>
          <w:i/>
        </w:rPr>
        <w:t>cit</w:t>
      </w:r>
      <w:proofErr w:type="spellEnd"/>
      <w:proofErr w:type="gramEnd"/>
      <w:r>
        <w:rPr>
          <w:i/>
        </w:rPr>
        <w:t>.</w:t>
      </w:r>
    </w:p>
  </w:footnote>
  <w:footnote w:id="73">
    <w:p w14:paraId="7308B0EC" w14:textId="3AB0CE42" w:rsidR="00626266" w:rsidRPr="00626266" w:rsidRDefault="00626266">
      <w:pPr>
        <w:pStyle w:val="FootnoteText"/>
        <w:rPr>
          <w:lang w:val="fr-CH"/>
        </w:rPr>
      </w:pPr>
      <w:r>
        <w:rPr>
          <w:rStyle w:val="FootnoteReference"/>
        </w:rPr>
        <w:footnoteRef/>
      </w:r>
      <w:r>
        <w:t xml:space="preserve"> </w:t>
      </w:r>
      <w:r>
        <w:rPr>
          <w:rFonts w:cs="Times New Roman"/>
          <w:color w:val="000000"/>
          <w:lang w:val="fr-CH"/>
        </w:rPr>
        <w:t xml:space="preserve">Jean De </w:t>
      </w:r>
      <w:proofErr w:type="spellStart"/>
      <w:r>
        <w:rPr>
          <w:rFonts w:cs="Times New Roman"/>
          <w:color w:val="000000"/>
          <w:lang w:val="fr-CH"/>
        </w:rPr>
        <w:t>Baroncelli</w:t>
      </w:r>
      <w:proofErr w:type="spellEnd"/>
      <w:r>
        <w:rPr>
          <w:rFonts w:cs="Times New Roman"/>
          <w:color w:val="000000"/>
          <w:lang w:val="fr-CH"/>
        </w:rPr>
        <w:t xml:space="preserve">, </w:t>
      </w:r>
      <w:r>
        <w:rPr>
          <w:rFonts w:cs="Times New Roman"/>
          <w:i/>
          <w:color w:val="000000"/>
          <w:lang w:val="fr-CH"/>
        </w:rPr>
        <w:t xml:space="preserve">op. </w:t>
      </w:r>
      <w:proofErr w:type="spellStart"/>
      <w:proofErr w:type="gramStart"/>
      <w:r>
        <w:rPr>
          <w:rFonts w:cs="Times New Roman"/>
          <w:i/>
          <w:color w:val="000000"/>
          <w:lang w:val="fr-CH"/>
        </w:rPr>
        <w:t>cit</w:t>
      </w:r>
      <w:proofErr w:type="spellEnd"/>
      <w:proofErr w:type="gramEnd"/>
      <w:r>
        <w:rPr>
          <w:rFonts w:cs="Times New Roman"/>
          <w:i/>
          <w:color w:val="000000"/>
          <w:lang w:val="fr-CH"/>
        </w:rPr>
        <w:t>.</w:t>
      </w:r>
    </w:p>
  </w:footnote>
  <w:footnote w:id="74">
    <w:p w14:paraId="4A0BB0BB" w14:textId="55F89D49" w:rsidR="00BF6D6C" w:rsidRPr="00BF6D6C" w:rsidRDefault="00BF6D6C">
      <w:pPr>
        <w:pStyle w:val="FootnoteText"/>
        <w:rPr>
          <w:lang w:val="fr-CH"/>
        </w:rPr>
      </w:pPr>
      <w:r>
        <w:rPr>
          <w:rStyle w:val="FootnoteReference"/>
        </w:rPr>
        <w:footnoteRef/>
      </w:r>
      <w:r>
        <w:t xml:space="preserve"> </w:t>
      </w:r>
      <w:r w:rsidRPr="00BF6D6C">
        <w:rPr>
          <w:highlight w:val="yellow"/>
          <w:lang w:val="fr-CH"/>
        </w:rPr>
        <w:t>REF ?</w:t>
      </w:r>
    </w:p>
  </w:footnote>
  <w:footnote w:id="75">
    <w:p w14:paraId="41920924" w14:textId="6E069706" w:rsidR="00BF6D6C" w:rsidRPr="00BF6D6C" w:rsidRDefault="00BF6D6C">
      <w:pPr>
        <w:pStyle w:val="FootnoteText"/>
        <w:rPr>
          <w:lang w:val="fr-CH"/>
        </w:rPr>
      </w:pPr>
      <w:r>
        <w:rPr>
          <w:rStyle w:val="FootnoteReference"/>
        </w:rPr>
        <w:footnoteRef/>
      </w:r>
      <w:r>
        <w:t xml:space="preserve"> </w:t>
      </w:r>
      <w:r w:rsidRPr="00BF6D6C">
        <w:rPr>
          <w:highlight w:val="yellow"/>
          <w:lang w:val="fr-CH"/>
        </w:rPr>
        <w:t>REF ?</w:t>
      </w:r>
    </w:p>
  </w:footnote>
  <w:footnote w:id="76">
    <w:p w14:paraId="0FE71AAC" w14:textId="47DE5764" w:rsidR="00AD153C" w:rsidRPr="00AD153C" w:rsidRDefault="00AD153C">
      <w:pPr>
        <w:pStyle w:val="FootnoteText"/>
        <w:rPr>
          <w:lang w:val="fr-CH"/>
        </w:rPr>
      </w:pPr>
      <w:r>
        <w:rPr>
          <w:rStyle w:val="FootnoteReference"/>
        </w:rPr>
        <w:footnoteRef/>
      </w:r>
      <w:r>
        <w:t xml:space="preserve"> </w:t>
      </w:r>
      <w:r w:rsidR="00A84498">
        <w:rPr>
          <w:lang w:val="fr-CH"/>
        </w:rPr>
        <w:t xml:space="preserve">Lors de la publication de la critique en </w:t>
      </w:r>
      <w:r w:rsidR="0004743C">
        <w:rPr>
          <w:lang w:val="fr-CH"/>
        </w:rPr>
        <w:t>novembre</w:t>
      </w:r>
      <w:r w:rsidR="00A84498">
        <w:rPr>
          <w:lang w:val="fr-CH"/>
        </w:rPr>
        <w:t xml:space="preserve"> 1967, encore un « organe central du parti communiste français ».</w:t>
      </w:r>
    </w:p>
  </w:footnote>
  <w:footnote w:id="77">
    <w:p w14:paraId="2A62925E" w14:textId="329A67C4" w:rsidR="0004743C" w:rsidRPr="0004743C" w:rsidRDefault="0004743C">
      <w:pPr>
        <w:pStyle w:val="FootnoteText"/>
        <w:rPr>
          <w:lang w:val="fr-CH"/>
        </w:rPr>
      </w:pPr>
      <w:r>
        <w:rPr>
          <w:rStyle w:val="FootnoteReference"/>
        </w:rPr>
        <w:footnoteRef/>
      </w:r>
      <w:r w:rsidRPr="0004743C">
        <w:rPr>
          <w:lang w:val="en-GB"/>
        </w:rPr>
        <w:t xml:space="preserve"> </w:t>
      </w:r>
      <w:r w:rsidRPr="0004743C">
        <w:rPr>
          <w:lang w:val="en-GB"/>
        </w:rPr>
        <w:t xml:space="preserve">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 xml:space="preserve">op. </w:t>
      </w:r>
      <w:proofErr w:type="spellStart"/>
      <w:proofErr w:type="gramStart"/>
      <w:r>
        <w:rPr>
          <w:i/>
          <w:lang w:val="fr-CH"/>
        </w:rPr>
        <w:t>cit</w:t>
      </w:r>
      <w:proofErr w:type="spellEnd"/>
      <w:proofErr w:type="gramEnd"/>
      <w:r>
        <w:rPr>
          <w:i/>
          <w:lang w:val="fr-CH"/>
        </w:rPr>
        <w:t>.</w:t>
      </w:r>
    </w:p>
  </w:footnote>
  <w:footnote w:id="78">
    <w:p w14:paraId="454F93BF" w14:textId="180DAB3B" w:rsidR="004D6815" w:rsidRPr="004D6815" w:rsidRDefault="004D6815">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583AB891" w14:textId="44ECC769" w:rsidR="00E847B5" w:rsidRPr="00E847B5" w:rsidRDefault="00E847B5">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xml:space="preserve">, 20 </w:t>
      </w:r>
      <w:proofErr w:type="spellStart"/>
      <w:r w:rsidRPr="00E847B5">
        <w:rPr>
          <w:lang w:val="en-US"/>
        </w:rPr>
        <w:t>juillet</w:t>
      </w:r>
      <w:proofErr w:type="spellEnd"/>
      <w:r w:rsidRPr="00E847B5">
        <w:rPr>
          <w:lang w:val="en-US"/>
        </w:rPr>
        <w:t xml:space="preserve"> 2012.</w:t>
      </w:r>
    </w:p>
  </w:footnote>
  <w:footnote w:id="80">
    <w:p w14:paraId="277540D3" w14:textId="49D7901E" w:rsidR="00A047B8" w:rsidRPr="00A047B8" w:rsidRDefault="00A047B8">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sidR="00800B21">
        <w:rPr>
          <w:lang w:val="en-US"/>
        </w:rPr>
        <w:t xml:space="preserve"> [1965]</w:t>
      </w:r>
      <w:r w:rsidRPr="00A047B8">
        <w:rPr>
          <w:lang w:val="en-US"/>
        </w:rPr>
        <w:t>, pp.</w:t>
      </w:r>
      <w:r w:rsidR="00800B21">
        <w:rPr>
          <w:lang w:val="en-US"/>
        </w:rPr>
        <w:t xml:space="preserve"> </w:t>
      </w:r>
      <w:r w:rsidRPr="00A047B8">
        <w:rPr>
          <w:lang w:val="en-US"/>
        </w:rPr>
        <w:t>209-225.</w:t>
      </w:r>
    </w:p>
  </w:footnote>
  <w:footnote w:id="81">
    <w:p w14:paraId="00328556" w14:textId="23317B1D" w:rsidR="001E7675" w:rsidRPr="00C5130A" w:rsidRDefault="001E7675">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2">
    <w:p w14:paraId="2E28F3A0" w14:textId="0D996B6E" w:rsidR="00C5130A" w:rsidRPr="00C5130A" w:rsidRDefault="00C5130A">
      <w:pPr>
        <w:pStyle w:val="FootnoteText"/>
        <w:rPr>
          <w:lang w:val="en-GB"/>
        </w:rPr>
      </w:pPr>
      <w:r>
        <w:rPr>
          <w:rStyle w:val="FootnoteReference"/>
        </w:rPr>
        <w:footnoteRef/>
      </w:r>
      <w:r w:rsidRPr="00C5130A">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3">
    <w:p w14:paraId="4B1E6E39" w14:textId="1FD87F69" w:rsidR="00C7506F" w:rsidRPr="00700856" w:rsidRDefault="00C7506F">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r w:rsidR="00700856">
        <w:rPr>
          <w:lang w:val="en-GB"/>
        </w:rPr>
        <w:t>.</w:t>
      </w:r>
    </w:p>
  </w:footnote>
  <w:footnote w:id="84">
    <w:p w14:paraId="5A435C82" w14:textId="4F9C9372" w:rsidR="009437ED" w:rsidRPr="00700856" w:rsidRDefault="009437ED">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r w:rsidR="00700856">
        <w:rPr>
          <w:lang w:val="en-GB"/>
        </w:rPr>
        <w:t>.</w:t>
      </w:r>
    </w:p>
  </w:footnote>
  <w:footnote w:id="85">
    <w:p w14:paraId="369FB20A" w14:textId="53BDCB8C" w:rsidR="00700856" w:rsidRPr="00700856" w:rsidRDefault="00700856">
      <w:pPr>
        <w:pStyle w:val="FootnoteText"/>
        <w:rPr>
          <w:lang w:val="fr-CH"/>
        </w:rPr>
      </w:pPr>
      <w:r>
        <w:rPr>
          <w:rStyle w:val="FootnoteReference"/>
        </w:rPr>
        <w:footnoteRef/>
      </w:r>
      <w: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097892D7" w14:textId="20824F2C" w:rsidR="001A6504" w:rsidRPr="001A6504" w:rsidRDefault="001A6504">
      <w:pPr>
        <w:pStyle w:val="FootnoteText"/>
        <w:rPr>
          <w:lang w:val="fr-CH"/>
        </w:rPr>
      </w:pPr>
      <w:r>
        <w:rPr>
          <w:rStyle w:val="FootnoteReference"/>
        </w:rPr>
        <w:footnoteRef/>
      </w:r>
      <w: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7AABEED" w14:textId="094CAB9B" w:rsidR="00680AE3" w:rsidRPr="00680AE3" w:rsidRDefault="00680AE3">
      <w:pPr>
        <w:pStyle w:val="FootnoteText"/>
        <w:rPr>
          <w:lang w:val="fr-CH"/>
        </w:rPr>
      </w:pPr>
      <w:r>
        <w:rPr>
          <w:rStyle w:val="FootnoteReference"/>
        </w:rPr>
        <w:footnoteRef/>
      </w:r>
      <w:r>
        <w:t xml:space="preserve"> </w:t>
      </w:r>
      <w:r>
        <w:rPr>
          <w:lang w:val="fr-CH"/>
        </w:rPr>
        <w:t xml:space="preserve">Puisque l’essai traite de la science-fiction comme d’un genre cinématographique très clairement défini thématiquement et délimité </w:t>
      </w:r>
      <w:r w:rsidR="00FC6DD0">
        <w:rPr>
          <w:lang w:val="fr-CH"/>
        </w:rPr>
        <w:t>périodiquement, ce qui est un parti pris difficilement défendable.</w:t>
      </w:r>
    </w:p>
  </w:footnote>
  <w:footnote w:id="88">
    <w:p w14:paraId="75209DDC" w14:textId="4CBF3574" w:rsidR="00FC6DD0" w:rsidRPr="00FC6DD0" w:rsidRDefault="00FC6DD0">
      <w:pPr>
        <w:pStyle w:val="FootnoteText"/>
        <w:rPr>
          <w:lang w:val="fr-CH"/>
        </w:rPr>
      </w:pPr>
      <w:r>
        <w:rPr>
          <w:rStyle w:val="FootnoteReference"/>
        </w:rPr>
        <w:footnoteRef/>
      </w:r>
      <w:r>
        <w:t xml:space="preserve"> </w:t>
      </w:r>
      <w:r>
        <w:rPr>
          <w:lang w:val="fr-CH"/>
        </w:rPr>
        <w:t xml:space="preserve">Dans une définition plus large, </w:t>
      </w:r>
      <w:r w:rsidR="00022991">
        <w:rPr>
          <w:lang w:val="fr-CH"/>
        </w:rPr>
        <w:t>puisqu’un</w:t>
      </w:r>
      <w:r>
        <w:rPr>
          <w:lang w:val="fr-CH"/>
        </w:rPr>
        <w:t xml:space="preserve"> certain nombre d’études sont également consacrées à d’autres genres comme le western ou le film noir.</w:t>
      </w:r>
    </w:p>
  </w:footnote>
  <w:footnote w:id="89">
    <w:p w14:paraId="4A9EB9AF" w14:textId="086D986E" w:rsidR="00444D30" w:rsidRPr="00F953EA" w:rsidRDefault="00444D30">
      <w:pPr>
        <w:pStyle w:val="FootnoteText"/>
        <w:rPr>
          <w:lang w:val="en-GB"/>
        </w:rPr>
      </w:pPr>
      <w:r>
        <w:rPr>
          <w:rStyle w:val="FootnoteReference"/>
        </w:rPr>
        <w:footnoteRef/>
      </w:r>
      <w:r w:rsidRPr="00F953EA">
        <w:rPr>
          <w:lang w:val="en-GB"/>
        </w:rPr>
        <w:t xml:space="preserve"> Tony </w:t>
      </w:r>
      <w:r w:rsidR="00F953EA" w:rsidRPr="00F953EA">
        <w:rPr>
          <w:lang w:val="en-GB"/>
        </w:rPr>
        <w:t xml:space="preserve">Shaw, </w:t>
      </w:r>
      <w:r w:rsidR="00F953EA" w:rsidRPr="008378E6">
        <w:rPr>
          <w:rFonts w:cs="Times New Roman"/>
          <w:i/>
          <w:color w:val="000000"/>
          <w:lang w:val="en-US"/>
        </w:rPr>
        <w:t>Hollywood’s Cold War</w:t>
      </w:r>
      <w:r w:rsidR="00F953EA" w:rsidRPr="008378E6">
        <w:rPr>
          <w:rFonts w:cs="Times New Roman"/>
          <w:color w:val="000000"/>
          <w:lang w:val="en-US"/>
        </w:rPr>
        <w:t>, Edinburgh University Press, Edinburgh, 2007.</w:t>
      </w:r>
    </w:p>
  </w:footnote>
  <w:footnote w:id="90">
    <w:p w14:paraId="48E84651" w14:textId="061EE3BB" w:rsidR="006A46AA" w:rsidRPr="006A46AA" w:rsidRDefault="006A46AA">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3E666DC4" w14:textId="71B88DB6" w:rsidR="001373A0" w:rsidRPr="00CA0620" w:rsidRDefault="001373A0">
      <w:pPr>
        <w:pStyle w:val="FootnoteText"/>
        <w:rPr>
          <w:lang w:val="en-GB"/>
        </w:rPr>
      </w:pPr>
      <w:r>
        <w:rPr>
          <w:rStyle w:val="FootnoteReference"/>
        </w:rPr>
        <w:footnoteRef/>
      </w:r>
      <w:r>
        <w:t xml:space="preserve"> </w:t>
      </w:r>
      <w:r>
        <w:rPr>
          <w:lang w:val="fr-CH"/>
        </w:rPr>
        <w:t>Qui a fortement mobilisé toute l’industrie cinématographique américaine au profit d’une machine politique soutenant l’entrée des Etats-Unis d’Amérique dans le conflit.</w:t>
      </w:r>
      <w:r w:rsidR="00CA0620">
        <w:rPr>
          <w:lang w:val="fr-CH"/>
        </w:rPr>
        <w:t xml:space="preserve"> </w:t>
      </w:r>
      <w:proofErr w:type="spellStart"/>
      <w:r w:rsidR="00CA0620" w:rsidRPr="00CA0620">
        <w:rPr>
          <w:lang w:val="en-GB"/>
        </w:rPr>
        <w:t>Voir</w:t>
      </w:r>
      <w:proofErr w:type="spellEnd"/>
      <w:r w:rsidR="00CA0620" w:rsidRPr="00CA0620">
        <w:rPr>
          <w:lang w:val="en-GB"/>
        </w:rPr>
        <w:t xml:space="preserve"> J. </w:t>
      </w:r>
      <w:proofErr w:type="spellStart"/>
      <w:r w:rsidR="00CA0620" w:rsidRPr="00CA0620">
        <w:rPr>
          <w:lang w:val="en-GB"/>
        </w:rPr>
        <w:t>Hoberman</w:t>
      </w:r>
      <w:proofErr w:type="spellEnd"/>
      <w:r w:rsidR="00CA0620" w:rsidRPr="00CA0620">
        <w:rPr>
          <w:lang w:val="en-GB"/>
        </w:rPr>
        <w:t xml:space="preserve">, </w:t>
      </w:r>
      <w:r w:rsidR="00CA0620" w:rsidRPr="008378E6">
        <w:rPr>
          <w:i/>
          <w:lang w:val="en-US"/>
        </w:rPr>
        <w:t>An Army of Phantoms: American Movies and the Making of the Cold War</w:t>
      </w:r>
      <w:r w:rsidR="00CA0620" w:rsidRPr="008378E6">
        <w:rPr>
          <w:lang w:val="en-US"/>
        </w:rPr>
        <w:t>, New Y</w:t>
      </w:r>
      <w:r w:rsidR="00CA0620">
        <w:rPr>
          <w:lang w:val="en-US"/>
        </w:rPr>
        <w:t>ork/London, The New Press, 2011, pp. 19-30.</w:t>
      </w:r>
    </w:p>
  </w:footnote>
  <w:footnote w:id="92">
    <w:p w14:paraId="60142359" w14:textId="19316C5C" w:rsidR="00D02990" w:rsidRPr="00D02990" w:rsidRDefault="00D02990">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06C5BE29" w14:textId="3FD10BAE" w:rsidR="004C7DB0" w:rsidRPr="004C7DB0" w:rsidRDefault="004C7DB0">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2D097EF3" w14:textId="0DD3CA8A" w:rsidR="000D6B0D" w:rsidRPr="000D6B0D" w:rsidRDefault="000D6B0D">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Pr>
          <w:lang w:val="fr-CH"/>
        </w:rPr>
        <w:t>»</w:t>
      </w:r>
      <w:r>
        <w:rPr>
          <w:lang w:val="fr-CH"/>
        </w:rPr>
        <w:t xml:space="preserve">, </w:t>
      </w:r>
      <w:r w:rsidR="005D52ED" w:rsidRPr="00B22130">
        <w:rPr>
          <w:lang w:val="en-US"/>
        </w:rPr>
        <w:t>History, Art &amp; Archives</w:t>
      </w:r>
      <w:r w:rsidR="005D52ED">
        <w:rPr>
          <w:lang w:val="en-US"/>
        </w:rPr>
        <w:t xml:space="preserve">. United States House of Representatives, </w:t>
      </w:r>
      <w:hyperlink r:id="rId1" w:history="1">
        <w:r w:rsidR="005D52ED" w:rsidRPr="00324206">
          <w:rPr>
            <w:rStyle w:val="Hyperlink"/>
            <w:lang w:val="en-US"/>
          </w:rPr>
          <w:t>http://history.house.gov/</w:t>
        </w:r>
      </w:hyperlink>
      <w:r w:rsidR="005D52ED">
        <w:rPr>
          <w:lang w:val="en-US"/>
        </w:rPr>
        <w:t xml:space="preserve">, </w:t>
      </w:r>
      <w:proofErr w:type="spellStart"/>
      <w:r w:rsidR="005D52ED">
        <w:rPr>
          <w:lang w:val="en-US"/>
        </w:rPr>
        <w:t>consulté</w:t>
      </w:r>
      <w:proofErr w:type="spellEnd"/>
      <w:r w:rsidR="005D52ED">
        <w:rPr>
          <w:lang w:val="en-US"/>
        </w:rPr>
        <w:t xml:space="preserve"> le 04.12.2016</w:t>
      </w:r>
    </w:p>
  </w:footnote>
  <w:footnote w:id="95">
    <w:p w14:paraId="68C34332" w14:textId="7D7BFE56" w:rsidR="00331356" w:rsidRPr="00331356" w:rsidRDefault="00331356">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communistes en son centre.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5E19B7" w:rsidRPr="00173138" w:rsidRDefault="005E19B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5E19B7" w:rsidRPr="00173138" w:rsidRDefault="005E19B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E19B7" w:rsidRPr="008138ED" w:rsidRDefault="005E19B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5E19B7" w:rsidRPr="00A60B3A" w:rsidRDefault="005E19B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BA3"/>
    <w:rsid w:val="00005E71"/>
    <w:rsid w:val="0000607A"/>
    <w:rsid w:val="00006DAE"/>
    <w:rsid w:val="000141B8"/>
    <w:rsid w:val="00016E91"/>
    <w:rsid w:val="00022991"/>
    <w:rsid w:val="00026DEC"/>
    <w:rsid w:val="00040872"/>
    <w:rsid w:val="00045FE8"/>
    <w:rsid w:val="00046807"/>
    <w:rsid w:val="00046D0E"/>
    <w:rsid w:val="0004743C"/>
    <w:rsid w:val="00047F06"/>
    <w:rsid w:val="000552FA"/>
    <w:rsid w:val="000634E0"/>
    <w:rsid w:val="00064452"/>
    <w:rsid w:val="00071D42"/>
    <w:rsid w:val="000725F5"/>
    <w:rsid w:val="00082892"/>
    <w:rsid w:val="00083709"/>
    <w:rsid w:val="00084232"/>
    <w:rsid w:val="00084430"/>
    <w:rsid w:val="000A0EDA"/>
    <w:rsid w:val="000B5190"/>
    <w:rsid w:val="000D04D2"/>
    <w:rsid w:val="000D1912"/>
    <w:rsid w:val="000D2034"/>
    <w:rsid w:val="000D6B0D"/>
    <w:rsid w:val="000D6CD7"/>
    <w:rsid w:val="000E0580"/>
    <w:rsid w:val="000F5F10"/>
    <w:rsid w:val="000F68B8"/>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937F5"/>
    <w:rsid w:val="00195D85"/>
    <w:rsid w:val="001A1430"/>
    <w:rsid w:val="001A4F60"/>
    <w:rsid w:val="001A6504"/>
    <w:rsid w:val="001B2667"/>
    <w:rsid w:val="001B7687"/>
    <w:rsid w:val="001C7833"/>
    <w:rsid w:val="001D3B62"/>
    <w:rsid w:val="001E2D11"/>
    <w:rsid w:val="001E328D"/>
    <w:rsid w:val="001E7675"/>
    <w:rsid w:val="001F52E4"/>
    <w:rsid w:val="001F756A"/>
    <w:rsid w:val="00211C03"/>
    <w:rsid w:val="00213BA4"/>
    <w:rsid w:val="00216E79"/>
    <w:rsid w:val="00220532"/>
    <w:rsid w:val="002210A4"/>
    <w:rsid w:val="002235F1"/>
    <w:rsid w:val="0022552E"/>
    <w:rsid w:val="00230823"/>
    <w:rsid w:val="00237C1E"/>
    <w:rsid w:val="002516D8"/>
    <w:rsid w:val="00253E7E"/>
    <w:rsid w:val="00257664"/>
    <w:rsid w:val="00266588"/>
    <w:rsid w:val="00273D4F"/>
    <w:rsid w:val="00283880"/>
    <w:rsid w:val="00283CF4"/>
    <w:rsid w:val="00291917"/>
    <w:rsid w:val="00293BA0"/>
    <w:rsid w:val="002A445A"/>
    <w:rsid w:val="002B23B5"/>
    <w:rsid w:val="002D4827"/>
    <w:rsid w:val="002D513A"/>
    <w:rsid w:val="002D772A"/>
    <w:rsid w:val="002D7B33"/>
    <w:rsid w:val="002E2A84"/>
    <w:rsid w:val="002E40FA"/>
    <w:rsid w:val="002F3ABB"/>
    <w:rsid w:val="00300B5B"/>
    <w:rsid w:val="00300FAE"/>
    <w:rsid w:val="0030216F"/>
    <w:rsid w:val="00313F77"/>
    <w:rsid w:val="00317A04"/>
    <w:rsid w:val="00324843"/>
    <w:rsid w:val="00331356"/>
    <w:rsid w:val="00333A58"/>
    <w:rsid w:val="00336723"/>
    <w:rsid w:val="003404E5"/>
    <w:rsid w:val="003423A7"/>
    <w:rsid w:val="00344D50"/>
    <w:rsid w:val="003553A5"/>
    <w:rsid w:val="00360B6A"/>
    <w:rsid w:val="0036501B"/>
    <w:rsid w:val="00367E5D"/>
    <w:rsid w:val="003704D3"/>
    <w:rsid w:val="00371D86"/>
    <w:rsid w:val="003812EF"/>
    <w:rsid w:val="003873C4"/>
    <w:rsid w:val="003878FF"/>
    <w:rsid w:val="003905E9"/>
    <w:rsid w:val="0039669B"/>
    <w:rsid w:val="003B03B9"/>
    <w:rsid w:val="003C5211"/>
    <w:rsid w:val="003D1B8D"/>
    <w:rsid w:val="003E168C"/>
    <w:rsid w:val="003E2F89"/>
    <w:rsid w:val="003E611C"/>
    <w:rsid w:val="003E64C0"/>
    <w:rsid w:val="003E71E3"/>
    <w:rsid w:val="003F4757"/>
    <w:rsid w:val="004025E2"/>
    <w:rsid w:val="00411460"/>
    <w:rsid w:val="00417F55"/>
    <w:rsid w:val="00421E95"/>
    <w:rsid w:val="00423903"/>
    <w:rsid w:val="0042563E"/>
    <w:rsid w:val="004279CD"/>
    <w:rsid w:val="00443326"/>
    <w:rsid w:val="00444D30"/>
    <w:rsid w:val="00452E70"/>
    <w:rsid w:val="00461A37"/>
    <w:rsid w:val="00465ED2"/>
    <w:rsid w:val="0047129C"/>
    <w:rsid w:val="0047279B"/>
    <w:rsid w:val="00474C42"/>
    <w:rsid w:val="004870CE"/>
    <w:rsid w:val="00495930"/>
    <w:rsid w:val="004A0925"/>
    <w:rsid w:val="004A4981"/>
    <w:rsid w:val="004B4016"/>
    <w:rsid w:val="004B4329"/>
    <w:rsid w:val="004C1431"/>
    <w:rsid w:val="004C1AFF"/>
    <w:rsid w:val="004C3836"/>
    <w:rsid w:val="004C4C04"/>
    <w:rsid w:val="004C6BE7"/>
    <w:rsid w:val="004C7DB0"/>
    <w:rsid w:val="004D3899"/>
    <w:rsid w:val="004D4B6F"/>
    <w:rsid w:val="004D6815"/>
    <w:rsid w:val="004E23D6"/>
    <w:rsid w:val="004E548E"/>
    <w:rsid w:val="004E62A3"/>
    <w:rsid w:val="004E747B"/>
    <w:rsid w:val="004F4AF0"/>
    <w:rsid w:val="004F6744"/>
    <w:rsid w:val="00503CBA"/>
    <w:rsid w:val="005041DE"/>
    <w:rsid w:val="00506F6E"/>
    <w:rsid w:val="00510CB6"/>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E19B7"/>
    <w:rsid w:val="005E65B7"/>
    <w:rsid w:val="005F3C37"/>
    <w:rsid w:val="00601392"/>
    <w:rsid w:val="00611886"/>
    <w:rsid w:val="006127A9"/>
    <w:rsid w:val="0061419D"/>
    <w:rsid w:val="0061689F"/>
    <w:rsid w:val="00623FA5"/>
    <w:rsid w:val="00626266"/>
    <w:rsid w:val="00645A27"/>
    <w:rsid w:val="00651CAA"/>
    <w:rsid w:val="00656792"/>
    <w:rsid w:val="00656AB9"/>
    <w:rsid w:val="00663724"/>
    <w:rsid w:val="00663B0A"/>
    <w:rsid w:val="00664E6A"/>
    <w:rsid w:val="00665C44"/>
    <w:rsid w:val="00670840"/>
    <w:rsid w:val="00674BE2"/>
    <w:rsid w:val="00680AE3"/>
    <w:rsid w:val="006A0B89"/>
    <w:rsid w:val="006A31EF"/>
    <w:rsid w:val="006A3862"/>
    <w:rsid w:val="006A46AA"/>
    <w:rsid w:val="006B2252"/>
    <w:rsid w:val="006B3574"/>
    <w:rsid w:val="006B65BF"/>
    <w:rsid w:val="006C6A6A"/>
    <w:rsid w:val="006C76D3"/>
    <w:rsid w:val="006D0090"/>
    <w:rsid w:val="006D1F72"/>
    <w:rsid w:val="006D57C0"/>
    <w:rsid w:val="006D5FD9"/>
    <w:rsid w:val="006E044F"/>
    <w:rsid w:val="006E18EF"/>
    <w:rsid w:val="006F4D02"/>
    <w:rsid w:val="006F6062"/>
    <w:rsid w:val="00700856"/>
    <w:rsid w:val="00703DA6"/>
    <w:rsid w:val="00717BE1"/>
    <w:rsid w:val="00722301"/>
    <w:rsid w:val="00723A13"/>
    <w:rsid w:val="00732974"/>
    <w:rsid w:val="00732B2C"/>
    <w:rsid w:val="00734435"/>
    <w:rsid w:val="007344B8"/>
    <w:rsid w:val="00734C51"/>
    <w:rsid w:val="0073541F"/>
    <w:rsid w:val="0074138E"/>
    <w:rsid w:val="0074692C"/>
    <w:rsid w:val="007504B3"/>
    <w:rsid w:val="0075790B"/>
    <w:rsid w:val="00766D6F"/>
    <w:rsid w:val="00767450"/>
    <w:rsid w:val="00771C29"/>
    <w:rsid w:val="00781EA5"/>
    <w:rsid w:val="00782CBD"/>
    <w:rsid w:val="0078373E"/>
    <w:rsid w:val="007914D6"/>
    <w:rsid w:val="0079569E"/>
    <w:rsid w:val="007A0071"/>
    <w:rsid w:val="007A3A39"/>
    <w:rsid w:val="007D4311"/>
    <w:rsid w:val="007D593E"/>
    <w:rsid w:val="007D7652"/>
    <w:rsid w:val="007E1A3C"/>
    <w:rsid w:val="007E60F5"/>
    <w:rsid w:val="007F20DF"/>
    <w:rsid w:val="007F6A07"/>
    <w:rsid w:val="00800B21"/>
    <w:rsid w:val="00801C43"/>
    <w:rsid w:val="00801F85"/>
    <w:rsid w:val="0080297C"/>
    <w:rsid w:val="00810ADF"/>
    <w:rsid w:val="00810BFA"/>
    <w:rsid w:val="008138ED"/>
    <w:rsid w:val="0081693C"/>
    <w:rsid w:val="0082622B"/>
    <w:rsid w:val="00826DEA"/>
    <w:rsid w:val="0082726C"/>
    <w:rsid w:val="0083111B"/>
    <w:rsid w:val="008349BE"/>
    <w:rsid w:val="008364AE"/>
    <w:rsid w:val="0084708F"/>
    <w:rsid w:val="008540F1"/>
    <w:rsid w:val="0085797C"/>
    <w:rsid w:val="008605A2"/>
    <w:rsid w:val="00876848"/>
    <w:rsid w:val="008806D3"/>
    <w:rsid w:val="008865F3"/>
    <w:rsid w:val="00891450"/>
    <w:rsid w:val="008915E7"/>
    <w:rsid w:val="00897A27"/>
    <w:rsid w:val="008A323A"/>
    <w:rsid w:val="008A7494"/>
    <w:rsid w:val="008B2A9C"/>
    <w:rsid w:val="008C08B5"/>
    <w:rsid w:val="008C600F"/>
    <w:rsid w:val="008D19D6"/>
    <w:rsid w:val="008E367A"/>
    <w:rsid w:val="008E3E84"/>
    <w:rsid w:val="008E7C4E"/>
    <w:rsid w:val="008F5700"/>
    <w:rsid w:val="008F6058"/>
    <w:rsid w:val="008F7692"/>
    <w:rsid w:val="00900F3C"/>
    <w:rsid w:val="00902AA9"/>
    <w:rsid w:val="009079AC"/>
    <w:rsid w:val="00917414"/>
    <w:rsid w:val="0092189B"/>
    <w:rsid w:val="0092365D"/>
    <w:rsid w:val="00923E14"/>
    <w:rsid w:val="00925377"/>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C43E8"/>
    <w:rsid w:val="009C57A5"/>
    <w:rsid w:val="009E2528"/>
    <w:rsid w:val="009E498B"/>
    <w:rsid w:val="009E67C3"/>
    <w:rsid w:val="009F3C8F"/>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705"/>
    <w:rsid w:val="00B22B0C"/>
    <w:rsid w:val="00B23C6B"/>
    <w:rsid w:val="00B31E7A"/>
    <w:rsid w:val="00B359C1"/>
    <w:rsid w:val="00B50D87"/>
    <w:rsid w:val="00B60790"/>
    <w:rsid w:val="00B65CFE"/>
    <w:rsid w:val="00B90B58"/>
    <w:rsid w:val="00B92C52"/>
    <w:rsid w:val="00B96B22"/>
    <w:rsid w:val="00BA47A3"/>
    <w:rsid w:val="00BA6F90"/>
    <w:rsid w:val="00BA72D1"/>
    <w:rsid w:val="00BB6E40"/>
    <w:rsid w:val="00BE2589"/>
    <w:rsid w:val="00BF02C1"/>
    <w:rsid w:val="00BF0810"/>
    <w:rsid w:val="00BF32E7"/>
    <w:rsid w:val="00BF6D6C"/>
    <w:rsid w:val="00C00C01"/>
    <w:rsid w:val="00C00EFC"/>
    <w:rsid w:val="00C026AF"/>
    <w:rsid w:val="00C03C7A"/>
    <w:rsid w:val="00C060D1"/>
    <w:rsid w:val="00C103A2"/>
    <w:rsid w:val="00C115FF"/>
    <w:rsid w:val="00C16A30"/>
    <w:rsid w:val="00C17BE9"/>
    <w:rsid w:val="00C249AB"/>
    <w:rsid w:val="00C251F9"/>
    <w:rsid w:val="00C25610"/>
    <w:rsid w:val="00C27606"/>
    <w:rsid w:val="00C30FA4"/>
    <w:rsid w:val="00C3166F"/>
    <w:rsid w:val="00C32B00"/>
    <w:rsid w:val="00C32EB3"/>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4BEE"/>
    <w:rsid w:val="00CB707A"/>
    <w:rsid w:val="00CD2ABD"/>
    <w:rsid w:val="00CD6788"/>
    <w:rsid w:val="00CD78D5"/>
    <w:rsid w:val="00CE062F"/>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1576"/>
    <w:rsid w:val="00D41B23"/>
    <w:rsid w:val="00D42550"/>
    <w:rsid w:val="00D42CAE"/>
    <w:rsid w:val="00D46285"/>
    <w:rsid w:val="00D524D1"/>
    <w:rsid w:val="00D5422B"/>
    <w:rsid w:val="00D56248"/>
    <w:rsid w:val="00D57068"/>
    <w:rsid w:val="00D60196"/>
    <w:rsid w:val="00D60512"/>
    <w:rsid w:val="00D62069"/>
    <w:rsid w:val="00D80634"/>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358E"/>
    <w:rsid w:val="00E027DF"/>
    <w:rsid w:val="00E16E4E"/>
    <w:rsid w:val="00E217C0"/>
    <w:rsid w:val="00E251B8"/>
    <w:rsid w:val="00E256C7"/>
    <w:rsid w:val="00E25763"/>
    <w:rsid w:val="00E33B0D"/>
    <w:rsid w:val="00E41347"/>
    <w:rsid w:val="00E4313C"/>
    <w:rsid w:val="00E4428C"/>
    <w:rsid w:val="00E57157"/>
    <w:rsid w:val="00E6478A"/>
    <w:rsid w:val="00E748E4"/>
    <w:rsid w:val="00E74AF3"/>
    <w:rsid w:val="00E766BF"/>
    <w:rsid w:val="00E773D5"/>
    <w:rsid w:val="00E80FD5"/>
    <w:rsid w:val="00E823D7"/>
    <w:rsid w:val="00E847B5"/>
    <w:rsid w:val="00E84BB2"/>
    <w:rsid w:val="00E944CC"/>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6449"/>
    <w:rsid w:val="00F1669A"/>
    <w:rsid w:val="00F2193B"/>
    <w:rsid w:val="00F24C6F"/>
    <w:rsid w:val="00F3274A"/>
    <w:rsid w:val="00F33859"/>
    <w:rsid w:val="00F33C24"/>
    <w:rsid w:val="00F37F51"/>
    <w:rsid w:val="00F4408F"/>
    <w:rsid w:val="00F4480F"/>
    <w:rsid w:val="00F51A78"/>
    <w:rsid w:val="00F54F1D"/>
    <w:rsid w:val="00F56B7E"/>
    <w:rsid w:val="00F6235E"/>
    <w:rsid w:val="00F66B1F"/>
    <w:rsid w:val="00F7084A"/>
    <w:rsid w:val="00F7691F"/>
    <w:rsid w:val="00F77154"/>
    <w:rsid w:val="00F81209"/>
    <w:rsid w:val="00F8693F"/>
    <w:rsid w:val="00F87191"/>
    <w:rsid w:val="00F90D23"/>
    <w:rsid w:val="00F910DC"/>
    <w:rsid w:val="00F953EA"/>
    <w:rsid w:val="00F95A52"/>
    <w:rsid w:val="00F963E4"/>
    <w:rsid w:val="00F975F9"/>
    <w:rsid w:val="00FA31E1"/>
    <w:rsid w:val="00FA4053"/>
    <w:rsid w:val="00FB3F74"/>
    <w:rsid w:val="00FC30BB"/>
    <w:rsid w:val="00FC6DD0"/>
    <w:rsid w:val="00FD0709"/>
    <w:rsid w:val="00FD4B37"/>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D66AE76-6187-FA47-9022-8079835F4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11</Pages>
  <Words>3575</Words>
  <Characters>17914</Characters>
  <Application>Microsoft Macintosh Word</Application>
  <DocSecurity>0</DocSecurity>
  <Lines>252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386</cp:revision>
  <dcterms:created xsi:type="dcterms:W3CDTF">2016-06-23T14:51:00Z</dcterms:created>
  <dcterms:modified xsi:type="dcterms:W3CDTF">2016-12-04T19:56:00Z</dcterms:modified>
</cp:coreProperties>
</file>