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09AF7892" w14:textId="5F7F4BA7" w:rsidR="008C08B5" w:rsidRPr="00CD78D5" w:rsidRDefault="00CD78D5" w:rsidP="00541737">
      <w:pPr>
        <w:pStyle w:val="Heading1"/>
        <w:rPr>
          <w:lang w:val="fr-CH"/>
        </w:rPr>
      </w:pPr>
      <w:r w:rsidRPr="00CD78D5">
        <w:rPr>
          <w:lang w:val="fr-CH"/>
        </w:rPr>
        <w:t>État de l’Art (</w:t>
      </w:r>
      <w:r>
        <w:rPr>
          <w:lang w:val="fr-CH"/>
        </w:rPr>
        <w:t>r</w:t>
      </w:r>
      <w:r w:rsidRPr="00CD78D5">
        <w:rPr>
          <w:lang w:val="fr-CH"/>
        </w:rPr>
        <w:t>éception critique/réception académique)</w:t>
      </w:r>
    </w:p>
    <w:p w14:paraId="5B806888" w14:textId="789399DA"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 xml:space="preserve"> pures, sans toutefois complètement les omettre.</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 xml:space="preserve">Invasion </w:t>
      </w:r>
      <w:r w:rsidR="00333A58">
        <w:rPr>
          <w:i/>
          <w:lang w:val="fr-CH"/>
        </w:rPr>
        <w:lastRenderedPageBreak/>
        <w:t>of the Body Snatchers</w:t>
      </w:r>
      <w:r w:rsidR="00333A58">
        <w:rPr>
          <w:rStyle w:val="FootnoteReference"/>
          <w:i/>
          <w:lang w:val="fr-CH"/>
        </w:rPr>
        <w:footnoteReference w:id="6"/>
      </w:r>
      <w:r w:rsidR="007D7652">
        <w:rPr>
          <w:lang w:val="fr-CH"/>
        </w:rPr>
        <w:t>. 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sz w:val="26"/>
          <w:lang w:val="fr-CH"/>
        </w:rPr>
      </w:pPr>
      <w:r w:rsidRPr="00611886">
        <w:rPr>
          <w:sz w:val="26"/>
          <w:lang w:val="fr-CH"/>
        </w:rPr>
        <w:t xml:space="preserve">Un « classique » et ses </w:t>
      </w:r>
      <w:r w:rsidRPr="00611886">
        <w:rPr>
          <w:i/>
          <w:sz w:val="26"/>
          <w:lang w:val="fr-CH"/>
        </w:rPr>
        <w:t>remakes</w:t>
      </w:r>
      <w:r w:rsidRPr="00611886">
        <w:rPr>
          <w:sz w:val="26"/>
          <w:lang w:val="fr-CH"/>
        </w:rPr>
        <w:t xml:space="preserve"> vus par la critique</w:t>
      </w:r>
    </w:p>
    <w:p w14:paraId="4B5E6F95" w14:textId="77777777" w:rsidR="00EB361E" w:rsidRPr="00CD78D5" w:rsidRDefault="00EB361E" w:rsidP="00EB361E">
      <w:pPr>
        <w:rPr>
          <w:lang w:val="fr-CH"/>
        </w:rPr>
      </w:pPr>
    </w:p>
    <w:p w14:paraId="6588DE39" w14:textId="02CA731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dans laquelle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 Le choix de plusieurs auteurs</w:t>
      </w:r>
      <w:r w:rsidR="00F4408F">
        <w:rPr>
          <w:rStyle w:val="FootnoteReference"/>
          <w:lang w:val="fr-CH"/>
        </w:rPr>
        <w:footnoteReference w:id="10"/>
      </w:r>
      <w:r w:rsidR="006E044F">
        <w:rPr>
          <w:lang w:val="fr-CH"/>
        </w:rPr>
        <w:t xml:space="preserve"> de citer cette lettre </w:t>
      </w:r>
      <w:r w:rsidR="00F51A78">
        <w:rPr>
          <w:lang w:val="fr-CH"/>
        </w:rPr>
        <w:t>trahit également une volonté de légitimation d’un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avait connu un retentissement positif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 sorti en salles le 5 février 1956</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période de vacances peu propice à </w:t>
      </w:r>
      <w:r w:rsidR="00F963E4">
        <w:rPr>
          <w:lang w:val="fr-CH"/>
        </w:rPr>
        <w:lastRenderedPageBreak/>
        <w:t>ce genre d’</w:t>
      </w:r>
      <w:r w:rsidR="00B90B58">
        <w:rPr>
          <w:lang w:val="fr-CH"/>
        </w:rPr>
        <w:t>évènements</w:t>
      </w:r>
      <w:r w:rsidR="00F963E4">
        <w:rPr>
          <w:lang w:val="fr-CH"/>
        </w:rPr>
        <w:t>.</w:t>
      </w:r>
      <w:r w:rsidR="001D3B62">
        <w:rPr>
          <w:lang w:val="fr-CH"/>
        </w:rPr>
        <w:t xml:space="preserve"> La douzaine de critiques publiées au moment de la sortie du film sont 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comme tentative d’imiter son succès ; bien que le résumé du film dans critique de Sarah Hamilton 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AB3AD4">
        <w:rPr>
          <w:lang w:val="fr-CH"/>
        </w:rPr>
        <w:t>Ce que toutes les critiques américaines et britanniques de l’</w:t>
      </w:r>
      <w:r w:rsidR="00E41347">
        <w:rPr>
          <w:lang w:val="fr-CH"/>
        </w:rPr>
        <w:t>époques manquent de mentionner est le sous-texte politique du film, chose qui n’échappe pas à la 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d’ «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them lies money.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26DEA378" w:rsidR="00656792" w:rsidRDefault="0082622B"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w:t>
      </w:r>
      <w:r w:rsidR="00732B2C">
        <w:rPr>
          <w:lang w:val="fr-CH"/>
        </w:rPr>
        <w:t xml:space="preserve">, et est effectivement pris comme étalon dans l’évaluation. Toutefois, Kehr lui-même s’accorde à dire que </w:t>
      </w:r>
      <w:r w:rsidR="00543A54">
        <w:rPr>
          <w:lang w:val="fr-CH"/>
        </w:rPr>
        <w:t>« </w:t>
      </w:r>
      <w:r w:rsidR="00543A54" w:rsidRPr="00FA4053">
        <w:rPr>
          <w:lang w:val="en-US"/>
        </w:rPr>
        <w:t>Phil Kaufman’s version […] is as good as remakes go, but not as good as the original</w:t>
      </w:r>
      <w:r w:rsidR="00543A54">
        <w:rPr>
          <w:lang w:val="fr-CH"/>
        </w:rPr>
        <w:t> »</w:t>
      </w:r>
      <w:r w:rsidR="00543A54">
        <w:rPr>
          <w:rStyle w:val="FootnoteReference"/>
          <w:lang w:val="fr-CH"/>
        </w:rPr>
        <w:footnoteReference w:id="31"/>
      </w:r>
      <w:r w:rsidR="00F54F1D">
        <w:rPr>
          <w:lang w:val="fr-CH"/>
        </w:rPr>
        <w:t xml:space="preserve">, </w:t>
      </w:r>
      <w:r w:rsidR="00A00FD7">
        <w:rPr>
          <w:lang w:val="fr-CH"/>
        </w:rPr>
        <w:t>Richard Combs parle de « </w:t>
      </w:r>
      <w:r w:rsidR="00A00FD7" w:rsidRPr="00A00FD7">
        <w:rPr>
          <w:lang w:val="en-US"/>
        </w:rPr>
        <w:t>one of the most intriguing adaptations for some time </w:t>
      </w:r>
      <w:r w:rsidR="00A00FD7">
        <w:rPr>
          <w:lang w:val="fr-CH"/>
        </w:rPr>
        <w:t>»</w:t>
      </w:r>
      <w:r w:rsidR="00A00FD7">
        <w:rPr>
          <w:rStyle w:val="FootnoteReference"/>
          <w:lang w:val="fr-CH"/>
        </w:rPr>
        <w:footnoteReference w:id="32"/>
      </w:r>
      <w:r w:rsidR="00A00FD7">
        <w:rPr>
          <w:lang w:val="fr-CH"/>
        </w:rPr>
        <w:t xml:space="preserve"> </w:t>
      </w:r>
      <w:r w:rsidR="00F910DC">
        <w:rPr>
          <w:lang w:val="fr-CH"/>
        </w:rPr>
        <w:t xml:space="preserve">et </w:t>
      </w:r>
      <w:r w:rsidR="00F54F1D">
        <w:rPr>
          <w:i/>
          <w:lang w:val="fr-CH"/>
        </w:rPr>
        <w:t xml:space="preserve">Variety </w:t>
      </w:r>
      <w:r w:rsidR="00F910DC">
        <w:rPr>
          <w:lang w:val="fr-CH"/>
        </w:rPr>
        <w:t>va jusqu’à affirmer</w:t>
      </w:r>
      <w:r w:rsidR="00963ECD">
        <w:rPr>
          <w:lang w:val="fr-CH"/>
        </w:rPr>
        <w:t xml:space="preserve"> que « </w:t>
      </w:r>
      <w:r w:rsidR="00963ECD" w:rsidRPr="00C17BE9">
        <w:rPr>
          <w:lang w:val="en-US"/>
        </w:rPr>
        <w:t>The new version not only matches the original in horrific tone and effect, but exceeds it in both conception and execution. </w:t>
      </w:r>
      <w:r w:rsidR="00963ECD">
        <w:rPr>
          <w:lang w:val="fr-CH"/>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21887E4"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216E79">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w:t>
      </w:r>
      <w:r w:rsidR="000141B8">
        <w:t>–</w:t>
      </w:r>
      <w:r w:rsidR="000141B8">
        <w:t xml:space="preserv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CE51D3">
        <w:rPr>
          <w:lang w:val="en-US"/>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Pr>
          <w:lang w:val="en-US"/>
        </w:rPr>
        <w:t>looks like the work of […]</w:t>
      </w:r>
      <w:r w:rsidR="00B60790" w:rsidRPr="00CE51D3">
        <w:rPr>
          <w:lang w:val="en-US"/>
        </w:rPr>
        <w:t xml:space="preserve"> pod people </w:t>
      </w:r>
      <w:r w:rsidR="00B60790">
        <w:t>»</w:t>
      </w:r>
      <w:r w:rsidR="00CE51D3">
        <w:rPr>
          <w:rStyle w:val="FootnoteReference"/>
        </w:rPr>
        <w:footnoteReference w:id="51"/>
      </w:r>
      <w:r w:rsidR="009F687A">
        <w:t>.</w:t>
      </w:r>
    </w:p>
    <w:p w14:paraId="136E62B5" w14:textId="7A89C988"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–avec une tendance vers la dépréciation de version en version</w:t>
      </w:r>
      <w:r w:rsidR="00D97C6A">
        <w:t>–</w:t>
      </w:r>
      <w:r w:rsidR="00D97C6A">
        <w:t xml:space="preserve">, et, d’une autre part, </w:t>
      </w:r>
      <w:r w:rsidR="007F6A07">
        <w:t xml:space="preserve">que la critique de la dernière version en date se réfère toujours à l’original, si ce n’est à toutes les versions précédentes. Si ces </w:t>
      </w:r>
      <w:r w:rsidR="007F6A07">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sidR="007F6A07">
        <w:rPr>
          <w:i/>
        </w:rPr>
        <w:t>genre</w:t>
      </w:r>
      <w:r w:rsidR="007F6A07">
        <w:t xml:space="preserve"> des films et celle des possibilités d’interprétation qu’il offre.</w:t>
      </w:r>
      <w:bookmarkStart w:id="0" w:name="_GoBack"/>
      <w:bookmarkEnd w:id="0"/>
    </w:p>
    <w:p w14:paraId="3EEFED19" w14:textId="77777777" w:rsidR="007F6A07" w:rsidRDefault="007F6A07" w:rsidP="007F6A07">
      <w:pPr>
        <w:pStyle w:val="Heading2"/>
        <w:rPr>
          <w:sz w:val="26"/>
        </w:rPr>
      </w:pPr>
    </w:p>
    <w:p w14:paraId="6C0BA3BA" w14:textId="7961A93F" w:rsidR="007F6A07" w:rsidRDefault="007F6A07" w:rsidP="007F6A07">
      <w:pPr>
        <w:pStyle w:val="Heading2"/>
        <w:rPr>
          <w:sz w:val="26"/>
        </w:rPr>
      </w:pPr>
      <w:r w:rsidRPr="007F6A07">
        <w:rPr>
          <w:sz w:val="26"/>
        </w:rPr>
        <w:t>La question du genre</w:t>
      </w:r>
    </w:p>
    <w:p w14:paraId="5FA53EAC" w14:textId="77777777" w:rsidR="007F6A07" w:rsidRPr="007F6A07" w:rsidRDefault="007F6A07" w:rsidP="007F6A07"/>
    <w:p w14:paraId="32A6CBE6" w14:textId="25AA5AE9" w:rsidR="007F6A07" w:rsidRPr="007F6A07" w:rsidRDefault="007F6A07" w:rsidP="007F6A07">
      <w:pPr>
        <w:pStyle w:val="Mmoire"/>
      </w:pPr>
      <w:r>
        <w:t xml:space="preserve"> </w:t>
      </w:r>
    </w:p>
    <w:sectPr w:rsidR="007F6A07" w:rsidRPr="007F6A07"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DA075" w14:textId="77777777" w:rsidR="00174D7C" w:rsidRDefault="00174D7C" w:rsidP="00173138">
      <w:r>
        <w:separator/>
      </w:r>
    </w:p>
  </w:endnote>
  <w:endnote w:type="continuationSeparator" w:id="0">
    <w:p w14:paraId="559BC99B" w14:textId="77777777" w:rsidR="00174D7C" w:rsidRDefault="00174D7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E19B7" w:rsidRDefault="005E19B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E19B7" w:rsidRDefault="005E19B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E19B7" w:rsidRPr="00A50EFA" w:rsidRDefault="005E19B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F6A07">
      <w:rPr>
        <w:rStyle w:val="PageNumber"/>
        <w:noProof/>
        <w:sz w:val="22"/>
      </w:rPr>
      <w:t>6</w:t>
    </w:r>
    <w:r w:rsidRPr="00A50EFA">
      <w:rPr>
        <w:rStyle w:val="PageNumber"/>
        <w:sz w:val="22"/>
      </w:rPr>
      <w:fldChar w:fldCharType="end"/>
    </w:r>
  </w:p>
  <w:p w14:paraId="6A6EF380" w14:textId="77777777" w:rsidR="005E19B7" w:rsidRDefault="005E19B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407D8" w14:textId="77777777" w:rsidR="00174D7C" w:rsidRDefault="00174D7C" w:rsidP="00173138">
      <w:r>
        <w:separator/>
      </w:r>
    </w:p>
  </w:footnote>
  <w:footnote w:type="continuationSeparator" w:id="0">
    <w:p w14:paraId="11C09623" w14:textId="77777777" w:rsidR="00174D7C" w:rsidRDefault="00174D7C" w:rsidP="00173138">
      <w:r>
        <w:continuationSeparator/>
      </w:r>
    </w:p>
  </w:footnote>
  <w:footnote w:id="1">
    <w:p w14:paraId="3F5D2513" w14:textId="06F2428C" w:rsidR="005E19B7" w:rsidRPr="00611886" w:rsidRDefault="005E19B7">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5E19B7" w:rsidRPr="00C74349" w:rsidRDefault="005E19B7">
      <w:pPr>
        <w:pStyle w:val="FootnoteText"/>
        <w:rPr>
          <w:lang w:val="fr-CH"/>
        </w:rPr>
      </w:pPr>
      <w:r>
        <w:rPr>
          <w:rStyle w:val="FootnoteReference"/>
        </w:rPr>
        <w:footnoteRef/>
      </w:r>
      <w:r>
        <w:t xml:space="preserve"> </w:t>
      </w:r>
      <w:r>
        <w:rPr>
          <w:lang w:val="fr-CH"/>
        </w:rPr>
        <w:t>Ou une excuse pour.</w:t>
      </w:r>
    </w:p>
  </w:footnote>
  <w:footnote w:id="3">
    <w:p w14:paraId="0A3B071E" w14:textId="7BC6F697" w:rsidR="005E19B7" w:rsidRPr="00F10E98" w:rsidRDefault="005E19B7">
      <w:pPr>
        <w:pStyle w:val="FootnoteText"/>
        <w:rPr>
          <w:lang w:val="fr-CH"/>
        </w:rPr>
      </w:pPr>
      <w:r>
        <w:rPr>
          <w:rStyle w:val="FootnoteReference"/>
        </w:rPr>
        <w:footnoteRef/>
      </w:r>
      <w: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5E19B7" w:rsidRPr="00F10E98" w:rsidRDefault="005E19B7">
      <w:pPr>
        <w:pStyle w:val="FootnoteText"/>
        <w:rPr>
          <w:lang w:val="fr-CH"/>
        </w:rPr>
      </w:pPr>
      <w:r>
        <w:rPr>
          <w:rStyle w:val="FootnoteReference"/>
        </w:rPr>
        <w:footnoteRef/>
      </w:r>
      <w:r>
        <w:t xml:space="preserve"> </w:t>
      </w:r>
      <w:r>
        <w:rPr>
          <w:szCs w:val="20"/>
        </w:rPr>
        <w:t xml:space="preserve">Barry Keith Grant, </w:t>
      </w:r>
      <w:r w:rsidRPr="00C75684">
        <w:rPr>
          <w:i/>
          <w:szCs w:val="20"/>
        </w:rPr>
        <w:t>Invasion of the Body Snatchers</w:t>
      </w:r>
      <w:r w:rsidRPr="00C75684">
        <w:rPr>
          <w:szCs w:val="20"/>
        </w:rPr>
        <w:t>, London, BFI/Palgrave MacMillan, 2010</w:t>
      </w:r>
      <w:r>
        <w:rPr>
          <w:szCs w:val="20"/>
        </w:rPr>
        <w:t>.</w:t>
      </w:r>
    </w:p>
  </w:footnote>
  <w:footnote w:id="5">
    <w:p w14:paraId="25FF3E9A" w14:textId="4AB9E896" w:rsidR="005E19B7" w:rsidRPr="00F10E98" w:rsidRDefault="005E19B7">
      <w:pPr>
        <w:pStyle w:val="FootnoteText"/>
        <w:rPr>
          <w:lang w:val="fr-CH"/>
        </w:rPr>
      </w:pPr>
      <w:r>
        <w:rPr>
          <w:rStyle w:val="FootnoteReference"/>
        </w:rPr>
        <w:footnoteRef/>
      </w:r>
      <w:r>
        <w:t xml:space="preserve"> </w:t>
      </w:r>
      <w:r w:rsidRPr="00F10E98">
        <w:t>Mark Thomas</w:t>
      </w:r>
      <w:r>
        <w:t xml:space="preserve"> McGee</w:t>
      </w:r>
      <w:r w:rsidRPr="00F10E98">
        <w:t xml:space="preserve">, </w:t>
      </w:r>
      <w:r w:rsidRPr="00F10E98">
        <w:rPr>
          <w:i/>
        </w:rPr>
        <w:t>Invasion of the Body Snatchers: The Making of a Classic</w:t>
      </w:r>
      <w:r w:rsidRPr="00F10E98">
        <w:t>, Duncan, BearManor, 2012.</w:t>
      </w:r>
    </w:p>
  </w:footnote>
  <w:footnote w:id="6">
    <w:p w14:paraId="65259609" w14:textId="51B1D18C" w:rsidR="005E19B7" w:rsidRPr="00333A58" w:rsidRDefault="005E19B7">
      <w:pPr>
        <w:pStyle w:val="FootnoteText"/>
        <w:rPr>
          <w:lang w:val="fr-CH"/>
        </w:rPr>
      </w:pPr>
      <w:r>
        <w:rPr>
          <w:rStyle w:val="FootnoteReference"/>
        </w:rPr>
        <w:footnoteRef/>
      </w:r>
      <w:r>
        <w:t xml:space="preserve"> </w:t>
      </w:r>
      <w:r w:rsidRPr="00F10E98">
        <w:t>Mark Thomas</w:t>
      </w:r>
      <w:r>
        <w:t xml:space="preserve"> McGee, </w:t>
      </w:r>
      <w:r>
        <w:rPr>
          <w:i/>
        </w:rPr>
        <w:t>ibid.</w:t>
      </w:r>
      <w:r>
        <w:t>, p. 15.</w:t>
      </w:r>
    </w:p>
  </w:footnote>
  <w:footnote w:id="7">
    <w:p w14:paraId="5D4BA1D6" w14:textId="55875141" w:rsidR="005E19B7" w:rsidRPr="007D7652" w:rsidRDefault="005E19B7">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5E19B7" w:rsidRPr="0000607A" w:rsidRDefault="005E19B7">
      <w:pPr>
        <w:pStyle w:val="FootnoteText"/>
        <w:rPr>
          <w:lang w:val="fr-CH"/>
        </w:rPr>
      </w:pPr>
      <w:r>
        <w:rPr>
          <w:rStyle w:val="FootnoteReference"/>
        </w:rPr>
        <w:footnoteRef/>
      </w:r>
      <w:r>
        <w:t xml:space="preserve"> Reproduite dans son intégralité dans </w:t>
      </w:r>
      <w:r w:rsidRPr="00F11331">
        <w:rPr>
          <w:szCs w:val="20"/>
          <w:lang w:val="en-US"/>
        </w:rPr>
        <w:t xml:space="preserve">Al LaValley (éd.), </w:t>
      </w:r>
      <w:r>
        <w:rPr>
          <w:i/>
          <w:szCs w:val="20"/>
          <w:lang w:val="en-US"/>
        </w:rPr>
        <w:t>op. cit.</w:t>
      </w:r>
      <w:r>
        <w:rPr>
          <w:szCs w:val="20"/>
          <w:lang w:val="en-US"/>
        </w:rPr>
        <w:t>, p .163.</w:t>
      </w:r>
    </w:p>
  </w:footnote>
  <w:footnote w:id="9">
    <w:p w14:paraId="560F38A7" w14:textId="4C921DCD" w:rsidR="005E19B7" w:rsidRPr="00A17F6D"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5E19B7" w:rsidRPr="00F4408F"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xml:space="preserve">, p. 163 ; </w:t>
      </w:r>
      <w:r w:rsidRPr="00F10E98">
        <w:t>Mark Thomas</w:t>
      </w:r>
      <w:r>
        <w:t xml:space="preserve"> McGee</w:t>
      </w:r>
      <w:r w:rsidRPr="00F10E98">
        <w:t xml:space="preserve">, </w:t>
      </w:r>
      <w:r>
        <w:rPr>
          <w:i/>
        </w:rPr>
        <w:t>op. cit.</w:t>
      </w:r>
      <w:r>
        <w:t xml:space="preserve">, p. 163 ; </w:t>
      </w:r>
      <w:r w:rsidRPr="00723A13">
        <w:t>Arthur</w:t>
      </w:r>
      <w:r>
        <w:t xml:space="preserve"> LeGacy</w:t>
      </w:r>
      <w:r w:rsidRPr="00723A13">
        <w:t xml:space="preserve">, « The Invasion of the Body Snatchers: A Metaphor for the Fifties », </w:t>
      </w:r>
      <w:r w:rsidRPr="00071D42">
        <w:rPr>
          <w:i/>
        </w:rPr>
        <w:t>Litterature/Film Quarterly</w:t>
      </w:r>
      <w:r w:rsidRPr="00723A13">
        <w:t>, Vol. 6, No. 3, été 1978, p</w:t>
      </w:r>
      <w:r>
        <w:t>. 286</w:t>
      </w:r>
      <w:r w:rsidRPr="00723A13">
        <w:t>.</w:t>
      </w:r>
    </w:p>
  </w:footnote>
  <w:footnote w:id="11">
    <w:p w14:paraId="0D550CCD" w14:textId="7E287901" w:rsidR="005E19B7" w:rsidRPr="00F51A78" w:rsidRDefault="005E19B7">
      <w:pPr>
        <w:pStyle w:val="FootnoteText"/>
        <w:rPr>
          <w:lang w:val="fr-CH"/>
        </w:rPr>
      </w:pPr>
      <w:r>
        <w:rPr>
          <w:rStyle w:val="FootnoteReference"/>
        </w:rPr>
        <w:footnoteRef/>
      </w:r>
      <w:r>
        <w:t xml:space="preserve"> </w:t>
      </w:r>
      <w:r w:rsidRPr="00F10E98">
        <w:t>Mark Thomas</w:t>
      </w:r>
      <w:r>
        <w:t xml:space="preserve"> McGee</w:t>
      </w:r>
      <w:r w:rsidRPr="00F10E98">
        <w:t xml:space="preserve">, </w:t>
      </w:r>
      <w:r>
        <w:rPr>
          <w:i/>
        </w:rPr>
        <w:t>ibid.</w:t>
      </w:r>
      <w:r>
        <w:t>, p. 163.</w:t>
      </w:r>
    </w:p>
  </w:footnote>
  <w:footnote w:id="12">
    <w:p w14:paraId="1EE60664" w14:textId="23244908" w:rsidR="005E19B7" w:rsidRPr="004C1431" w:rsidRDefault="005E19B7">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5E19B7" w:rsidRPr="008915E7"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5E19B7" w:rsidRPr="00902AA9" w:rsidRDefault="005E19B7">
      <w:pPr>
        <w:pStyle w:val="FootnoteText"/>
        <w:rPr>
          <w:lang w:val="fr-CH"/>
        </w:rPr>
      </w:pPr>
      <w:r>
        <w:rPr>
          <w:rStyle w:val="FootnoteReference"/>
        </w:rPr>
        <w:footnoteRef/>
      </w:r>
      <w:r>
        <w:t xml:space="preserve"> </w:t>
      </w:r>
      <w:r>
        <w:rPr>
          <w:szCs w:val="20"/>
        </w:rPr>
        <w:t xml:space="preserve">Barry Keith Grant, </w:t>
      </w:r>
      <w:r>
        <w:rPr>
          <w:i/>
          <w:szCs w:val="20"/>
        </w:rPr>
        <w:t>op. cit.</w:t>
      </w:r>
      <w:r>
        <w:rPr>
          <w:szCs w:val="20"/>
        </w:rPr>
        <w:t>, p. 7</w:t>
      </w:r>
      <w:r w:rsidRPr="00C75684">
        <w:rPr>
          <w:szCs w:val="20"/>
        </w:rPr>
        <w:t>.</w:t>
      </w:r>
    </w:p>
  </w:footnote>
  <w:footnote w:id="15">
    <w:p w14:paraId="295EED7E" w14:textId="27AB7D69" w:rsidR="005E19B7" w:rsidRPr="00601392" w:rsidRDefault="005E19B7">
      <w:pPr>
        <w:pStyle w:val="FootnoteText"/>
        <w:rPr>
          <w:lang w:val="fr-CH"/>
        </w:rPr>
      </w:pPr>
      <w:r>
        <w:rPr>
          <w:rStyle w:val="FootnoteReference"/>
        </w:rPr>
        <w:footnoteRef/>
      </w:r>
      <w:r>
        <w:t xml:space="preserve"> Les critiques parues dans les revues corporatives </w:t>
      </w:r>
      <w:r>
        <w:rPr>
          <w:i/>
        </w:rPr>
        <w:t xml:space="preserve">Variety </w:t>
      </w:r>
      <w:r>
        <w:t xml:space="preserve">et </w:t>
      </w:r>
      <w:r>
        <w:rPr>
          <w:i/>
        </w:rPr>
        <w:t>Monthly Film Bulletin</w:t>
      </w:r>
      <w:r>
        <w:t xml:space="preserve"> étant par exemple datées du 31 décembre 1955 et 1</w:t>
      </w:r>
      <w:r w:rsidRPr="00B65CFE">
        <w:rPr>
          <w:vertAlign w:val="superscript"/>
        </w:rPr>
        <w:t>er</w:t>
      </w:r>
      <w:r>
        <w:t xml:space="preserve"> janvier 1956, respectivement ; </w:t>
      </w:r>
      <w:r w:rsidRPr="008F5700">
        <w:t>–, « Review : ‘Invasion of the Body Snatcher</w:t>
      </w:r>
      <w:r>
        <w:t xml:space="preserve">s’ », </w:t>
      </w:r>
      <w:r w:rsidRPr="00656AB9">
        <w:rPr>
          <w:i/>
        </w:rPr>
        <w:t>Variety</w:t>
      </w:r>
      <w:r>
        <w:t xml:space="preserve">, 31 décembre 1955 ; </w:t>
      </w:r>
      <w:r w:rsidRPr="00B65CFE">
        <w:t>Derek</w:t>
      </w:r>
      <w:r>
        <w:t xml:space="preserve"> Prouse</w:t>
      </w:r>
      <w:r w:rsidRPr="00B65CFE">
        <w:t xml:space="preserve">, « INVASION OF THE BODY SNATCHERS, U.S.A., 1955 », </w:t>
      </w:r>
      <w:r w:rsidRPr="00F00C0C">
        <w:rPr>
          <w:i/>
        </w:rPr>
        <w:t>Monthly Film Bulletin</w:t>
      </w:r>
      <w:r w:rsidRPr="00B65CFE">
        <w:t>, 1er janvier 1956.</w:t>
      </w:r>
    </w:p>
  </w:footnote>
  <w:footnote w:id="16">
    <w:p w14:paraId="7C0EFE20" w14:textId="164C4A7D" w:rsidR="005E19B7" w:rsidRPr="009E498B" w:rsidRDefault="005E19B7">
      <w:pPr>
        <w:pStyle w:val="FootnoteText"/>
        <w:rPr>
          <w:lang w:val="fr-CH"/>
        </w:rPr>
      </w:pPr>
      <w:r>
        <w:rPr>
          <w:rStyle w:val="FootnoteReference"/>
        </w:rPr>
        <w:footnoteRef/>
      </w:r>
      <w:r>
        <w:t xml:space="preserve"> </w:t>
      </w:r>
      <w:r w:rsidRPr="009E498B">
        <w:t xml:space="preserve">–, « A Guide to Current Films », </w:t>
      </w:r>
      <w:r w:rsidRPr="006F4D02">
        <w:rPr>
          <w:i/>
        </w:rPr>
        <w:t>Sight and Sound</w:t>
      </w:r>
      <w:r w:rsidRPr="009E498B">
        <w:t>, Vol. 26, No. 2, automne 1956, p. 112.</w:t>
      </w:r>
    </w:p>
  </w:footnote>
  <w:footnote w:id="17">
    <w:p w14:paraId="6E356515" w14:textId="7EA86BF3" w:rsidR="005E19B7" w:rsidRPr="00E4428C" w:rsidRDefault="005E19B7">
      <w:pPr>
        <w:pStyle w:val="FootnoteText"/>
        <w:rPr>
          <w:lang w:val="fr-CH"/>
        </w:rPr>
      </w:pPr>
      <w:r>
        <w:rPr>
          <w:rStyle w:val="FootnoteReference"/>
        </w:rPr>
        <w:footnoteRef/>
      </w:r>
      <w:r>
        <w:t xml:space="preserve"> </w:t>
      </w:r>
      <w:r w:rsidRPr="00E4428C">
        <w:t>Jack</w:t>
      </w:r>
      <w:r>
        <w:t xml:space="preserve"> Moffitt</w:t>
      </w:r>
      <w:r w:rsidRPr="00E4428C">
        <w:t xml:space="preserve">, « Invasion of the Body Snatchers », </w:t>
      </w:r>
      <w:r w:rsidRPr="006F4D02">
        <w:rPr>
          <w:i/>
        </w:rPr>
        <w:t>The Hollywood Reporter</w:t>
      </w:r>
      <w:r w:rsidRPr="00E4428C">
        <w:t>, 16 février 1956.</w:t>
      </w:r>
    </w:p>
  </w:footnote>
  <w:footnote w:id="18">
    <w:p w14:paraId="6178779C" w14:textId="24212444" w:rsidR="005E19B7" w:rsidRPr="001B2667" w:rsidRDefault="005E19B7">
      <w:pPr>
        <w:pStyle w:val="FootnoteText"/>
        <w:rPr>
          <w:lang w:val="fr-CH"/>
        </w:rPr>
      </w:pPr>
      <w:r>
        <w:rPr>
          <w:rStyle w:val="FootnoteReference"/>
        </w:rPr>
        <w:footnoteRef/>
      </w:r>
      <w:r>
        <w:t xml:space="preserve"> </w:t>
      </w:r>
      <w:r w:rsidRPr="00664E6A">
        <w:t xml:space="preserve">F. J., « Invasion of the Body Snatchers », </w:t>
      </w:r>
      <w:r w:rsidRPr="007E1A3C">
        <w:rPr>
          <w:i/>
        </w:rPr>
        <w:t>Daily Film Reviewer [London]</w:t>
      </w:r>
      <w:r w:rsidRPr="00664E6A">
        <w:t>, 23 août 1956.</w:t>
      </w:r>
    </w:p>
  </w:footnote>
  <w:footnote w:id="19">
    <w:p w14:paraId="30D3E805" w14:textId="2CE37EA7" w:rsidR="005E19B7" w:rsidRPr="00810BFA" w:rsidRDefault="005E19B7">
      <w:pPr>
        <w:pStyle w:val="FootnoteText"/>
        <w:rPr>
          <w:lang w:val="fr-CH"/>
        </w:rPr>
      </w:pPr>
      <w:r>
        <w:rPr>
          <w:rStyle w:val="FootnoteReference"/>
        </w:rPr>
        <w:footnoteRef/>
      </w:r>
      <w:r>
        <w:t xml:space="preserve"> </w:t>
      </w:r>
      <w:r w:rsidRPr="00810BFA">
        <w:rPr>
          <w:i/>
        </w:rPr>
        <w:t>The Thing from Another World</w:t>
      </w:r>
      <w:r>
        <w:rPr>
          <w:i/>
        </w:rPr>
        <w:t xml:space="preserve"> </w:t>
      </w:r>
      <w:r>
        <w:t>(</w:t>
      </w:r>
      <w:r>
        <w:rPr>
          <w:i/>
        </w:rPr>
        <w:t>La chose d’un autre monde</w:t>
      </w:r>
      <w:r w:rsidRPr="00810BFA">
        <w:t>, Christian Nyby</w:t>
      </w:r>
      <w:r>
        <w:t>, 1951)</w:t>
      </w:r>
    </w:p>
  </w:footnote>
  <w:footnote w:id="20">
    <w:p w14:paraId="0A912020" w14:textId="78E54526" w:rsidR="005E19B7" w:rsidRPr="00C54399" w:rsidRDefault="005E19B7">
      <w:pPr>
        <w:pStyle w:val="FootnoteText"/>
        <w:rPr>
          <w:lang w:val="fr-CH"/>
        </w:rPr>
      </w:pPr>
      <w:r>
        <w:rPr>
          <w:rStyle w:val="FootnoteReference"/>
        </w:rPr>
        <w:footnoteRef/>
      </w:r>
      <w:r>
        <w:t xml:space="preserve"> </w:t>
      </w:r>
      <w:r w:rsidRPr="00810BFA">
        <w:t>Sarah</w:t>
      </w:r>
      <w:r>
        <w:t xml:space="preserve"> Hamilton</w:t>
      </w:r>
      <w:r w:rsidRPr="00810BFA">
        <w:t xml:space="preserve">, « Invasion of the Body Snatchers », </w:t>
      </w:r>
      <w:r w:rsidRPr="003E2F89">
        <w:rPr>
          <w:i/>
        </w:rPr>
        <w:t>Los Angeles Examiner</w:t>
      </w:r>
      <w:r>
        <w:t xml:space="preserve">, 1er mars 1956 ; </w:t>
      </w:r>
      <w:r w:rsidRPr="00E4428C">
        <w:t>Jack</w:t>
      </w:r>
      <w:r>
        <w:t xml:space="preserve"> Moffitt</w:t>
      </w:r>
      <w:r w:rsidRPr="00E4428C">
        <w:t xml:space="preserve">, « Invasion of the Body Snatchers », </w:t>
      </w:r>
      <w:r w:rsidRPr="003E2F89">
        <w:rPr>
          <w:i/>
        </w:rPr>
        <w:t>The Hollywood Reporter</w:t>
      </w:r>
      <w:r w:rsidRPr="00E4428C">
        <w:t>, 16 février 1956.</w:t>
      </w:r>
    </w:p>
  </w:footnote>
  <w:footnote w:id="21">
    <w:p w14:paraId="72636D53" w14:textId="0A9AA987" w:rsidR="005E19B7" w:rsidRPr="00300B5B" w:rsidRDefault="005E19B7">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5E19B7" w:rsidRPr="00283CF4" w:rsidRDefault="005E19B7">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5E19B7" w:rsidRPr="00DD3C95" w:rsidRDefault="005E19B7">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5E19B7" w:rsidRPr="0083111B" w:rsidRDefault="005E19B7">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5E19B7" w:rsidRPr="008A7494" w:rsidRDefault="005E19B7">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5E19B7" w:rsidRPr="00DD6C92" w:rsidRDefault="005E19B7">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5E19B7" w:rsidRPr="00DE3C2D" w:rsidRDefault="005E19B7">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5E19B7" w:rsidRPr="005418E9" w:rsidRDefault="005E19B7"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5E19B7" w:rsidRPr="005418E9" w:rsidRDefault="005E19B7">
      <w:pPr>
        <w:pStyle w:val="FootnoteText"/>
        <w:rPr>
          <w:lang w:val="fr-CH"/>
        </w:rPr>
      </w:pPr>
    </w:p>
  </w:footnote>
  <w:footnote w:id="29">
    <w:p w14:paraId="25AC74B5" w14:textId="4A2EFE1C" w:rsidR="005E19B7" w:rsidRPr="00543A54" w:rsidRDefault="005E19B7">
      <w:pPr>
        <w:pStyle w:val="FootnoteText"/>
        <w:rPr>
          <w:lang w:val="en-US"/>
        </w:rPr>
      </w:pPr>
      <w:r>
        <w:rPr>
          <w:rStyle w:val="FootnoteReference"/>
        </w:rPr>
        <w:footnoteRef/>
      </w:r>
      <w: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5E19B7" w:rsidRPr="0082622B" w:rsidRDefault="005E19B7">
      <w:pPr>
        <w:pStyle w:val="FootnoteText"/>
        <w:rPr>
          <w:lang w:val="fr-CH"/>
        </w:rPr>
      </w:pPr>
      <w:r>
        <w:rPr>
          <w:rStyle w:val="FootnoteReference"/>
        </w:rPr>
        <w:footnoteRef/>
      </w:r>
      <w: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9774D4C" w:rsidR="005E19B7" w:rsidRPr="00963ECD" w:rsidRDefault="005E19B7">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5E19B7" w:rsidRPr="00A00FD7" w:rsidRDefault="005E19B7">
      <w:pPr>
        <w:pStyle w:val="FootnoteText"/>
        <w:rPr>
          <w:lang w:val="en-US"/>
        </w:rPr>
      </w:pPr>
      <w:r>
        <w:rPr>
          <w:rStyle w:val="FootnoteReference"/>
        </w:rPr>
        <w:footnoteRef/>
      </w:r>
      <w: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5E19B7" w:rsidRPr="00506F6E" w:rsidRDefault="005E19B7">
      <w:pPr>
        <w:pStyle w:val="FootnoteText"/>
        <w:rPr>
          <w:lang w:val="en-US"/>
        </w:rPr>
      </w:pPr>
      <w:r>
        <w:rPr>
          <w:rStyle w:val="FootnoteReference"/>
        </w:rPr>
        <w:footnoteRef/>
      </w:r>
      <w: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5E19B7" w:rsidRPr="00506F6E" w:rsidRDefault="005E19B7">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5E19B7" w:rsidRPr="00506F6E" w:rsidRDefault="005E19B7">
      <w:pPr>
        <w:pStyle w:val="FootnoteText"/>
        <w:rPr>
          <w:lang w:val="fr-CH"/>
        </w:rPr>
      </w:pPr>
      <w:r>
        <w:rPr>
          <w:rStyle w:val="FootnoteReference"/>
        </w:rPr>
        <w:footnoteRef/>
      </w:r>
      <w:r>
        <w:t xml:space="preserve"> </w:t>
      </w:r>
      <w:r w:rsidRPr="009705B0">
        <w:t>Janet</w:t>
      </w:r>
      <w:r>
        <w:t xml:space="preserve"> Maslin</w:t>
      </w:r>
      <w:r w:rsidRPr="009705B0">
        <w:t>, « Screen: ‘Body Snatchers’ Return in All Their Creepy Glory », The New York Times, 22 décembre 1978.</w:t>
      </w:r>
    </w:p>
  </w:footnote>
  <w:footnote w:id="36">
    <w:p w14:paraId="250C0DD9" w14:textId="6D3FD5D3" w:rsidR="005E19B7" w:rsidRPr="00771C29" w:rsidRDefault="005E19B7">
      <w:pPr>
        <w:pStyle w:val="FootnoteText"/>
        <w:rPr>
          <w:lang w:val="fr-CH"/>
        </w:rPr>
      </w:pPr>
      <w:r>
        <w:rPr>
          <w:rStyle w:val="FootnoteReference"/>
        </w:rPr>
        <w:footnoteRef/>
      </w:r>
      <w:r>
        <w:t xml:space="preserve"> </w:t>
      </w:r>
      <w:r w:rsidRPr="00543A54">
        <w:rPr>
          <w:lang w:val="en-US"/>
        </w:rPr>
        <w:t>David</w:t>
      </w:r>
      <w:r>
        <w:rPr>
          <w:lang w:val="en-US"/>
        </w:rPr>
        <w:t xml:space="preserve"> Kehr</w:t>
      </w:r>
      <w:r w:rsidRPr="00543A54">
        <w:rPr>
          <w:lang w:val="en-US"/>
        </w:rPr>
        <w:t xml:space="preserve">, </w:t>
      </w:r>
      <w:r>
        <w:rPr>
          <w:i/>
          <w:lang w:val="en-US"/>
        </w:rPr>
        <w:t>op. cit.</w:t>
      </w:r>
    </w:p>
  </w:footnote>
  <w:footnote w:id="37">
    <w:p w14:paraId="0221DD52" w14:textId="553AFA10" w:rsidR="003704D3" w:rsidRPr="003704D3" w:rsidRDefault="003704D3">
      <w:pPr>
        <w:pStyle w:val="FootnoteText"/>
        <w:rPr>
          <w:lang w:val="fr-CH"/>
        </w:rPr>
      </w:pPr>
      <w:r>
        <w:rPr>
          <w:rStyle w:val="FootnoteReference"/>
        </w:rPr>
        <w:footnoteRef/>
      </w:r>
      <w:r>
        <w:t xml:space="preserve"> </w:t>
      </w:r>
      <w:r w:rsidRPr="003704D3">
        <w:rPr>
          <w:lang w:val="fr-CH"/>
        </w:rPr>
        <w:t xml:space="preserve">A. </w:t>
      </w:r>
      <w:r w:rsidR="00174D7C" w:rsidRPr="003704D3">
        <w:rPr>
          <w:lang w:val="fr-CH"/>
        </w:rPr>
        <w:t xml:space="preserve">F., </w:t>
      </w:r>
      <w:r w:rsidR="00174D7C" w:rsidRPr="003704D3">
        <w:rPr>
          <w:lang w:val="fr-CH"/>
        </w:rPr>
        <w:t xml:space="preserve">« Fantastique cauchemar », </w:t>
      </w:r>
      <w:r w:rsidR="00174D7C" w:rsidRPr="003704D3">
        <w:rPr>
          <w:i/>
          <w:lang w:val="fr-CH"/>
        </w:rPr>
        <w:t>La Croix</w:t>
      </w:r>
      <w:r w:rsidR="00174D7C" w:rsidRPr="003704D3">
        <w:rPr>
          <w:lang w:val="fr-CH"/>
        </w:rPr>
        <w:t>, 15 mai 1993.</w:t>
      </w:r>
    </w:p>
  </w:footnote>
  <w:footnote w:id="38">
    <w:p w14:paraId="33565727" w14:textId="4A9468BF" w:rsidR="005E19B7" w:rsidRPr="00663724" w:rsidRDefault="005E19B7">
      <w:pPr>
        <w:pStyle w:val="FootnoteText"/>
        <w:rPr>
          <w:szCs w:val="20"/>
          <w:lang w:val="en-US"/>
        </w:rPr>
      </w:pPr>
      <w:r w:rsidRPr="00663724">
        <w:rPr>
          <w:rStyle w:val="FootnoteReference"/>
          <w:szCs w:val="20"/>
        </w:rPr>
        <w:footnoteRef/>
      </w:r>
      <w:r w:rsidRPr="00663724">
        <w:rPr>
          <w:szCs w:val="20"/>
        </w:rPr>
        <w:t xml:space="preserve"> </w:t>
      </w:r>
      <w:r w:rsidR="00006DAE" w:rsidRPr="00663724">
        <w:rPr>
          <w:szCs w:val="20"/>
          <w:lang w:val="en-US"/>
        </w:rPr>
        <w:t>Roger</w:t>
      </w:r>
      <w:r w:rsidR="00E33B0D" w:rsidRPr="00663724">
        <w:rPr>
          <w:szCs w:val="20"/>
          <w:lang w:val="en-US"/>
        </w:rPr>
        <w:t xml:space="preserve"> Ebert</w:t>
      </w:r>
      <w:r w:rsidR="00006DAE" w:rsidRPr="00663724">
        <w:rPr>
          <w:szCs w:val="20"/>
          <w:lang w:val="en-US"/>
        </w:rPr>
        <w:t xml:space="preserve">, « Body Snatchers », </w:t>
      </w:r>
      <w:r w:rsidR="00006DAE" w:rsidRPr="00663724">
        <w:rPr>
          <w:i/>
          <w:szCs w:val="20"/>
          <w:lang w:val="en-US"/>
        </w:rPr>
        <w:t>Chicago Sun-Times</w:t>
      </w:r>
      <w:r w:rsidR="00006DAE" w:rsidRPr="00663724">
        <w:rPr>
          <w:szCs w:val="20"/>
          <w:lang w:val="en-US"/>
        </w:rPr>
        <w:t>, 25 février 1994.</w:t>
      </w:r>
    </w:p>
  </w:footnote>
  <w:footnote w:id="39">
    <w:p w14:paraId="1903778C" w14:textId="562579DD" w:rsidR="00253E7E" w:rsidRPr="00663724" w:rsidRDefault="00253E7E">
      <w:pPr>
        <w:pStyle w:val="FootnoteText"/>
        <w:rPr>
          <w:szCs w:val="20"/>
          <w:lang w:val="en-US"/>
        </w:rPr>
      </w:pPr>
      <w:r w:rsidRPr="00663724">
        <w:rPr>
          <w:rStyle w:val="FootnoteReference"/>
          <w:szCs w:val="20"/>
        </w:rPr>
        <w:footnoteRef/>
      </w:r>
      <w:r w:rsidRPr="00663724">
        <w:rPr>
          <w:szCs w:val="20"/>
        </w:rPr>
        <w:t xml:space="preserve"> </w:t>
      </w:r>
      <w:r w:rsidRPr="00663724">
        <w:rPr>
          <w:szCs w:val="20"/>
          <w:lang w:val="en-US"/>
        </w:rPr>
        <w:t>Roger</w:t>
      </w:r>
      <w:r w:rsidR="00E33B0D" w:rsidRPr="00663724">
        <w:rPr>
          <w:szCs w:val="20"/>
          <w:lang w:val="en-US"/>
        </w:rPr>
        <w:t xml:space="preserve"> Ebert</w:t>
      </w:r>
      <w:r w:rsidRPr="00663724">
        <w:rPr>
          <w:szCs w:val="20"/>
          <w:lang w:val="en-US"/>
        </w:rPr>
        <w:t xml:space="preserve">, « The Invasion », </w:t>
      </w:r>
      <w:r w:rsidRPr="00663724">
        <w:rPr>
          <w:i/>
          <w:szCs w:val="20"/>
          <w:lang w:val="en-US"/>
        </w:rPr>
        <w:t>Chicago Sun-Times</w:t>
      </w:r>
      <w:r w:rsidRPr="00663724">
        <w:rPr>
          <w:szCs w:val="20"/>
          <w:lang w:val="en-US"/>
        </w:rPr>
        <w:t>, 16 août 2007.</w:t>
      </w:r>
    </w:p>
  </w:footnote>
  <w:footnote w:id="40">
    <w:p w14:paraId="7665BB40" w14:textId="73F0BF0A" w:rsidR="003704D3" w:rsidRPr="003704D3" w:rsidRDefault="003704D3">
      <w:pPr>
        <w:pStyle w:val="FootnoteText"/>
        <w:rPr>
          <w:lang w:val="fr-CH"/>
        </w:rPr>
      </w:pPr>
      <w:r>
        <w:rPr>
          <w:rStyle w:val="FootnoteReference"/>
        </w:rPr>
        <w:footnoteRef/>
      </w:r>
      <w:r>
        <w:t xml:space="preserve"> </w:t>
      </w:r>
      <w:r w:rsidRPr="003704D3">
        <w:rPr>
          <w:lang w:val="fr-CH"/>
        </w:rPr>
        <w:t>Jean-Paul</w:t>
      </w:r>
      <w:r>
        <w:rPr>
          <w:lang w:val="fr-CH"/>
        </w:rPr>
        <w:t xml:space="preserve"> Grousset</w:t>
      </w:r>
      <w:r w:rsidRPr="003704D3">
        <w:rPr>
          <w:lang w:val="fr-CH"/>
        </w:rPr>
        <w:t xml:space="preserve">, « Body Snatchers. Ravage de cerveaux », </w:t>
      </w:r>
      <w:r w:rsidRPr="003704D3">
        <w:rPr>
          <w:i/>
          <w:lang w:val="fr-CH"/>
        </w:rPr>
        <w:t>Le Canard enchaîné</w:t>
      </w:r>
      <w:r w:rsidRPr="003704D3">
        <w:rPr>
          <w:lang w:val="fr-CH"/>
        </w:rPr>
        <w:t>, 9 juin 1993.</w:t>
      </w:r>
    </w:p>
  </w:footnote>
  <w:footnote w:id="41">
    <w:p w14:paraId="2EE51514" w14:textId="5AB33051" w:rsidR="003704D3" w:rsidRPr="003704D3" w:rsidRDefault="003704D3">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E33B0D" w:rsidRPr="00663724" w:rsidRDefault="00E33B0D">
      <w:pPr>
        <w:pStyle w:val="FootnoteText"/>
        <w:rPr>
          <w:szCs w:val="20"/>
          <w:lang w:val="en-US"/>
        </w:rPr>
      </w:pPr>
      <w:r w:rsidRPr="00663724">
        <w:rPr>
          <w:rStyle w:val="FootnoteReference"/>
          <w:szCs w:val="20"/>
        </w:rPr>
        <w:footnoteRef/>
      </w:r>
      <w:r w:rsidRPr="00663724">
        <w:rPr>
          <w:szCs w:val="20"/>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663724" w:rsidRPr="00717BE1" w:rsidRDefault="00663724" w:rsidP="00717BE1">
      <w:pPr>
        <w:rPr>
          <w:sz w:val="20"/>
          <w:szCs w:val="20"/>
          <w:lang w:val="en-US"/>
        </w:rPr>
      </w:pPr>
      <w:r w:rsidRPr="00663724">
        <w:rPr>
          <w:rStyle w:val="FootnoteReference"/>
          <w:sz w:val="20"/>
          <w:szCs w:val="20"/>
        </w:rPr>
        <w:footnoteRef/>
      </w:r>
      <w:r w:rsidRPr="00663724">
        <w:rPr>
          <w:sz w:val="20"/>
          <w:szCs w:val="20"/>
        </w:rPr>
        <w:t xml:space="preserve"> </w:t>
      </w:r>
      <w:r w:rsidRPr="00663724">
        <w:rPr>
          <w:sz w:val="20"/>
          <w:szCs w:val="20"/>
          <w:lang w:val="en-US"/>
        </w:rPr>
        <w:t>Richard</w:t>
      </w:r>
      <w:r w:rsidRPr="00663724">
        <w:rPr>
          <w:sz w:val="20"/>
          <w:szCs w:val="20"/>
          <w:lang w:val="en-US"/>
        </w:rPr>
        <w:t xml:space="preserve"> Harrington</w:t>
      </w:r>
      <w:r w:rsidRPr="00663724">
        <w:rPr>
          <w:sz w:val="20"/>
          <w:szCs w:val="20"/>
          <w:lang w:val="en-US"/>
        </w:rPr>
        <w:t xml:space="preserve">,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717BE1" w:rsidRPr="00717BE1" w:rsidRDefault="00717BE1">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0141B8" w:rsidRPr="000141B8" w:rsidRDefault="000141B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7E60F5" w:rsidRPr="007E60F5" w:rsidRDefault="007E60F5">
      <w:pPr>
        <w:pStyle w:val="FootnoteText"/>
        <w:rPr>
          <w:lang w:val="fr-CH"/>
        </w:rPr>
      </w:pPr>
      <w:r>
        <w:rPr>
          <w:rStyle w:val="FootnoteReference"/>
        </w:rPr>
        <w:footnoteRef/>
      </w:r>
      <w:r>
        <w:t xml:space="preserve"> </w:t>
      </w:r>
      <w:r w:rsidR="00D60512">
        <w:rPr>
          <w:lang w:val="fr-CH"/>
        </w:rPr>
        <w:t>Jean-Baptiste</w:t>
      </w:r>
      <w:r>
        <w:rPr>
          <w:lang w:val="fr-CH"/>
        </w:rPr>
        <w:t xml:space="preserve"> Thoret</w:t>
      </w:r>
      <w:r w:rsidR="00AD3049">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E57157" w:rsidRPr="004870CE" w:rsidRDefault="00E57157">
      <w:pPr>
        <w:pStyle w:val="FootnoteText"/>
        <w:rPr>
          <w:lang w:val="en-US"/>
        </w:rPr>
      </w:pPr>
      <w:r>
        <w:rPr>
          <w:rStyle w:val="FootnoteReference"/>
        </w:rPr>
        <w:footnoteRef/>
      </w:r>
      <w:r>
        <w:t xml:space="preserve"> </w:t>
      </w:r>
      <w:r w:rsidRPr="00E57157">
        <w:rPr>
          <w:lang w:val="en-US"/>
        </w:rPr>
        <w:t>B</w:t>
      </w:r>
      <w:r>
        <w:rPr>
          <w:lang w:val="en-US"/>
        </w:rPr>
        <w:t>ayon</w:t>
      </w:r>
      <w:r w:rsidRPr="00E57157">
        <w:rPr>
          <w:lang w:val="en-US"/>
        </w:rPr>
        <w:t xml:space="preserve">, « Invasion », </w:t>
      </w:r>
      <w:r w:rsidRPr="00E57157">
        <w:rPr>
          <w:i/>
          <w:lang w:val="en-US"/>
        </w:rPr>
        <w:t>Libération</w:t>
      </w:r>
      <w:r w:rsidRPr="00E57157">
        <w:rPr>
          <w:lang w:val="en-US"/>
        </w:rPr>
        <w:t>, 17 octobre 2007.</w:t>
      </w:r>
    </w:p>
  </w:footnote>
  <w:footnote w:id="48">
    <w:p w14:paraId="6A75E370" w14:textId="4AD66B93" w:rsidR="004870CE" w:rsidRPr="004870CE" w:rsidRDefault="004870CE">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B60790" w:rsidRPr="00B60790" w:rsidRDefault="00B60790">
      <w:pPr>
        <w:pStyle w:val="FootnoteText"/>
        <w:rPr>
          <w:lang w:val="en-US"/>
        </w:rPr>
      </w:pPr>
      <w:r>
        <w:rPr>
          <w:rStyle w:val="FootnoteReference"/>
        </w:rPr>
        <w:footnoteRef/>
      </w:r>
      <w: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9F687A" w:rsidRPr="009F687A" w:rsidRDefault="009F687A">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CE51D3" w:rsidRPr="00CE51D3" w:rsidRDefault="00CE51D3" w:rsidP="00CE51D3">
      <w:pPr>
        <w:pStyle w:val="FootnoteText"/>
        <w:rPr>
          <w:lang w:val="en-US"/>
        </w:rPr>
      </w:pPr>
      <w:r>
        <w:rPr>
          <w:rStyle w:val="FootnoteReference"/>
        </w:rPr>
        <w:footnoteRef/>
      </w:r>
      <w: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2A805F4B" w14:textId="09B84BBB" w:rsidR="00CE51D3" w:rsidRPr="00CE51D3" w:rsidRDefault="00CE51D3">
      <w:pPr>
        <w:pStyle w:val="FootnoteText"/>
        <w:rPr>
          <w:lang w:val="fr-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5E19B7" w:rsidRPr="00173138" w:rsidRDefault="005E19B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5E19B7" w:rsidRPr="00173138" w:rsidRDefault="005E19B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0607A"/>
    <w:rsid w:val="00006DAE"/>
    <w:rsid w:val="000141B8"/>
    <w:rsid w:val="00016E91"/>
    <w:rsid w:val="00026DEC"/>
    <w:rsid w:val="00040872"/>
    <w:rsid w:val="00045FE8"/>
    <w:rsid w:val="00046D0E"/>
    <w:rsid w:val="000634E0"/>
    <w:rsid w:val="00071D42"/>
    <w:rsid w:val="00083709"/>
    <w:rsid w:val="00084232"/>
    <w:rsid w:val="00084430"/>
    <w:rsid w:val="000B5190"/>
    <w:rsid w:val="000D04D2"/>
    <w:rsid w:val="000D1912"/>
    <w:rsid w:val="000D2034"/>
    <w:rsid w:val="000E0580"/>
    <w:rsid w:val="000F5F10"/>
    <w:rsid w:val="000F68B8"/>
    <w:rsid w:val="00106EE2"/>
    <w:rsid w:val="00111C76"/>
    <w:rsid w:val="0014073B"/>
    <w:rsid w:val="001419A5"/>
    <w:rsid w:val="00146748"/>
    <w:rsid w:val="00156895"/>
    <w:rsid w:val="00165D3F"/>
    <w:rsid w:val="00170475"/>
    <w:rsid w:val="00173138"/>
    <w:rsid w:val="0017320C"/>
    <w:rsid w:val="00174D7C"/>
    <w:rsid w:val="001937F5"/>
    <w:rsid w:val="001A1430"/>
    <w:rsid w:val="001A4F60"/>
    <w:rsid w:val="001B2667"/>
    <w:rsid w:val="001C7833"/>
    <w:rsid w:val="001D3B62"/>
    <w:rsid w:val="00211C03"/>
    <w:rsid w:val="00216E79"/>
    <w:rsid w:val="00220532"/>
    <w:rsid w:val="002210A4"/>
    <w:rsid w:val="002235F1"/>
    <w:rsid w:val="00237C1E"/>
    <w:rsid w:val="00253E7E"/>
    <w:rsid w:val="00266588"/>
    <w:rsid w:val="00283880"/>
    <w:rsid w:val="00283CF4"/>
    <w:rsid w:val="00291917"/>
    <w:rsid w:val="00293BA0"/>
    <w:rsid w:val="002B23B5"/>
    <w:rsid w:val="002D513A"/>
    <w:rsid w:val="002D772A"/>
    <w:rsid w:val="002D7B33"/>
    <w:rsid w:val="002E40FA"/>
    <w:rsid w:val="002F3ABB"/>
    <w:rsid w:val="00300B5B"/>
    <w:rsid w:val="00300FAE"/>
    <w:rsid w:val="0030216F"/>
    <w:rsid w:val="00313F77"/>
    <w:rsid w:val="00324843"/>
    <w:rsid w:val="00333A58"/>
    <w:rsid w:val="00336723"/>
    <w:rsid w:val="003404E5"/>
    <w:rsid w:val="003423A7"/>
    <w:rsid w:val="00344D50"/>
    <w:rsid w:val="00367E5D"/>
    <w:rsid w:val="003704D3"/>
    <w:rsid w:val="00371D86"/>
    <w:rsid w:val="003873C4"/>
    <w:rsid w:val="003878FF"/>
    <w:rsid w:val="003905E9"/>
    <w:rsid w:val="003E168C"/>
    <w:rsid w:val="003E2F89"/>
    <w:rsid w:val="003E611C"/>
    <w:rsid w:val="003E71E3"/>
    <w:rsid w:val="003F4757"/>
    <w:rsid w:val="004025E2"/>
    <w:rsid w:val="00411460"/>
    <w:rsid w:val="00417F55"/>
    <w:rsid w:val="00423903"/>
    <w:rsid w:val="00443326"/>
    <w:rsid w:val="00452E70"/>
    <w:rsid w:val="00461A37"/>
    <w:rsid w:val="00465ED2"/>
    <w:rsid w:val="0047129C"/>
    <w:rsid w:val="0047279B"/>
    <w:rsid w:val="00474C42"/>
    <w:rsid w:val="004870CE"/>
    <w:rsid w:val="004A0925"/>
    <w:rsid w:val="004B4329"/>
    <w:rsid w:val="004C1431"/>
    <w:rsid w:val="004C1AFF"/>
    <w:rsid w:val="004C3836"/>
    <w:rsid w:val="004C4C04"/>
    <w:rsid w:val="004D3899"/>
    <w:rsid w:val="004D4B6F"/>
    <w:rsid w:val="004E548E"/>
    <w:rsid w:val="004E62A3"/>
    <w:rsid w:val="004E747B"/>
    <w:rsid w:val="004F6744"/>
    <w:rsid w:val="00506F6E"/>
    <w:rsid w:val="00510CB6"/>
    <w:rsid w:val="00515D4E"/>
    <w:rsid w:val="00515D8C"/>
    <w:rsid w:val="00541737"/>
    <w:rsid w:val="005418E9"/>
    <w:rsid w:val="00541F81"/>
    <w:rsid w:val="00543A54"/>
    <w:rsid w:val="00554477"/>
    <w:rsid w:val="00555B6A"/>
    <w:rsid w:val="00557EDB"/>
    <w:rsid w:val="00581670"/>
    <w:rsid w:val="00581E90"/>
    <w:rsid w:val="00584A63"/>
    <w:rsid w:val="005857FD"/>
    <w:rsid w:val="00593B27"/>
    <w:rsid w:val="00596CCC"/>
    <w:rsid w:val="005C6BF4"/>
    <w:rsid w:val="005E19B7"/>
    <w:rsid w:val="005E65B7"/>
    <w:rsid w:val="005F3C37"/>
    <w:rsid w:val="00601392"/>
    <w:rsid w:val="00611886"/>
    <w:rsid w:val="006127A9"/>
    <w:rsid w:val="0061689F"/>
    <w:rsid w:val="00623FA5"/>
    <w:rsid w:val="00645A27"/>
    <w:rsid w:val="00656792"/>
    <w:rsid w:val="00656AB9"/>
    <w:rsid w:val="00663724"/>
    <w:rsid w:val="00663B0A"/>
    <w:rsid w:val="00664E6A"/>
    <w:rsid w:val="00665C44"/>
    <w:rsid w:val="00674BE2"/>
    <w:rsid w:val="006A0B89"/>
    <w:rsid w:val="006A31EF"/>
    <w:rsid w:val="006A3862"/>
    <w:rsid w:val="006B2252"/>
    <w:rsid w:val="006B3574"/>
    <w:rsid w:val="006B65BF"/>
    <w:rsid w:val="006C6A6A"/>
    <w:rsid w:val="006C76D3"/>
    <w:rsid w:val="006D0090"/>
    <w:rsid w:val="006D1F72"/>
    <w:rsid w:val="006D57C0"/>
    <w:rsid w:val="006E044F"/>
    <w:rsid w:val="006F4D02"/>
    <w:rsid w:val="00717BE1"/>
    <w:rsid w:val="00722301"/>
    <w:rsid w:val="00723A13"/>
    <w:rsid w:val="00732974"/>
    <w:rsid w:val="00732B2C"/>
    <w:rsid w:val="00734435"/>
    <w:rsid w:val="007344B8"/>
    <w:rsid w:val="0073541F"/>
    <w:rsid w:val="0074138E"/>
    <w:rsid w:val="0074692C"/>
    <w:rsid w:val="00766D6F"/>
    <w:rsid w:val="00771C29"/>
    <w:rsid w:val="00782CBD"/>
    <w:rsid w:val="0078373E"/>
    <w:rsid w:val="007914D6"/>
    <w:rsid w:val="007A0071"/>
    <w:rsid w:val="007A3A39"/>
    <w:rsid w:val="007D593E"/>
    <w:rsid w:val="007D7652"/>
    <w:rsid w:val="007E1A3C"/>
    <w:rsid w:val="007E60F5"/>
    <w:rsid w:val="007F6A07"/>
    <w:rsid w:val="00801C43"/>
    <w:rsid w:val="00801F85"/>
    <w:rsid w:val="0080297C"/>
    <w:rsid w:val="00810BFA"/>
    <w:rsid w:val="008138ED"/>
    <w:rsid w:val="0081693C"/>
    <w:rsid w:val="0082622B"/>
    <w:rsid w:val="00826DEA"/>
    <w:rsid w:val="0083111B"/>
    <w:rsid w:val="008349BE"/>
    <w:rsid w:val="008364AE"/>
    <w:rsid w:val="0085797C"/>
    <w:rsid w:val="008865F3"/>
    <w:rsid w:val="008915E7"/>
    <w:rsid w:val="00897A27"/>
    <w:rsid w:val="008A323A"/>
    <w:rsid w:val="008A7494"/>
    <w:rsid w:val="008C08B5"/>
    <w:rsid w:val="008C600F"/>
    <w:rsid w:val="008D19D6"/>
    <w:rsid w:val="008E367A"/>
    <w:rsid w:val="008E3E84"/>
    <w:rsid w:val="008F5700"/>
    <w:rsid w:val="008F6058"/>
    <w:rsid w:val="008F7692"/>
    <w:rsid w:val="00902AA9"/>
    <w:rsid w:val="009079AC"/>
    <w:rsid w:val="00917414"/>
    <w:rsid w:val="0092365D"/>
    <w:rsid w:val="00923E14"/>
    <w:rsid w:val="00925377"/>
    <w:rsid w:val="00932DDA"/>
    <w:rsid w:val="0093468C"/>
    <w:rsid w:val="0096089B"/>
    <w:rsid w:val="00962F49"/>
    <w:rsid w:val="00963ECD"/>
    <w:rsid w:val="009705B0"/>
    <w:rsid w:val="00970CC6"/>
    <w:rsid w:val="00977317"/>
    <w:rsid w:val="0099055C"/>
    <w:rsid w:val="009A7696"/>
    <w:rsid w:val="009B1242"/>
    <w:rsid w:val="009B43D7"/>
    <w:rsid w:val="009C43E8"/>
    <w:rsid w:val="009E498B"/>
    <w:rsid w:val="009E67C3"/>
    <w:rsid w:val="009F3C8F"/>
    <w:rsid w:val="009F4648"/>
    <w:rsid w:val="009F674F"/>
    <w:rsid w:val="009F687A"/>
    <w:rsid w:val="00A00FD7"/>
    <w:rsid w:val="00A07145"/>
    <w:rsid w:val="00A17F6D"/>
    <w:rsid w:val="00A2003F"/>
    <w:rsid w:val="00A320AC"/>
    <w:rsid w:val="00A50EFA"/>
    <w:rsid w:val="00A5532D"/>
    <w:rsid w:val="00A60B3A"/>
    <w:rsid w:val="00A63218"/>
    <w:rsid w:val="00A73D15"/>
    <w:rsid w:val="00A82504"/>
    <w:rsid w:val="00A85356"/>
    <w:rsid w:val="00A90860"/>
    <w:rsid w:val="00A91B5F"/>
    <w:rsid w:val="00A9200C"/>
    <w:rsid w:val="00A9420C"/>
    <w:rsid w:val="00A95A9C"/>
    <w:rsid w:val="00A95CCC"/>
    <w:rsid w:val="00AA23EE"/>
    <w:rsid w:val="00AB3AD4"/>
    <w:rsid w:val="00AD3049"/>
    <w:rsid w:val="00AD62CD"/>
    <w:rsid w:val="00AD64B9"/>
    <w:rsid w:val="00AE5AEA"/>
    <w:rsid w:val="00AE63DD"/>
    <w:rsid w:val="00AF114E"/>
    <w:rsid w:val="00B00158"/>
    <w:rsid w:val="00B02260"/>
    <w:rsid w:val="00B032DC"/>
    <w:rsid w:val="00B100B1"/>
    <w:rsid w:val="00B11DA2"/>
    <w:rsid w:val="00B16D37"/>
    <w:rsid w:val="00B22B0C"/>
    <w:rsid w:val="00B31E7A"/>
    <w:rsid w:val="00B359C1"/>
    <w:rsid w:val="00B50D87"/>
    <w:rsid w:val="00B60790"/>
    <w:rsid w:val="00B65CFE"/>
    <w:rsid w:val="00B90B58"/>
    <w:rsid w:val="00B92C52"/>
    <w:rsid w:val="00B96B22"/>
    <w:rsid w:val="00BA47A3"/>
    <w:rsid w:val="00BA6F90"/>
    <w:rsid w:val="00BA72D1"/>
    <w:rsid w:val="00BB6E40"/>
    <w:rsid w:val="00BF02C1"/>
    <w:rsid w:val="00BF0810"/>
    <w:rsid w:val="00BF32E7"/>
    <w:rsid w:val="00C00C01"/>
    <w:rsid w:val="00C00EFC"/>
    <w:rsid w:val="00C026AF"/>
    <w:rsid w:val="00C03C7A"/>
    <w:rsid w:val="00C060D1"/>
    <w:rsid w:val="00C103A2"/>
    <w:rsid w:val="00C115FF"/>
    <w:rsid w:val="00C16A30"/>
    <w:rsid w:val="00C17BE9"/>
    <w:rsid w:val="00C251F9"/>
    <w:rsid w:val="00C25610"/>
    <w:rsid w:val="00C27606"/>
    <w:rsid w:val="00C30FA4"/>
    <w:rsid w:val="00C3166F"/>
    <w:rsid w:val="00C32EB3"/>
    <w:rsid w:val="00C43266"/>
    <w:rsid w:val="00C439CE"/>
    <w:rsid w:val="00C451C9"/>
    <w:rsid w:val="00C45E5D"/>
    <w:rsid w:val="00C5001D"/>
    <w:rsid w:val="00C54399"/>
    <w:rsid w:val="00C5547A"/>
    <w:rsid w:val="00C65644"/>
    <w:rsid w:val="00C70B5B"/>
    <w:rsid w:val="00C74349"/>
    <w:rsid w:val="00C75684"/>
    <w:rsid w:val="00C8691C"/>
    <w:rsid w:val="00C87D83"/>
    <w:rsid w:val="00C96219"/>
    <w:rsid w:val="00CA0D63"/>
    <w:rsid w:val="00CA4BEE"/>
    <w:rsid w:val="00CB707A"/>
    <w:rsid w:val="00CD2ABD"/>
    <w:rsid w:val="00CD78D5"/>
    <w:rsid w:val="00CE062F"/>
    <w:rsid w:val="00CE51D3"/>
    <w:rsid w:val="00CF2253"/>
    <w:rsid w:val="00CF7E1B"/>
    <w:rsid w:val="00D0023D"/>
    <w:rsid w:val="00D0645A"/>
    <w:rsid w:val="00D06483"/>
    <w:rsid w:val="00D2493B"/>
    <w:rsid w:val="00D26AA7"/>
    <w:rsid w:val="00D31576"/>
    <w:rsid w:val="00D41B23"/>
    <w:rsid w:val="00D42550"/>
    <w:rsid w:val="00D42CAE"/>
    <w:rsid w:val="00D46285"/>
    <w:rsid w:val="00D5422B"/>
    <w:rsid w:val="00D57068"/>
    <w:rsid w:val="00D60196"/>
    <w:rsid w:val="00D60512"/>
    <w:rsid w:val="00D62069"/>
    <w:rsid w:val="00D80634"/>
    <w:rsid w:val="00D85D1D"/>
    <w:rsid w:val="00D97C6A"/>
    <w:rsid w:val="00DA2B00"/>
    <w:rsid w:val="00DB57AB"/>
    <w:rsid w:val="00DC2443"/>
    <w:rsid w:val="00DD3C95"/>
    <w:rsid w:val="00DD6C92"/>
    <w:rsid w:val="00DE394A"/>
    <w:rsid w:val="00DE3C2D"/>
    <w:rsid w:val="00DE6510"/>
    <w:rsid w:val="00E027DF"/>
    <w:rsid w:val="00E16E4E"/>
    <w:rsid w:val="00E217C0"/>
    <w:rsid w:val="00E256C7"/>
    <w:rsid w:val="00E25763"/>
    <w:rsid w:val="00E33B0D"/>
    <w:rsid w:val="00E41347"/>
    <w:rsid w:val="00E4313C"/>
    <w:rsid w:val="00E4428C"/>
    <w:rsid w:val="00E57157"/>
    <w:rsid w:val="00E6478A"/>
    <w:rsid w:val="00E766BF"/>
    <w:rsid w:val="00E773D5"/>
    <w:rsid w:val="00E80FD5"/>
    <w:rsid w:val="00EA1CE5"/>
    <w:rsid w:val="00EB361E"/>
    <w:rsid w:val="00EB4BF5"/>
    <w:rsid w:val="00EB6212"/>
    <w:rsid w:val="00EC6127"/>
    <w:rsid w:val="00ED47B2"/>
    <w:rsid w:val="00EE1CBE"/>
    <w:rsid w:val="00EE65BC"/>
    <w:rsid w:val="00EF6438"/>
    <w:rsid w:val="00EF71ED"/>
    <w:rsid w:val="00F00C0C"/>
    <w:rsid w:val="00F04FE8"/>
    <w:rsid w:val="00F10E98"/>
    <w:rsid w:val="00F11331"/>
    <w:rsid w:val="00F16449"/>
    <w:rsid w:val="00F2193B"/>
    <w:rsid w:val="00F3274A"/>
    <w:rsid w:val="00F33859"/>
    <w:rsid w:val="00F37F51"/>
    <w:rsid w:val="00F4408F"/>
    <w:rsid w:val="00F4480F"/>
    <w:rsid w:val="00F51A78"/>
    <w:rsid w:val="00F54F1D"/>
    <w:rsid w:val="00F56B7E"/>
    <w:rsid w:val="00F6235E"/>
    <w:rsid w:val="00F66B1F"/>
    <w:rsid w:val="00F7084A"/>
    <w:rsid w:val="00F77154"/>
    <w:rsid w:val="00F8693F"/>
    <w:rsid w:val="00F910DC"/>
    <w:rsid w:val="00F95A52"/>
    <w:rsid w:val="00F963E4"/>
    <w:rsid w:val="00FA31E1"/>
    <w:rsid w:val="00FA4053"/>
    <w:rsid w:val="00FB3F74"/>
    <w:rsid w:val="00FC30BB"/>
    <w:rsid w:val="00FD0709"/>
    <w:rsid w:val="00FD7019"/>
    <w:rsid w:val="00FE1599"/>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4805501-CA52-8241-9029-476DB51B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1543</Words>
  <Characters>8318</Characters>
  <Application>Microsoft Macintosh Word</Application>
  <DocSecurity>0</DocSecurity>
  <Lines>244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296</cp:revision>
  <dcterms:created xsi:type="dcterms:W3CDTF">2016-06-23T14:51:00Z</dcterms:created>
  <dcterms:modified xsi:type="dcterms:W3CDTF">2016-11-21T17:13:00Z</dcterms:modified>
</cp:coreProperties>
</file>