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commentRangeStart w:id="0"/>
      <w:r w:rsidRPr="002D4827">
        <w:rPr>
          <w:rFonts w:eastAsiaTheme="majorEastAsia" w:cstheme="majorBidi"/>
          <w:b/>
          <w:color w:val="000000" w:themeColor="text1"/>
          <w:sz w:val="28"/>
          <w:szCs w:val="32"/>
          <w:lang w:val="fr-CH"/>
        </w:rPr>
        <w:t xml:space="preserve">Bilan historiographique </w:t>
      </w:r>
      <w:commentRangeEnd w:id="0"/>
      <w:r w:rsidR="00E25EC2">
        <w:rPr>
          <w:rStyle w:val="CommentReference"/>
        </w:rPr>
        <w:commentReference w:id="0"/>
      </w:r>
      <w:r w:rsidRPr="002D4827">
        <w:rPr>
          <w:rFonts w:eastAsiaTheme="majorEastAsia" w:cstheme="majorBidi"/>
          <w:b/>
          <w:color w:val="000000" w:themeColor="text1"/>
          <w:sz w:val="28"/>
          <w:szCs w:val="32"/>
          <w:lang w:val="fr-CH"/>
        </w:rPr>
        <w:t>(</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47A4AE2"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r w:rsidR="00F76E52">
        <w:rPr>
          <w:lang w:val="fr-CH"/>
        </w:rPr>
        <w:t>e</w:t>
      </w:r>
      <w:r w:rsidR="00016E91">
        <w:rPr>
          <w:lang w:val="fr-CH"/>
        </w:rPr>
        <w:t xml:space="preserve"> film</w:t>
      </w:r>
      <w:r w:rsidR="00F76E52">
        <w:rPr>
          <w:lang w:val="fr-CH"/>
        </w:rPr>
        <w:t>s</w:t>
      </w:r>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w:t>
      </w:r>
      <w:proofErr w:type="spellStart"/>
      <w:r w:rsidR="00C74349">
        <w:rPr>
          <w:lang w:val="fr-CH"/>
        </w:rPr>
        <w:t>au(x</w:t>
      </w:r>
      <w:proofErr w:type="spellEnd"/>
      <w:r w:rsidR="00C74349">
        <w:rPr>
          <w:lang w:val="fr-CH"/>
        </w:rPr>
        <w:t>) film(s).</w:t>
      </w:r>
      <w:r w:rsidR="008364AE">
        <w:rPr>
          <w:lang w:val="fr-CH"/>
        </w:rPr>
        <w:t xml:space="preserve"> Finalement, il conviendra de mentionner les 3 livres dédi</w:t>
      </w:r>
      <w:r w:rsidR="00C87D83">
        <w:rPr>
          <w:lang w:val="fr-CH"/>
        </w:rPr>
        <w:t xml:space="preserve">és </w:t>
      </w:r>
      <w:proofErr w:type="spellStart"/>
      <w:r w:rsidR="00C87D83">
        <w:rPr>
          <w:lang w:val="fr-CH"/>
        </w:rPr>
        <w:t>au(x</w:t>
      </w:r>
      <w:proofErr w:type="spellEnd"/>
      <w:r w:rsidR="00C87D83">
        <w:rPr>
          <w:lang w:val="fr-CH"/>
        </w:rPr>
        <w:t>)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1"/>
      <w:r w:rsidRPr="00611886">
        <w:rPr>
          <w:lang w:val="fr-CH"/>
        </w:rPr>
        <w:t xml:space="preserve">Un « classique » et ses </w:t>
      </w:r>
      <w:r w:rsidRPr="00611886">
        <w:rPr>
          <w:i/>
          <w:lang w:val="fr-CH"/>
        </w:rPr>
        <w:t>remakes</w:t>
      </w:r>
      <w:r w:rsidRPr="00611886">
        <w:rPr>
          <w:lang w:val="fr-CH"/>
        </w:rPr>
        <w:t xml:space="preserve"> vus par la critique</w:t>
      </w:r>
      <w:commentRangeEnd w:id="1"/>
      <w:r w:rsidR="008B6918">
        <w:rPr>
          <w:rStyle w:val="CommentReference"/>
          <w:rFonts w:eastAsiaTheme="minorEastAsia" w:cstheme="minorBidi"/>
          <w:b w:val="0"/>
          <w:color w:val="auto"/>
        </w:rPr>
        <w:commentReference w:id="1"/>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w:t>
      </w:r>
      <w:proofErr w:type="spellStart"/>
      <w:r>
        <w:rPr>
          <w:lang w:val="fr-CH"/>
        </w:rPr>
        <w:t>Bosley</w:t>
      </w:r>
      <w:proofErr w:type="spellEnd"/>
      <w:r w:rsidR="0000607A">
        <w:rPr>
          <w:lang w:val="fr-CH"/>
        </w:rPr>
        <w:t xml:space="preserve"> </w:t>
      </w:r>
      <w:proofErr w:type="spellStart"/>
      <w:r w:rsidR="0000607A">
        <w:rPr>
          <w:lang w:val="fr-CH"/>
        </w:rPr>
        <w:t>Crowther</w:t>
      </w:r>
      <w:proofErr w:type="spellEnd"/>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10"/>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1"/>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2"/>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3"/>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14"/>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15"/>
      </w:r>
      <w:r w:rsidR="00601392">
        <w:rPr>
          <w:lang w:val="fr-CH"/>
        </w:rPr>
        <w:t xml:space="preserve"> </w:t>
      </w:r>
      <w:r w:rsidR="00B65CFE">
        <w:rPr>
          <w:lang w:val="fr-CH"/>
        </w:rPr>
        <w:lastRenderedPageBreak/>
        <w:t>ait</w:t>
      </w:r>
      <w:r w:rsidR="00601392">
        <w:rPr>
          <w:lang w:val="fr-CH"/>
        </w:rPr>
        <w:t xml:space="preserve"> été projeté durant la deuxième moitié du mois de décembre 1955</w:t>
      </w:r>
      <w:r w:rsidR="00601392">
        <w:rPr>
          <w:rStyle w:val="FootnoteReference"/>
          <w:lang w:val="fr-CH"/>
        </w:rPr>
        <w:footnoteReference w:id="16"/>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17"/>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18"/>
      </w:r>
      <w:r w:rsidR="00E4428C">
        <w:rPr>
          <w:lang w:val="fr-CH"/>
        </w:rPr>
        <w:t xml:space="preserve"> apportés par la réalisation de Don Siegel</w:t>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19"/>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20"/>
      </w:r>
      <w:r w:rsidR="00C54399">
        <w:rPr>
          <w:i/>
          <w:lang w:val="fr-CH"/>
        </w:rPr>
        <w:t> »</w:t>
      </w:r>
      <w:r w:rsidR="00C54399">
        <w:rPr>
          <w:rStyle w:val="FootnoteReference"/>
          <w:i/>
          <w:lang w:val="fr-CH"/>
        </w:rPr>
        <w:footnoteReference w:id="21"/>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spellStart"/>
      <w:proofErr w:type="gramStart"/>
      <w:r w:rsidR="00FE6DD8">
        <w:rPr>
          <w:lang w:val="fr-CH"/>
        </w:rPr>
        <w:t>Nyby</w:t>
      </w:r>
      <w:proofErr w:type="spellEnd"/>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22"/>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23"/>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24"/>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5"/>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26"/>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7"/>
      </w:r>
      <w:r w:rsidR="00DE3C2D">
        <w:rPr>
          <w:lang w:val="fr-CH"/>
        </w:rPr>
        <w:t xml:space="preserve"> ; un processus qui va continuer lors </w:t>
      </w:r>
      <w:r w:rsidR="00DE3C2D">
        <w:rPr>
          <w:lang w:val="fr-CH"/>
        </w:rPr>
        <w:lastRenderedPageBreak/>
        <w:t>des rediffusions ou réédition subséquentes du film en 1986 (« Le film de Siegel fait figure de chef d’œuvre »</w:t>
      </w:r>
      <w:r w:rsidR="00DE3C2D">
        <w:rPr>
          <w:rStyle w:val="FootnoteReference"/>
          <w:lang w:val="fr-CH"/>
        </w:rPr>
        <w:footnoteReference w:id="28"/>
      </w:r>
      <w:r w:rsidR="00DE3C2D">
        <w:rPr>
          <w:lang w:val="fr-CH"/>
        </w:rPr>
        <w:t>) ou 2015 (« un des grands titres de l’histoire du cinéma américain tout court »</w:t>
      </w:r>
      <w:r w:rsidR="005418E9">
        <w:rPr>
          <w:rStyle w:val="FootnoteReference"/>
          <w:lang w:val="fr-CH"/>
        </w:rPr>
        <w:footnoteReference w:id="29"/>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 xml:space="preserve">Heaven Can </w:t>
      </w:r>
      <w:proofErr w:type="spellStart"/>
      <w:r w:rsidR="001E2B3D">
        <w:rPr>
          <w:i/>
          <w:lang w:val="fr-CH"/>
        </w:rPr>
        <w:t>Wait</w:t>
      </w:r>
      <w:proofErr w:type="spellEnd"/>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30"/>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w:t>
      </w:r>
      <w:proofErr w:type="spellStart"/>
      <w:r>
        <w:rPr>
          <w:lang w:val="fr-CH"/>
        </w:rPr>
        <w:t>Kehr</w:t>
      </w:r>
      <w:proofErr w:type="spellEnd"/>
      <w:r>
        <w:rPr>
          <w:rStyle w:val="FootnoteReference"/>
          <w:lang w:val="fr-CH"/>
        </w:rPr>
        <w:footnoteReference w:id="31"/>
      </w:r>
      <w:r>
        <w:rPr>
          <w:lang w:val="fr-CH"/>
        </w:rPr>
        <w:t>)</w:t>
      </w:r>
      <w:r w:rsidR="00732B2C">
        <w:rPr>
          <w:lang w:val="fr-CH"/>
        </w:rPr>
        <w:t xml:space="preserve">, et est effectivement pris comme étalon dans l’évaluation. </w:t>
      </w:r>
      <w:r w:rsidR="00732B2C" w:rsidRPr="00060F07">
        <w:rPr>
          <w:lang w:val="fr-CH"/>
        </w:rPr>
        <w:t xml:space="preserve">Toutefois, </w:t>
      </w:r>
      <w:proofErr w:type="spellStart"/>
      <w:r w:rsidR="00732B2C" w:rsidRPr="00060F07">
        <w:rPr>
          <w:lang w:val="fr-CH"/>
        </w:rPr>
        <w:t>Kehr</w:t>
      </w:r>
      <w:proofErr w:type="spellEnd"/>
      <w:r w:rsidR="00732B2C" w:rsidRPr="00060F07">
        <w:rPr>
          <w:lang w:val="fr-CH"/>
        </w:rPr>
        <w:t xml:space="preserve">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w:t>
      </w:r>
      <w:proofErr w:type="spellStart"/>
      <w:r w:rsidR="00060F07" w:rsidRPr="00060F07">
        <w:rPr>
          <w:lang w:val="fr-CH"/>
        </w:rPr>
        <w:t>peut être</w:t>
      </w:r>
      <w:proofErr w:type="spellEnd"/>
      <w:r w:rsidR="00060F07" w:rsidRPr="00060F07">
        <w:rPr>
          <w:lang w:val="fr-CH"/>
        </w:rPr>
        <w:t>, mais pas autant bonne que l’originale</w:t>
      </w:r>
      <w:r w:rsidR="00543A54" w:rsidRPr="00060F07">
        <w:rPr>
          <w:lang w:val="fr-CH"/>
        </w:rPr>
        <w:t> »</w:t>
      </w:r>
      <w:r w:rsidR="00543A54">
        <w:rPr>
          <w:rStyle w:val="FootnoteReference"/>
          <w:lang w:val="fr-CH"/>
        </w:rPr>
        <w:footnoteReference w:id="32"/>
      </w:r>
      <w:r w:rsidR="00F54F1D" w:rsidRPr="00060F07">
        <w:rPr>
          <w:lang w:val="fr-CH"/>
        </w:rPr>
        <w:t xml:space="preserve">, </w:t>
      </w:r>
      <w:r w:rsidR="00A00FD7" w:rsidRPr="00060F07">
        <w:rPr>
          <w:lang w:val="fr-CH"/>
        </w:rPr>
        <w:lastRenderedPageBreak/>
        <w:t xml:space="preserve">Richard </w:t>
      </w:r>
      <w:proofErr w:type="spellStart"/>
      <w:r w:rsidR="00A00FD7" w:rsidRPr="00060F07">
        <w:rPr>
          <w:lang w:val="fr-CH"/>
        </w:rPr>
        <w:t>Combs</w:t>
      </w:r>
      <w:proofErr w:type="spellEnd"/>
      <w:r w:rsidR="00A00FD7" w:rsidRPr="00060F07">
        <w:rPr>
          <w:lang w:val="fr-CH"/>
        </w:rPr>
        <w:t xml:space="preserve">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33"/>
      </w:r>
      <w:r w:rsidR="00A00FD7" w:rsidRPr="00060F07">
        <w:rPr>
          <w:lang w:val="fr-CH"/>
        </w:rPr>
        <w:t xml:space="preserve"> </w:t>
      </w:r>
      <w:r w:rsidR="00F910DC" w:rsidRPr="00060F07">
        <w:rPr>
          <w:lang w:val="fr-CH"/>
        </w:rPr>
        <w:t xml:space="preserve">et </w:t>
      </w:r>
      <w:proofErr w:type="spellStart"/>
      <w:r w:rsidR="00F54F1D" w:rsidRPr="00060F07">
        <w:rPr>
          <w:i/>
          <w:lang w:val="fr-CH"/>
        </w:rPr>
        <w:t>Variety</w:t>
      </w:r>
      <w:proofErr w:type="spellEnd"/>
      <w:r w:rsidR="00F54F1D" w:rsidRPr="00060F07">
        <w:rPr>
          <w:i/>
          <w:lang w:val="fr-CH"/>
        </w:rPr>
        <w:t xml:space="preserve">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34"/>
      </w:r>
      <w:r w:rsidR="00506F6E">
        <w:rPr>
          <w:lang w:val="fr-CH"/>
        </w:rPr>
        <w:t xml:space="preserve"> 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36"/>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59698F">
        <w:rPr>
          <w:lang w:val="fr-CH"/>
        </w:rPr>
        <w:t xml:space="preserve">vide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w:t>
      </w:r>
      <w:r w:rsidR="00452E70">
        <w:lastRenderedPageBreak/>
        <w: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r w:rsidR="006D6FD9">
        <w:rPr>
          <w:lang w:val="fr-CH"/>
        </w:rPr>
        <w:t xml:space="preserve">deux versions du même film se battre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w:t>
      </w:r>
      <w:r w:rsidR="000C15E8" w:rsidRPr="00336D42">
        <w:rPr>
          <w:lang w:val="fr-CH"/>
        </w:rPr>
        <w:lastRenderedPageBreak/>
        <w:t>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53"/>
      </w:r>
      <w:r w:rsidRPr="00336D42">
        <w:rPr>
          <w:lang w:val="fr-CH"/>
        </w:rPr>
        <w:t xml:space="preserve"> </w:t>
      </w:r>
    </w:p>
    <w:p w14:paraId="1ED87DBE" w14:textId="38E4F723"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2"/>
      <w:r w:rsidR="005A0C4C">
        <w:rPr>
          <w:lang w:val="fr-CH"/>
        </w:rPr>
        <w:t xml:space="preserve">pour le spectateur moyen </w:t>
      </w:r>
      <w:r w:rsidR="000A0EDA">
        <w:rPr>
          <w:lang w:val="fr-CH"/>
        </w:rPr>
        <w:t>non diplômé en biologie</w:t>
      </w:r>
      <w:commentRangeEnd w:id="2"/>
      <w:r w:rsidR="00E326EC">
        <w:rPr>
          <w:rStyle w:val="CommentReference"/>
        </w:rPr>
        <w:commentReference w:id="2"/>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lastRenderedPageBreak/>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65"/>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w:t>
      </w:r>
      <w:proofErr w:type="spellStart"/>
      <w:r w:rsidR="00352CFA" w:rsidRPr="00924223">
        <w:rPr>
          <w:lang w:val="fr-CH"/>
        </w:rPr>
        <w:t>science-fictionelle</w:t>
      </w:r>
      <w:proofErr w:type="spellEnd"/>
      <w:r w:rsidR="00352CFA" w:rsidRPr="00924223">
        <w:rPr>
          <w:lang w:val="fr-CH"/>
        </w:rPr>
        <w:t xml:space="preserv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69"/>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3"/>
      <w:r w:rsidRPr="00257664">
        <w:rPr>
          <w:lang w:val="fr-CH"/>
        </w:rPr>
        <w:t xml:space="preserve">aux changements de genre </w:t>
      </w:r>
      <w:r>
        <w:rPr>
          <w:lang w:val="fr-CH"/>
        </w:rPr>
        <w:t>dans le cadre des remakes</w:t>
      </w:r>
      <w:commentRangeEnd w:id="3"/>
      <w:r w:rsidR="00E326EC">
        <w:rPr>
          <w:rStyle w:val="CommentReference"/>
        </w:rPr>
        <w:commentReference w:id="3"/>
      </w:r>
      <w:r w:rsidR="0039669B">
        <w:rPr>
          <w:rStyle w:val="FootnoteReference"/>
          <w:lang w:val="fr-CH"/>
        </w:rPr>
        <w:footnoteReference w:id="70"/>
      </w:r>
      <w:r>
        <w:rPr>
          <w:lang w:val="fr-CH"/>
        </w:rPr>
        <w:t>. Plutôt que d’évaluer la qualité horrifique d’un remake par rapport à l’orignal</w:t>
      </w:r>
      <w:r w:rsidR="00572515">
        <w:rPr>
          <w:rStyle w:val="FootnoteReference"/>
          <w:lang w:val="fr-CH"/>
        </w:rPr>
        <w:footnoteReference w:id="71"/>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w:t>
      </w:r>
      <w:r w:rsidR="0014602A">
        <w:rPr>
          <w:lang w:val="fr-CH"/>
        </w:rPr>
        <w:lastRenderedPageBreak/>
        <w:t>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72"/>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7BDB00E7"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4"/>
      <w:r w:rsidR="003D1B8D">
        <w:rPr>
          <w:lang w:val="fr-CH"/>
        </w:rPr>
        <w:t>ancrée dans une autre pratique de la critique</w:t>
      </w:r>
      <w:commentRangeEnd w:id="4"/>
      <w:r w:rsidR="00DF2C6F">
        <w:rPr>
          <w:rStyle w:val="CommentReference"/>
        </w:rPr>
        <w:commentReference w:id="4"/>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3"/>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4"/>
      </w:r>
      <w:r w:rsidR="0022552E">
        <w:rPr>
          <w:lang w:val="fr-CH"/>
        </w:rPr>
        <w:t xml:space="preserve">. Dans les deux </w:t>
      </w:r>
      <w:r w:rsidR="0022552E">
        <w:rPr>
          <w:lang w:val="fr-CH"/>
        </w:rPr>
        <w:lastRenderedPageBreak/>
        <w:t xml:space="preserve">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5"/>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lastRenderedPageBreak/>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w:t>
      </w:r>
      <w:r w:rsidR="00443F6E">
        <w:rPr>
          <w:lang w:val="fr-CH"/>
        </w:rPr>
        <w:t xml:space="preserve">d’absence </w:t>
      </w:r>
      <w:r w:rsidR="00217331">
        <w:rPr>
          <w:lang w:val="fr-CH"/>
        </w:rPr>
        <w:t>d’émotions »</w:t>
      </w:r>
      <w:r w:rsidR="00C5130A">
        <w:rPr>
          <w:rStyle w:val="FootnoteReference"/>
          <w:lang w:val="fr-CH"/>
        </w:rPr>
        <w:footnoteReference w:id="82"/>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87"/>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88"/>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39BB293E" w:rsidR="00A14516" w:rsidRDefault="00A14516" w:rsidP="00C12297">
      <w:pPr>
        <w:pStyle w:val="Mmoire"/>
        <w:rPr>
          <w:lang w:val="fr-CH"/>
        </w:rPr>
      </w:pPr>
      <w:r>
        <w:rPr>
          <w:lang w:val="fr-CH"/>
        </w:rPr>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89"/>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lastRenderedPageBreak/>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5"/>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5"/>
      <w:r w:rsidR="001E134D">
        <w:rPr>
          <w:rStyle w:val="CommentReference"/>
        </w:rPr>
        <w:commentReference w:id="5"/>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t>Activities</w:t>
      </w:r>
      <w:proofErr w:type="spellEnd"/>
      <w:r w:rsidR="000D6B0D" w:rsidRPr="006D4B9D">
        <w:rPr>
          <w:lang w:val="fr-CH"/>
        </w:rPr>
        <w:t> </w:t>
      </w:r>
      <w:r w:rsidR="000D6B0D">
        <w:rPr>
          <w:lang w:val="fr-CH"/>
        </w:rPr>
        <w:t>»</w:t>
      </w:r>
      <w:r w:rsidR="000D6B0D">
        <w:rPr>
          <w:rStyle w:val="FootnoteReference"/>
          <w:lang w:val="fr-CH"/>
        </w:rPr>
        <w:footnoteReference w:id="94"/>
      </w:r>
      <w:r w:rsidR="000D6B0D">
        <w:rPr>
          <w:lang w:val="fr-CH"/>
        </w:rPr>
        <w:t xml:space="preserve"> </w:t>
      </w:r>
      <w:commentRangeStart w:id="6"/>
      <w:r w:rsidR="000D6B0D">
        <w:rPr>
          <w:lang w:val="fr-CH"/>
        </w:rPr>
        <w:t>(HUAC)</w:t>
      </w:r>
      <w:r w:rsidR="00331356">
        <w:rPr>
          <w:lang w:val="fr-CH"/>
        </w:rPr>
        <w:t xml:space="preserve"> </w:t>
      </w:r>
      <w:commentRangeEnd w:id="6"/>
      <w:r w:rsidR="001E134D">
        <w:rPr>
          <w:rStyle w:val="CommentReference"/>
        </w:rPr>
        <w:commentReference w:id="6"/>
      </w:r>
      <w:r w:rsidR="00331356">
        <w:rPr>
          <w:lang w:val="fr-CH"/>
        </w:rPr>
        <w:t>chargé d’enquêter sur les groupes aux activités concernées comme « non américaines »</w:t>
      </w:r>
      <w:r w:rsidR="00331356">
        <w:rPr>
          <w:rStyle w:val="FootnoteReference"/>
          <w:lang w:val="fr-CH"/>
        </w:rPr>
        <w:footnoteReference w:id="9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7"/>
      <w:r w:rsidR="007765CA">
        <w:rPr>
          <w:lang w:val="fr-CH"/>
        </w:rPr>
        <w:t>la « Hollywood Blacklist »</w:t>
      </w:r>
      <w:r w:rsidR="00336962">
        <w:rPr>
          <w:rStyle w:val="FootnoteReference"/>
          <w:lang w:val="fr-CH"/>
        </w:rPr>
        <w:footnoteReference w:id="9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9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9"/>
      </w:r>
      <w:r w:rsidR="007F3A27">
        <w:rPr>
          <w:lang w:val="fr-CH"/>
        </w:rPr>
        <w:t xml:space="preserve">: elle forcera d’une part un certain nombre de scénaristes de travailler </w:t>
      </w:r>
      <w:r w:rsidR="007F3A27">
        <w:rPr>
          <w:lang w:val="fr-CH"/>
        </w:rPr>
        <w:lastRenderedPageBreak/>
        <w:t>sous un faux nom ou de diffuser leurs œuvres via des pairs</w:t>
      </w:r>
      <w:r w:rsidR="007F3A27">
        <w:rPr>
          <w:rStyle w:val="FootnoteReference"/>
          <w:lang w:val="fr-CH"/>
        </w:rPr>
        <w:footnoteReference w:id="100"/>
      </w:r>
      <w:r w:rsidR="007F3A27">
        <w:rPr>
          <w:lang w:val="fr-CH"/>
        </w:rPr>
        <w:t>, encouragera certains professionnels à enfouir l’idéologie politique de leur film sous plusieurs couches de lecture</w:t>
      </w:r>
      <w:r w:rsidR="007F3A27">
        <w:rPr>
          <w:rStyle w:val="FootnoteReference"/>
          <w:lang w:val="fr-CH"/>
        </w:rPr>
        <w:footnoteReference w:id="101"/>
      </w:r>
      <w:r w:rsidR="007F3A27">
        <w:rPr>
          <w:lang w:val="fr-CH"/>
        </w:rPr>
        <w:t xml:space="preserve"> et, selon Andrew Dowdy, sera économiquement profitable aux studios en recherche de scénaristes moins chers</w:t>
      </w:r>
      <w:r w:rsidR="007F3A27">
        <w:rPr>
          <w:rStyle w:val="FootnoteReference"/>
          <w:lang w:val="fr-CH"/>
        </w:rPr>
        <w:footnoteReference w:id="102"/>
      </w:r>
      <w:commentRangeEnd w:id="7"/>
      <w:r w:rsidR="001E134D">
        <w:rPr>
          <w:rStyle w:val="CommentReference"/>
        </w:rPr>
        <w:commentReference w:id="7"/>
      </w:r>
      <w:r w:rsidR="007F3A27">
        <w:rPr>
          <w:lang w:val="fr-CH"/>
        </w:rPr>
        <w:t>.</w:t>
      </w:r>
    </w:p>
    <w:p w14:paraId="3EC02499" w14:textId="38A1DC3D"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0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05"/>
      </w:r>
      <w:r w:rsidR="00425192">
        <w:rPr>
          <w:lang w:val="fr-CH"/>
        </w:rPr>
        <w:t>.</w:t>
      </w:r>
      <w:commentRangeStart w:id="8"/>
      <w:r w:rsidR="008120E2">
        <w:rPr>
          <w:lang w:val="fr-CH"/>
        </w:rPr>
        <w:t xml:space="preserve"> </w:t>
      </w:r>
      <w:commentRangeEnd w:id="8"/>
      <w:r w:rsidR="001E288A">
        <w:rPr>
          <w:rStyle w:val="CommentReference"/>
        </w:rPr>
        <w:commentReference w:id="8"/>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0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0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9"/>
      </w:r>
      <w:r w:rsidR="0007647B">
        <w:rPr>
          <w:lang w:val="fr-CH"/>
        </w:rPr>
        <w:t xml:space="preserve">, </w:t>
      </w:r>
      <w:r w:rsidR="00FD552F">
        <w:rPr>
          <w:lang w:val="fr-CH"/>
        </w:rPr>
        <w:t>acte fondateur</w:t>
      </w:r>
      <w:r w:rsidR="00FC075B">
        <w:rPr>
          <w:lang w:val="fr-CH"/>
        </w:rPr>
        <w:t xml:space="preserve"> pour la </w:t>
      </w:r>
      <w:r w:rsidR="00FC075B">
        <w:rPr>
          <w:lang w:val="fr-CH"/>
        </w:rPr>
        <w:lastRenderedPageBreak/>
        <w:t>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bookmarkStart w:id="9" w:name="_GoBack"/>
      <w:bookmarkEnd w:id="9"/>
      <w:r w:rsidR="003F5E9F" w:rsidRPr="006D4B9D">
        <w:rPr>
          <w:lang w:val="fr-CH"/>
        </w:rPr>
        <w:t> </w:t>
      </w:r>
      <w:r w:rsidR="003F5E9F">
        <w:rPr>
          <w:lang w:val="fr-CH"/>
        </w:rPr>
        <w:t>»</w:t>
      </w:r>
      <w:r w:rsidR="003F5E9F">
        <w:rPr>
          <w:rStyle w:val="FootnoteReference"/>
          <w:lang w:val="fr-CH"/>
        </w:rPr>
        <w:footnoteReference w:id="11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1"/>
      </w:r>
      <w:r w:rsidR="0025350A">
        <w:rPr>
          <w:lang w:val="fr-CH"/>
        </w:rPr>
        <w:t>, celui de Ferrera à la peur du SIDA</w:t>
      </w:r>
      <w:r w:rsidR="0025350A">
        <w:rPr>
          <w:rStyle w:val="FootnoteReference"/>
          <w:lang w:val="fr-CH"/>
        </w:rPr>
        <w:footnoteReference w:id="11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13"/>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r w:rsidR="00490DED" w:rsidRPr="00D0555F">
        <w:rPr>
          <w:i/>
          <w:highlight w:val="yellow"/>
          <w:lang w:val="fr-CH"/>
        </w:rPr>
        <w:t>compréhension</w:t>
      </w:r>
      <w:r w:rsidR="007A67A9" w:rsidRPr="00D0555F">
        <w:rPr>
          <w:highlight w:val="yellow"/>
          <w:lang w:val="fr-CH"/>
        </w:rPr>
        <w:t xml:space="preserve"> le sens de toutes ces lectures politiques du film est nécessaire. Ne laisse pas toutes ces critiques effacer ta voix, même si c’est un </w:t>
      </w:r>
      <w:proofErr w:type="spellStart"/>
      <w:r w:rsidR="007A67A9" w:rsidRPr="00D0555F">
        <w:rPr>
          <w:highlight w:val="yellow"/>
          <w:lang w:val="fr-CH"/>
        </w:rPr>
        <w:t>review</w:t>
      </w:r>
      <w:proofErr w:type="spellEnd"/>
      <w:r w:rsidR="007A67A9" w:rsidRPr="00D0555F">
        <w:rPr>
          <w:highlight w:val="yellow"/>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14"/>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15"/>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6"/>
      </w:r>
      <w:r w:rsidR="00744219">
        <w:rPr>
          <w:lang w:val="fr-CH"/>
        </w:rPr>
        <w:t>.</w:t>
      </w:r>
      <w:r w:rsidR="008E4CE3">
        <w:rPr>
          <w:lang w:val="fr-CH"/>
        </w:rPr>
        <w:t xml:space="preserve"> Une </w:t>
      </w:r>
      <w:r w:rsidR="008E4CE3">
        <w:rPr>
          <w:lang w:val="fr-CH"/>
        </w:rPr>
        <w:lastRenderedPageBreak/>
        <w:t xml:space="preserve">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17"/>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10"/>
      <w:r w:rsidR="00894B06">
        <w:rPr>
          <w:lang w:val="fr-CH"/>
        </w:rPr>
        <w:t>dynamique</w:t>
      </w:r>
      <w:commentRangeEnd w:id="10"/>
      <w:r w:rsidR="007A67A9">
        <w:rPr>
          <w:rStyle w:val="CommentReference"/>
        </w:rPr>
        <w:commentReference w:id="10"/>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18"/>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9"/>
      </w:r>
      <w:r w:rsidR="002B6C9D">
        <w:rPr>
          <w:lang w:val="fr-CH"/>
        </w:rPr>
        <w:t xml:space="preserve"> est un trouble psychologique connu et documenté</w:t>
      </w:r>
      <w:r w:rsidR="002B6C9D">
        <w:rPr>
          <w:rStyle w:val="FootnoteReference"/>
          <w:lang w:val="fr-CH"/>
        </w:rPr>
        <w:footnoteReference w:id="120"/>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1"/>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2"/>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3"/>
      </w:r>
      <w:r w:rsidR="005F3CBC">
        <w:rPr>
          <w:lang w:val="fr-CH"/>
        </w:rPr>
        <w:t xml:space="preserve">, et démontre d’une part </w:t>
      </w:r>
      <w:commentRangeStart w:id="11"/>
      <w:proofErr w:type="gramStart"/>
      <w:r w:rsidR="005F3CBC">
        <w:rPr>
          <w:lang w:val="fr-CH"/>
        </w:rPr>
        <w:t>la</w:t>
      </w:r>
      <w:proofErr w:type="gramEnd"/>
      <w:r w:rsidR="005F3CBC">
        <w:rPr>
          <w:lang w:val="fr-CH"/>
        </w:rPr>
        <w:t xml:space="preserve"> pluri-sémanticité du film </w:t>
      </w:r>
      <w:commentRangeEnd w:id="11"/>
      <w:r w:rsidR="007A67A9">
        <w:rPr>
          <w:rStyle w:val="CommentReference"/>
        </w:rPr>
        <w:commentReference w:id="11"/>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4"/>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5"/>
      </w:r>
      <w:r w:rsidR="00B457F7">
        <w:rPr>
          <w:lang w:val="fr-CH"/>
        </w:rPr>
        <w:t xml:space="preserve">. </w:t>
      </w:r>
      <w:r w:rsidR="00C302DC">
        <w:rPr>
          <w:lang w:val="fr-CH"/>
        </w:rPr>
        <w:t xml:space="preserve">Dans les deux cas, les auteurs évoquent le </w:t>
      </w:r>
      <w:r w:rsidR="00C302DC">
        <w:rPr>
          <w:lang w:val="fr-CH"/>
        </w:rPr>
        <w:lastRenderedPageBreak/>
        <w:t>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6"/>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7CA53E78" w14:textId="77777777" w:rsidR="00F76E52" w:rsidRDefault="00F76E52" w:rsidP="00D0555F"/>
    <w:p w14:paraId="6A5A7F52" w14:textId="5F49DC54" w:rsidR="00F76E52" w:rsidRPr="00D0555F" w:rsidRDefault="00F76E52" w:rsidP="00D0555F">
      <w:pPr>
        <w:rPr>
          <w:highlight w:val="yellow"/>
        </w:rPr>
      </w:pPr>
      <w:r w:rsidRPr="00D0555F">
        <w:rPr>
          <w:highlight w:val="yellow"/>
        </w:rPr>
        <w:t xml:space="preserve">Il faut que tu en parles avec Mireille, mais il vaudrait </w:t>
      </w:r>
      <w:proofErr w:type="gramStart"/>
      <w:r w:rsidRPr="00D0555F">
        <w:rPr>
          <w:highlight w:val="yellow"/>
        </w:rPr>
        <w:t>peut être</w:t>
      </w:r>
      <w:proofErr w:type="gramEnd"/>
      <w:r w:rsidRPr="00D0555F">
        <w:rPr>
          <w:highlight w:val="yellow"/>
        </w:rPr>
        <w:t xml:space="preserve"> mieux traduire les citations en anglais ; le saut d’une langue à l’autre est problématique.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 xml:space="preserve">Je pense que c’est un bon début, et que tu situes les </w:t>
      </w:r>
      <w:proofErr w:type="spellStart"/>
      <w:r w:rsidRPr="00D0555F">
        <w:rPr>
          <w:highlight w:val="yellow"/>
        </w:rPr>
        <w:t>terms</w:t>
      </w:r>
      <w:proofErr w:type="spellEnd"/>
      <w:r w:rsidRPr="00D0555F">
        <w:rPr>
          <w:highlight w:val="yellow"/>
        </w:rPr>
        <w:t xml:space="preserve"> de ta lecture du film, mais il faut les mettre en évidence bien plus à mon </w:t>
      </w:r>
      <w:proofErr w:type="spellStart"/>
      <w:r w:rsidRPr="00D0555F">
        <w:rPr>
          <w:highlight w:val="yellow"/>
        </w:rPr>
        <w:t>sense</w:t>
      </w:r>
      <w:proofErr w:type="spellEnd"/>
      <w:r w:rsidRPr="00D0555F">
        <w:rPr>
          <w:highlight w:val="yellow"/>
        </w:rPr>
        <w:t xml:space="preserve"> : </w:t>
      </w:r>
      <w:proofErr w:type="spellStart"/>
      <w:r w:rsidRPr="00D0555F">
        <w:rPr>
          <w:highlight w:val="yellow"/>
        </w:rPr>
        <w:t>carve</w:t>
      </w:r>
      <w:proofErr w:type="spellEnd"/>
      <w:r w:rsidRPr="00D0555F">
        <w:rPr>
          <w:highlight w:val="yellow"/>
        </w:rPr>
        <w:t xml:space="preserve"> out </w:t>
      </w:r>
      <w:proofErr w:type="spellStart"/>
      <w:r w:rsidRPr="00D0555F">
        <w:rPr>
          <w:highlight w:val="yellow"/>
        </w:rPr>
        <w:t>your</w:t>
      </w:r>
      <w:proofErr w:type="spellEnd"/>
      <w:r w:rsidRPr="00D0555F">
        <w:rPr>
          <w:highlight w:val="yellow"/>
        </w:rPr>
        <w:t xml:space="preserve"> place in the </w:t>
      </w:r>
      <w:proofErr w:type="spellStart"/>
      <w:r w:rsidRPr="00D0555F">
        <w:rPr>
          <w:highlight w:val="yellow"/>
        </w:rPr>
        <w:t>literature</w:t>
      </w:r>
      <w:proofErr w:type="spellEnd"/>
      <w:r w:rsidRPr="00D0555F">
        <w:rPr>
          <w:highlight w:val="yellow"/>
        </w:rPr>
        <w:t>.</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6T12:23:00Z" w:initials="JB">
    <w:p w14:paraId="0DE4EBEC" w14:textId="33ADA091" w:rsidR="00E25EC2" w:rsidRDefault="00E25EC2">
      <w:pPr>
        <w:pStyle w:val="CommentText"/>
      </w:pPr>
      <w:r>
        <w:rPr>
          <w:rStyle w:val="CommentReference"/>
        </w:rPr>
        <w:annotationRef/>
      </w:r>
      <w:r>
        <w:t>Ajouter une partie sur la canonisation ! (</w:t>
      </w:r>
      <w:proofErr w:type="gramStart"/>
      <w:r>
        <w:t>au</w:t>
      </w:r>
      <w:proofErr w:type="gramEnd"/>
      <w:r>
        <w:t xml:space="preserve"> début)</w:t>
      </w:r>
    </w:p>
  </w:comment>
  <w:comment w:id="1" w:author="Julien Bono" w:date="2016-12-13T13:56:00Z" w:initials="JB">
    <w:p w14:paraId="5F440D2C" w14:textId="746E9C3D" w:rsidR="008B6918" w:rsidRDefault="008B6918">
      <w:pPr>
        <w:pStyle w:val="CommentText"/>
      </w:pPr>
      <w:r>
        <w:rPr>
          <w:rStyle w:val="CommentReference"/>
        </w:rPr>
        <w:annotationRef/>
      </w:r>
      <w:proofErr w:type="spellStart"/>
      <w:r>
        <w:t>Eventuellment</w:t>
      </w:r>
      <w:proofErr w:type="spellEnd"/>
      <w:r>
        <w:t xml:space="preserve"> intégrer la critique de </w:t>
      </w:r>
      <w:proofErr w:type="spellStart"/>
      <w:r>
        <w:t>Daney</w:t>
      </w:r>
      <w:proofErr w:type="spellEnd"/>
      <w:r>
        <w:t xml:space="preserve"> (reproduite à dernière page du dossier de </w:t>
      </w:r>
      <w:proofErr w:type="spellStart"/>
      <w:r>
        <w:t>Béghin</w:t>
      </w:r>
      <w:proofErr w:type="spellEnd"/>
      <w:r>
        <w:t>)</w:t>
      </w:r>
    </w:p>
  </w:comment>
  <w:comment w:id="2"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3"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w:t>
      </w:r>
      <w:proofErr w:type="spellStart"/>
      <w:r>
        <w:t>dis-en</w:t>
      </w:r>
      <w:proofErr w:type="spellEnd"/>
      <w:r>
        <w:t xml:space="preserve"> plus, en quoi est-ce que le genre du film d’horreur/</w:t>
      </w:r>
      <w:proofErr w:type="spellStart"/>
      <w:r>
        <w:t>sci</w:t>
      </w:r>
      <w:proofErr w:type="spellEnd"/>
      <w:r>
        <w:t>-fi s’inscrit-elle dans la logique de la ‘</w:t>
      </w:r>
      <w:proofErr w:type="spellStart"/>
      <w:r>
        <w:t>contaiment</w:t>
      </w:r>
      <w:proofErr w:type="spellEnd"/>
      <w:r>
        <w:t xml:space="preserve"> culture’ de la guerre froide, tu développes ce point plus loin, je vois mais il peut être amorcé avant. Voir, </w:t>
      </w:r>
      <w:proofErr w:type="spellStart"/>
      <w:r w:rsidRPr="00E326EC">
        <w:rPr>
          <w:i/>
        </w:rPr>
        <w:t>Containment</w:t>
      </w:r>
      <w:proofErr w:type="spellEnd"/>
      <w:r w:rsidRPr="00E326EC">
        <w:rPr>
          <w:i/>
        </w:rPr>
        <w:t xml:space="preserve"> Culture</w:t>
      </w:r>
      <w:r>
        <w:t xml:space="preserve"> d’Alan Nadal à ce sujet</w:t>
      </w:r>
    </w:p>
  </w:comment>
  <w:comment w:id="4" w:author="Anas Sareen" w:date="2016-12-08T10:34:00Z" w:initials="AS">
    <w:p w14:paraId="02EBCB42" w14:textId="53622338" w:rsidR="001E134D" w:rsidRDefault="001E134D">
      <w:pPr>
        <w:pStyle w:val="CommentText"/>
      </w:pPr>
      <w:r>
        <w:rPr>
          <w:rStyle w:val="CommentReference"/>
        </w:rPr>
        <w:annotationRef/>
      </w:r>
      <w:r>
        <w:t xml:space="preserve">Qui s’articule autour de la notion d’auteur, </w:t>
      </w:r>
      <w:proofErr w:type="spellStart"/>
      <w:r>
        <w:t>ref</w:t>
      </w:r>
      <w:proofErr w:type="spellEnd"/>
      <w:r>
        <w:t>.</w:t>
      </w:r>
    </w:p>
  </w:comment>
  <w:comment w:id="5"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w:t>
      </w:r>
      <w:proofErr w:type="spellStart"/>
      <w:r>
        <w:t>celle-la</w:t>
      </w:r>
      <w:proofErr w:type="spellEnd"/>
      <w:r>
        <w:t xml:space="preserve">. </w:t>
      </w:r>
      <w:r w:rsidRPr="008B6918">
        <w:rPr>
          <w:lang w:val="en-GB"/>
        </w:rPr>
        <w:t xml:space="preserve">Ca fait 1st year undergrad essay. </w:t>
      </w:r>
      <w:r>
        <w:t>Prend en une dans les sources que tu cites ! Shaw etc. ou Nadal, que je mentionne plus haut.</w:t>
      </w:r>
    </w:p>
  </w:comment>
  <w:comment w:id="6"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 xml:space="preserve">MLA, JSTOR and Project Muse search. What does HUAC </w:t>
      </w:r>
      <w:proofErr w:type="gramStart"/>
      <w:r w:rsidRPr="008B6918">
        <w:rPr>
          <w:lang w:val="en-GB"/>
        </w:rPr>
        <w:t>have to</w:t>
      </w:r>
      <w:proofErr w:type="gramEnd"/>
      <w:r w:rsidRPr="008B6918">
        <w:rPr>
          <w:lang w:val="en-GB"/>
        </w:rPr>
        <w:t xml:space="preserve"> say about SCI fi for example</w:t>
      </w:r>
    </w:p>
  </w:comment>
  <w:comment w:id="7"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8" w:author="Julien Bono" w:date="2016-12-16T16:51:00Z" w:initials="JB">
    <w:p w14:paraId="1D794FB7" w14:textId="65FE9EDA" w:rsidR="001E288A" w:rsidRPr="00860295" w:rsidRDefault="001E288A">
      <w:pPr>
        <w:pStyle w:val="CommentText"/>
        <w:rPr>
          <w:lang w:val="en-GB"/>
        </w:rPr>
      </w:pPr>
      <w:r>
        <w:rPr>
          <w:rStyle w:val="CommentReference"/>
        </w:rPr>
        <w:annotationRef/>
      </w:r>
      <w:r>
        <w:t>Paragraphe sur Richard Collins (</w:t>
      </w:r>
      <w:proofErr w:type="spellStart"/>
      <w:r>
        <w:t>ie</w:t>
      </w:r>
      <w:proofErr w:type="spellEnd"/>
      <w:r>
        <w:t xml:space="preserve">. </w:t>
      </w:r>
      <w:r w:rsidRPr="00860295">
        <w:rPr>
          <w:lang w:val="en-GB"/>
        </w:rPr>
        <w:t>Hoberman S&amp;S p30)</w:t>
      </w:r>
    </w:p>
  </w:comment>
  <w:comment w:id="10"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w:t>
      </w:r>
      <w:proofErr w:type="gramStart"/>
      <w:r w:rsidRPr="008B6918">
        <w:rPr>
          <w:lang w:val="en-GB"/>
        </w:rPr>
        <w:t>film :</w:t>
      </w:r>
      <w:proofErr w:type="gramEnd"/>
      <w:r w:rsidRPr="008B6918">
        <w:rPr>
          <w:lang w:val="en-GB"/>
        </w:rPr>
        <w:t xml:space="preserve"> open to multiple socio political interpretations. This is where you do your bit as a historiographer.</w:t>
      </w:r>
    </w:p>
  </w:comment>
  <w:comment w:id="11"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E4EBEC" w15:done="0"/>
  <w15:commentEx w15:paraId="5F440D2C" w15:done="0"/>
  <w15:commentEx w15:paraId="019C4414" w15:done="0"/>
  <w15:commentEx w15:paraId="47DAE38F" w15:done="0"/>
  <w15:commentEx w15:paraId="02EBCB42" w15:done="0"/>
  <w15:commentEx w15:paraId="005EBBD2" w15:done="0"/>
  <w15:commentEx w15:paraId="26CBDC9B" w15:done="0"/>
  <w15:commentEx w15:paraId="4BB377B8" w15:done="0"/>
  <w15:commentEx w15:paraId="1D794FB7"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7CAD8" w14:textId="77777777" w:rsidR="00B54A97" w:rsidRDefault="00B54A97" w:rsidP="00173138">
      <w:r>
        <w:separator/>
      </w:r>
    </w:p>
  </w:endnote>
  <w:endnote w:type="continuationSeparator" w:id="0">
    <w:p w14:paraId="181932B0" w14:textId="77777777" w:rsidR="00B54A97" w:rsidRDefault="00B54A9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A64F2C">
      <w:rPr>
        <w:rStyle w:val="PageNumber"/>
        <w:noProof/>
        <w:sz w:val="22"/>
      </w:rPr>
      <w:t>11</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C65A5" w14:textId="77777777" w:rsidR="00B54A97" w:rsidRDefault="00B54A97" w:rsidP="00173138">
      <w:r>
        <w:separator/>
      </w:r>
    </w:p>
  </w:footnote>
  <w:footnote w:type="continuationSeparator" w:id="0">
    <w:p w14:paraId="20D3ADFB" w14:textId="77777777" w:rsidR="00B54A97" w:rsidRDefault="00B54A97"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w:t>
      </w:r>
      <w:proofErr w:type="spellStart"/>
      <w:r w:rsidRPr="00781EA5">
        <w:rPr>
          <w:lang w:val="en-GB"/>
        </w:rPr>
        <w:t>Ou</w:t>
      </w:r>
      <w:proofErr w:type="spellEnd"/>
      <w:r w:rsidRPr="00781EA5">
        <w:rPr>
          <w:lang w:val="en-GB"/>
        </w:rPr>
        <w:t xml:space="preserve"> </w:t>
      </w:r>
      <w:proofErr w:type="spellStart"/>
      <w:r w:rsidRPr="00781EA5">
        <w:rPr>
          <w:lang w:val="en-GB"/>
        </w:rPr>
        <w:t>une</w:t>
      </w:r>
      <w:proofErr w:type="spellEnd"/>
      <w:r w:rsidRPr="00781EA5">
        <w:rPr>
          <w:lang w:val="en-GB"/>
        </w:rPr>
        <w:t xml:space="preserv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r w:rsidRPr="00781EA5">
        <w:rPr>
          <w:lang w:val="en-GB"/>
        </w:rPr>
        <w:t>BearManor</w:t>
      </w:r>
      <w:proofErr w:type="spellEnd"/>
      <w:r w:rsidRPr="00781EA5">
        <w:rPr>
          <w:lang w:val="en-GB"/>
        </w:rPr>
        <w:t>,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1E134D" w:rsidRPr="007D7652" w:rsidRDefault="001E134D">
      <w:pPr>
        <w:pStyle w:val="FootnoteText"/>
        <w:rPr>
          <w:lang w:val="fr-CH"/>
        </w:rPr>
      </w:pPr>
      <w:r>
        <w:rPr>
          <w:rStyle w:val="FootnoteReference"/>
        </w:rPr>
        <w:footnoteRef/>
      </w:r>
      <w:r>
        <w:t xml:space="preserve"> </w:t>
      </w:r>
      <w:r w:rsidR="00125DC3">
        <w:rPr>
          <w:lang w:val="fr-CH"/>
        </w:rPr>
        <w:t xml:space="preserve">Producteur du film de </w:t>
      </w:r>
      <w:r>
        <w:rPr>
          <w:lang w:val="fr-CH"/>
        </w:rPr>
        <w:t>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 xml:space="preserve">op. </w:t>
      </w:r>
      <w:proofErr w:type="gramStart"/>
      <w:r w:rsidRPr="00781EA5">
        <w:rPr>
          <w:i/>
          <w:szCs w:val="20"/>
          <w:lang w:val="fr-CH"/>
        </w:rPr>
        <w:t>cit</w:t>
      </w:r>
      <w:proofErr w:type="gramEnd"/>
      <w:r w:rsidRPr="00781EA5">
        <w:rPr>
          <w:i/>
          <w:szCs w:val="20"/>
          <w:lang w:val="fr-CH"/>
        </w:rPr>
        <w:t>.</w:t>
      </w:r>
      <w:r w:rsidRPr="00781EA5">
        <w:rPr>
          <w:szCs w:val="20"/>
          <w:lang w:val="fr-CH"/>
        </w:rPr>
        <w:t>, p .163.</w:t>
      </w:r>
    </w:p>
  </w:footnote>
  <w:footnote w:id="9">
    <w:p w14:paraId="560F38A7" w14:textId="12FBD6AC" w:rsidR="001E134D" w:rsidRPr="00781EA5" w:rsidRDefault="001E134D">
      <w:pPr>
        <w:pStyle w:val="FootnoteText"/>
        <w:rPr>
          <w:lang w:val="en-GB"/>
        </w:rPr>
      </w:pPr>
      <w:r>
        <w:rPr>
          <w:rStyle w:val="FootnoteReference"/>
        </w:rPr>
        <w:footnoteRef/>
      </w:r>
      <w:r w:rsidRPr="00781EA5">
        <w:rPr>
          <w:lang w:val="en-GB"/>
        </w:rPr>
        <w:t xml:space="preserve"> </w:t>
      </w:r>
      <w:r w:rsidR="00532FAF" w:rsidRPr="00532FAF">
        <w:rPr>
          <w:lang w:val="en-GB"/>
        </w:rPr>
        <w:t>« it’s definitely an exploitation picture which they [the distributor and exhibitor] didn’t exploit »</w:t>
      </w:r>
      <w:r w:rsidR="00532FAF">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.163</w:t>
      </w:r>
    </w:p>
  </w:footnote>
  <w:footnote w:id="10">
    <w:p w14:paraId="56550D15" w14:textId="74E4F856" w:rsidR="00B708B7" w:rsidRPr="007F03DC" w:rsidRDefault="00B708B7">
      <w:pPr>
        <w:pStyle w:val="FootnoteText"/>
        <w:rPr>
          <w:lang w:val="fr-CH"/>
        </w:rPr>
      </w:pPr>
      <w:r>
        <w:rPr>
          <w:rStyle w:val="FootnoteReference"/>
        </w:rPr>
        <w:footnoteRef/>
      </w:r>
      <w:r w:rsidRPr="007F03DC">
        <w:rPr>
          <w:lang w:val="fr-CH"/>
        </w:rPr>
        <w:t xml:space="preserve"> </w:t>
      </w:r>
      <w:r w:rsidR="007F03DC" w:rsidRPr="007F03DC">
        <w:rPr>
          <w:lang w:val="fr-CH"/>
        </w:rPr>
        <w:t xml:space="preserve">L’appellation </w:t>
      </w:r>
      <w:r>
        <w:rPr>
          <w:lang w:val="fr-CH"/>
        </w:rPr>
        <w:t xml:space="preserve">« film d’exploitation », </w:t>
      </w:r>
      <w:r w:rsidR="007F03DC">
        <w:rPr>
          <w:lang w:val="fr-CH"/>
        </w:rPr>
        <w:t xml:space="preserve">fait ici référence à plusieurs </w:t>
      </w:r>
      <w:proofErr w:type="gramStart"/>
      <w:r w:rsidR="007F03DC">
        <w:rPr>
          <w:lang w:val="fr-CH"/>
        </w:rPr>
        <w:t>facteurs:</w:t>
      </w:r>
      <w:proofErr w:type="gramEnd"/>
      <w:r w:rsidR="007F03DC">
        <w:rPr>
          <w:lang w:val="fr-CH"/>
        </w:rPr>
        <w:t xml:space="preserve"> les coûts de production bas du film, l’utilisation d’acteurs non considérés comme </w:t>
      </w:r>
      <w:r w:rsidR="007F03DC">
        <w:rPr>
          <w:i/>
          <w:lang w:val="fr-CH"/>
        </w:rPr>
        <w:t>stars</w:t>
      </w:r>
      <w:r w:rsidR="007F03DC">
        <w:rPr>
          <w:lang w:val="fr-CH"/>
        </w:rPr>
        <w:t xml:space="preserve">, </w:t>
      </w:r>
      <w:r w:rsidR="009E53C9">
        <w:rPr>
          <w:lang w:val="fr-CH"/>
        </w:rPr>
        <w:t>l’appartenance du film aux genres de la science-fiction et de l’horreur</w:t>
      </w:r>
      <w:r w:rsidR="009C3FD3">
        <w:rPr>
          <w:lang w:val="fr-CH"/>
        </w:rPr>
        <w:t xml:space="preserve"> considérés comme non-légitimes au moment de sa production.</w:t>
      </w:r>
    </w:p>
  </w:footnote>
  <w:footnote w:id="11">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2">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3">
    <w:p w14:paraId="1EE60664" w14:textId="23244908" w:rsidR="001E134D" w:rsidRPr="004C1431" w:rsidRDefault="001E134D">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14">
    <w:p w14:paraId="0C686DEA" w14:textId="6C4DCC88" w:rsidR="001E134D" w:rsidRPr="00781EA5" w:rsidRDefault="001E134D">
      <w:pPr>
        <w:pStyle w:val="FootnoteText"/>
        <w:rPr>
          <w:lang w:val="en-GB"/>
        </w:rPr>
      </w:pPr>
      <w:r>
        <w:rPr>
          <w:rStyle w:val="FootnoteReference"/>
        </w:rPr>
        <w:footnoteRef/>
      </w:r>
      <w:r w:rsidRPr="00781EA5">
        <w:rPr>
          <w:lang w:val="en-GB"/>
        </w:rPr>
        <w:t xml:space="preserve"> </w:t>
      </w:r>
      <w:r w:rsidR="00A31857" w:rsidRPr="00A31857">
        <w:rPr>
          <w:lang w:val="en-GB"/>
        </w:rPr>
        <w:t>« lowly science fiction status </w:t>
      </w:r>
      <w:proofErr w:type="gramStart"/>
      <w:r w:rsidR="00A31857" w:rsidRPr="00A31857">
        <w:rPr>
          <w:lang w:val="en-GB"/>
        </w:rPr>
        <w:t>» ;</w:t>
      </w:r>
      <w:proofErr w:type="gramEnd"/>
      <w:r w:rsidR="00A31857" w:rsidRPr="00A31857">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15">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6">
    <w:p w14:paraId="295EED7E" w14:textId="27AB7D69" w:rsidR="001E134D" w:rsidRPr="00781EA5" w:rsidRDefault="001E134D">
      <w:pPr>
        <w:pStyle w:val="FootnoteText"/>
        <w:rPr>
          <w:lang w:val="en-GB"/>
        </w:rPr>
      </w:pPr>
      <w:r>
        <w:rPr>
          <w:rStyle w:val="FootnoteReference"/>
        </w:rPr>
        <w:footnoteRef/>
      </w:r>
      <w:r w:rsidRPr="00781EA5">
        <w:rPr>
          <w:lang w:val="en-GB"/>
        </w:rPr>
        <w:t xml:space="preserve"> </w:t>
      </w:r>
      <w:r w:rsidRPr="001E288A">
        <w:rPr>
          <w:lang w:val="en-GB"/>
        </w:rPr>
        <w:t xml:space="preserve">Les critiques </w:t>
      </w:r>
      <w:proofErr w:type="spellStart"/>
      <w:r w:rsidRPr="001E288A">
        <w:rPr>
          <w:lang w:val="en-GB"/>
        </w:rPr>
        <w:t>parues</w:t>
      </w:r>
      <w:proofErr w:type="spellEnd"/>
      <w:r w:rsidRPr="001E288A">
        <w:rPr>
          <w:lang w:val="en-GB"/>
        </w:rPr>
        <w:t xml:space="preserve"> </w:t>
      </w:r>
      <w:proofErr w:type="spellStart"/>
      <w:r w:rsidRPr="001E288A">
        <w:rPr>
          <w:lang w:val="en-GB"/>
        </w:rPr>
        <w:t>dans</w:t>
      </w:r>
      <w:proofErr w:type="spellEnd"/>
      <w:r w:rsidRPr="001E288A">
        <w:rPr>
          <w:lang w:val="en-GB"/>
        </w:rPr>
        <w:t xml:space="preserve"> les revues </w:t>
      </w:r>
      <w:proofErr w:type="spellStart"/>
      <w:r w:rsidRPr="001E288A">
        <w:rPr>
          <w:lang w:val="en-GB"/>
        </w:rPr>
        <w:t>corporatives</w:t>
      </w:r>
      <w:proofErr w:type="spellEnd"/>
      <w:r w:rsidRPr="001E288A">
        <w:rPr>
          <w:lang w:val="en-GB"/>
        </w:rPr>
        <w:t xml:space="preserve">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w:t>
      </w:r>
      <w:proofErr w:type="spellStart"/>
      <w:r w:rsidRPr="001E288A">
        <w:rPr>
          <w:lang w:val="en-GB"/>
        </w:rPr>
        <w:t>étant</w:t>
      </w:r>
      <w:proofErr w:type="spellEnd"/>
      <w:r w:rsidRPr="001E288A">
        <w:rPr>
          <w:lang w:val="en-GB"/>
        </w:rPr>
        <w:t xml:space="preserve"> par </w:t>
      </w:r>
      <w:proofErr w:type="spellStart"/>
      <w:r w:rsidRPr="001E288A">
        <w:rPr>
          <w:lang w:val="en-GB"/>
        </w:rPr>
        <w:t>exemple</w:t>
      </w:r>
      <w:proofErr w:type="spellEnd"/>
      <w:r w:rsidRPr="001E288A">
        <w:rPr>
          <w:lang w:val="en-GB"/>
        </w:rPr>
        <w:t xml:space="preserve"> </w:t>
      </w:r>
      <w:proofErr w:type="spellStart"/>
      <w:r w:rsidRPr="001E288A">
        <w:rPr>
          <w:lang w:val="en-GB"/>
        </w:rPr>
        <w:t>datées</w:t>
      </w:r>
      <w:proofErr w:type="spellEnd"/>
      <w:r w:rsidRPr="001E288A">
        <w:rPr>
          <w:lang w:val="en-GB"/>
        </w:rPr>
        <w:t xml:space="preserve"> du 31 </w:t>
      </w:r>
      <w:proofErr w:type="spellStart"/>
      <w:r w:rsidRPr="001E288A">
        <w:rPr>
          <w:lang w:val="en-GB"/>
        </w:rPr>
        <w:t>décembre</w:t>
      </w:r>
      <w:proofErr w:type="spellEnd"/>
      <w:r w:rsidRPr="001E288A">
        <w:rPr>
          <w:lang w:val="en-GB"/>
        </w:rPr>
        <w:t xml:space="preserve"> 1955 et 1</w:t>
      </w:r>
      <w:r w:rsidRPr="001E288A">
        <w:rPr>
          <w:vertAlign w:val="superscript"/>
          <w:lang w:val="en-GB"/>
        </w:rPr>
        <w:t>er</w:t>
      </w:r>
      <w:r w:rsidRPr="001E288A">
        <w:rPr>
          <w:lang w:val="en-GB"/>
        </w:rPr>
        <w:t xml:space="preserve"> </w:t>
      </w:r>
      <w:proofErr w:type="spellStart"/>
      <w:r w:rsidRPr="001E288A">
        <w:rPr>
          <w:lang w:val="en-GB"/>
        </w:rPr>
        <w:t>janvier</w:t>
      </w:r>
      <w:proofErr w:type="spellEnd"/>
      <w:r w:rsidRPr="001E288A">
        <w:rPr>
          <w:lang w:val="en-GB"/>
        </w:rPr>
        <w:t xml:space="preserve"> 1956, </w:t>
      </w:r>
      <w:proofErr w:type="spellStart"/>
      <w:proofErr w:type="gramStart"/>
      <w:r w:rsidRPr="001E288A">
        <w:rPr>
          <w:lang w:val="en-GB"/>
        </w:rPr>
        <w:t>respectivement</w:t>
      </w:r>
      <w:proofErr w:type="spellEnd"/>
      <w:r w:rsidRPr="001E288A">
        <w:rPr>
          <w:lang w:val="en-GB"/>
        </w:rPr>
        <w: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7">
    <w:p w14:paraId="7C0EFE20" w14:textId="2E2B1609" w:rsidR="001E134D" w:rsidRPr="00781EA5" w:rsidRDefault="001E134D">
      <w:pPr>
        <w:pStyle w:val="FootnoteText"/>
        <w:rPr>
          <w:lang w:val="en-GB"/>
        </w:rPr>
      </w:pPr>
      <w:r>
        <w:rPr>
          <w:rStyle w:val="FootnoteReference"/>
        </w:rPr>
        <w:footnoteRef/>
      </w:r>
      <w:r w:rsidRPr="00781EA5">
        <w:rPr>
          <w:lang w:val="en-GB"/>
        </w:rPr>
        <w:t xml:space="preserve"> </w:t>
      </w:r>
      <w:r w:rsidR="00CA7081" w:rsidRPr="00CA7081">
        <w:rPr>
          <w:lang w:val="en-GB"/>
        </w:rPr>
        <w:t xml:space="preserve">« excellent atmosphere ». </w:t>
      </w:r>
      <w:r w:rsidRPr="00781EA5">
        <w:rPr>
          <w:lang w:val="en-GB"/>
        </w:rPr>
        <w:t xml:space="preserve">–,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8">
    <w:p w14:paraId="3E7AD50B" w14:textId="77777777" w:rsidR="00265315" w:rsidRPr="00781EA5" w:rsidRDefault="00265315"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Pr="003F32E3">
        <w:rPr>
          <w:lang w:val="en-GB"/>
        </w:rPr>
        <w:t xml:space="preserve">. </w:t>
      </w:r>
      <w:r w:rsidRPr="00781EA5">
        <w:rPr>
          <w:lang w:val="en-GB"/>
        </w:rPr>
        <w:t xml:space="preserve">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19">
    <w:p w14:paraId="6178779C" w14:textId="1A530899" w:rsidR="001E134D" w:rsidRPr="00781EA5" w:rsidRDefault="001E134D">
      <w:pPr>
        <w:pStyle w:val="FootnoteText"/>
        <w:rPr>
          <w:lang w:val="en-GB"/>
        </w:rPr>
      </w:pPr>
      <w:r>
        <w:rPr>
          <w:rStyle w:val="FootnoteReference"/>
        </w:rPr>
        <w:footnoteRef/>
      </w:r>
      <w:r w:rsidR="00AE3D12">
        <w:rPr>
          <w:lang w:val="en-GB"/>
        </w:rPr>
        <w:t xml:space="preserve"> </w:t>
      </w:r>
      <w:r w:rsidR="008C1EA7" w:rsidRPr="008C1EA7">
        <w:rPr>
          <w:lang w:val="en-GB"/>
        </w:rPr>
        <w:t xml:space="preserve">« brilliant and unusual science shocker ». </w:t>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20">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1">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2">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3">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24">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5">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6">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7">
    <w:p w14:paraId="7263106A" w14:textId="70EE9487" w:rsidR="001E134D" w:rsidRPr="00DD6C92"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28">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9">
    <w:p w14:paraId="43BA8E75" w14:textId="11053A80" w:rsidR="001E134D" w:rsidRPr="005418E9" w:rsidRDefault="001E134D">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30">
    <w:p w14:paraId="25AC74B5" w14:textId="2CB0C9D8" w:rsidR="001E134D" w:rsidRPr="00543A54" w:rsidRDefault="001E134D">
      <w:pPr>
        <w:pStyle w:val="FootnoteText"/>
        <w:rPr>
          <w:lang w:val="en-US"/>
        </w:rPr>
      </w:pPr>
      <w:r>
        <w:rPr>
          <w:rStyle w:val="FootnoteReference"/>
        </w:rPr>
        <w:footnoteRef/>
      </w:r>
      <w:r w:rsidRPr="00781EA5">
        <w:rPr>
          <w:lang w:val="en-GB"/>
        </w:rPr>
        <w:t xml:space="preserve"> </w:t>
      </w:r>
      <w:r w:rsidR="00046E47" w:rsidRPr="00046E47">
        <w:rPr>
          <w:lang w:val="en-US"/>
        </w:rPr>
        <w:t>« Remakes, for the most part, are a pain in the ass. At the bottom of every decision to produce (or reproduce) them lies money</w:t>
      </w:r>
      <w:r w:rsidR="00046E47" w:rsidRPr="00046E47">
        <w:rPr>
          <w:rStyle w:val="CommentReference"/>
        </w:rPr>
        <w:annotationRef/>
      </w:r>
      <w:r w:rsidR="00046E47" w:rsidRPr="00046E47">
        <w:rPr>
          <w:lang w:val="en-US"/>
        </w:rPr>
        <w:t xml:space="preserve">. Hollywood simply can’t allow success, a job well-done, to rest unmolested. As </w:t>
      </w:r>
      <w:proofErr w:type="gramStart"/>
      <w:r w:rsidR="00046E47" w:rsidRPr="00046E47">
        <w:rPr>
          <w:lang w:val="en-US"/>
        </w:rPr>
        <w:t>art</w:t>
      </w:r>
      <w:proofErr w:type="gramEnd"/>
      <w:r w:rsidR="00046E47" w:rsidRPr="00046E47">
        <w:rPr>
          <w:lang w:val="en-US"/>
        </w:rPr>
        <w:t xml:space="preserve"> they are negligible because, as retreads, their conceptions and themes are not original. Critics tend to regard them with a curious </w:t>
      </w:r>
      <w:proofErr w:type="gramStart"/>
      <w:r w:rsidR="00046E47" w:rsidRPr="00046E47">
        <w:rPr>
          <w:lang w:val="en-US"/>
        </w:rPr>
        <w:t>consistency :</w:t>
      </w:r>
      <w:proofErr w:type="gramEnd"/>
      <w:r w:rsidR="00046E47" w:rsidRPr="00046E47">
        <w:rPr>
          <w:lang w:val="en-US"/>
        </w:rPr>
        <w:t xml:space="preserve"> those who disliked the original seem predisposed to like the new version ; those who loved the original seem inclined to deplore the remake –particularly when, as in the case of </w:t>
      </w:r>
      <w:r w:rsidR="00046E47" w:rsidRPr="00046E47">
        <w:rPr>
          <w:i/>
          <w:lang w:val="en-US"/>
        </w:rPr>
        <w:t>Invasion of the Body Snatchers</w:t>
      </w:r>
      <w:r w:rsidR="00046E47" w:rsidRPr="00046E47">
        <w:rPr>
          <w:lang w:val="en-US"/>
        </w:rPr>
        <w:t xml:space="preserve">, the original is thoroughly well-known (as was not the case with the recent </w:t>
      </w:r>
      <w:r w:rsidR="00046E47" w:rsidRPr="00046E47">
        <w:rPr>
          <w:i/>
          <w:lang w:val="en-US"/>
        </w:rPr>
        <w:t>Heaven Can Wait</w:t>
      </w:r>
      <w:r w:rsidR="00046E47" w:rsidRPr="00046E47">
        <w:rPr>
          <w:lang w:val="en-US"/>
        </w:rPr>
        <w:t xml:space="preserve">), fully out in the mainstream of movie culture, and also when the original was not only popular, but a very </w:t>
      </w:r>
      <w:r w:rsidR="00046E47" w:rsidRPr="00046E47">
        <w:rPr>
          <w:i/>
          <w:lang w:val="en-US"/>
        </w:rPr>
        <w:t>good</w:t>
      </w:r>
      <w:r w:rsidR="00046E47" w:rsidRPr="00046E47">
        <w:rPr>
          <w:lang w:val="en-US"/>
        </w:rPr>
        <w:t xml:space="preserve"> film indeed ».</w:t>
      </w:r>
      <w:r w:rsidR="00046E47">
        <w:rPr>
          <w:lang w:val="en-US"/>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31">
    <w:p w14:paraId="71A3B2BB" w14:textId="23AE435D" w:rsidR="001E134D" w:rsidRPr="00781EA5" w:rsidRDefault="001E134D">
      <w:pPr>
        <w:pStyle w:val="FootnoteText"/>
        <w:rPr>
          <w:lang w:val="en-GB"/>
        </w:rPr>
      </w:pPr>
      <w:r>
        <w:rPr>
          <w:rStyle w:val="FootnoteReference"/>
        </w:rPr>
        <w:footnoteRef/>
      </w:r>
      <w:r w:rsidRPr="00781EA5">
        <w:rPr>
          <w:lang w:val="en-GB"/>
        </w:rPr>
        <w:t xml:space="preserve"> </w:t>
      </w:r>
      <w:r w:rsidR="009B439F" w:rsidRPr="009B439F">
        <w:rPr>
          <w:lang w:val="en-GB"/>
        </w:rPr>
        <w:t>« why does it seem needless to say ‘needless to say</w:t>
      </w:r>
      <w:proofErr w:type="gramStart"/>
      <w:r w:rsidR="009B439F" w:rsidRPr="009B439F">
        <w:rPr>
          <w:lang w:val="en-GB"/>
        </w:rPr>
        <w:t>’ ?</w:t>
      </w:r>
      <w:proofErr w:type="gramEnd"/>
      <w:r w:rsidR="009B439F" w:rsidRPr="009B439F">
        <w:rPr>
          <w:lang w:val="en-GB"/>
        </w:rPr>
        <w:t> »</w:t>
      </w:r>
      <w:r w:rsidR="009B439F">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32">
    <w:p w14:paraId="4EA8E55A" w14:textId="0884A315" w:rsidR="001E134D" w:rsidRPr="00D024F2" w:rsidRDefault="001E134D">
      <w:pPr>
        <w:pStyle w:val="FootnoteText"/>
        <w:rPr>
          <w:lang w:val="en-US"/>
        </w:rPr>
      </w:pPr>
      <w:r>
        <w:rPr>
          <w:rStyle w:val="FootnoteReference"/>
        </w:rPr>
        <w:footnoteRef/>
      </w:r>
      <w:r>
        <w:rPr>
          <w:lang w:val="en-US"/>
        </w:rPr>
        <w:t xml:space="preserve"> </w:t>
      </w:r>
      <w:r w:rsidR="000D0D8B" w:rsidRPr="00781EA5">
        <w:rPr>
          <w:lang w:val="en-GB"/>
        </w:rPr>
        <w:t>« </w:t>
      </w:r>
      <w:r w:rsidR="000D0D8B" w:rsidRPr="00FA4053">
        <w:rPr>
          <w:lang w:val="en-US"/>
        </w:rPr>
        <w:t>Phil Kaufman’s version […] is as good as remakes go, but not as good as the original</w:t>
      </w:r>
      <w:r w:rsidR="000D0D8B" w:rsidRPr="00781EA5">
        <w:rPr>
          <w:lang w:val="en-GB"/>
        </w:rPr>
        <w:t> »</w:t>
      </w:r>
      <w:r w:rsidR="000D0D8B">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33">
    <w:p w14:paraId="72E2E3C6" w14:textId="6282CB22" w:rsidR="001E134D" w:rsidRPr="00A00FD7" w:rsidRDefault="001E134D">
      <w:pPr>
        <w:pStyle w:val="FootnoteText"/>
        <w:rPr>
          <w:lang w:val="en-US"/>
        </w:rPr>
      </w:pPr>
      <w:r>
        <w:rPr>
          <w:rStyle w:val="FootnoteReference"/>
        </w:rPr>
        <w:footnoteRef/>
      </w:r>
      <w:r w:rsidRPr="00781EA5">
        <w:rPr>
          <w:lang w:val="en-GB"/>
        </w:rPr>
        <w:t xml:space="preserve"> </w:t>
      </w:r>
      <w:r w:rsidR="004911DA" w:rsidRPr="004911DA">
        <w:rPr>
          <w:lang w:val="en-GB"/>
        </w:rPr>
        <w:t xml:space="preserve">« one of the most intriguing adaptations for some time ».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340A2D1B" w:rsidR="001E134D" w:rsidRPr="00781EA5" w:rsidRDefault="001E134D">
      <w:pPr>
        <w:pStyle w:val="FootnoteText"/>
        <w:rPr>
          <w:lang w:val="en-GB"/>
        </w:rPr>
      </w:pPr>
      <w:r>
        <w:rPr>
          <w:rStyle w:val="FootnoteReference"/>
        </w:rPr>
        <w:footnoteRef/>
      </w:r>
      <w:r w:rsidRPr="00781EA5">
        <w:rPr>
          <w:lang w:val="en-GB"/>
        </w:rPr>
        <w:t xml:space="preserve"> </w:t>
      </w:r>
      <w:r w:rsidR="0038629F" w:rsidRPr="0038629F">
        <w:rPr>
          <w:lang w:val="en-GB"/>
        </w:rPr>
        <w:t xml:space="preserve">« showy ». </w:t>
      </w:r>
      <w:r w:rsidRPr="00781EA5">
        <w:rPr>
          <w:lang w:val="en-GB"/>
        </w:rPr>
        <w:t xml:space="preserve">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11B2D042" w:rsidR="001E134D" w:rsidRPr="0038629F" w:rsidRDefault="001E134D">
      <w:pPr>
        <w:pStyle w:val="FootnoteText"/>
        <w:rPr>
          <w:lang w:val="en-GB"/>
        </w:rPr>
      </w:pPr>
      <w:r>
        <w:rPr>
          <w:rStyle w:val="FootnoteReference"/>
        </w:rPr>
        <w:footnoteRef/>
      </w:r>
      <w:r w:rsidRPr="0038629F">
        <w:rPr>
          <w:lang w:val="en-GB"/>
        </w:rPr>
        <w:t xml:space="preserve"> </w:t>
      </w:r>
      <w:r w:rsidR="0058392D" w:rsidRPr="0058392D">
        <w:rPr>
          <w:lang w:val="en-GB"/>
        </w:rPr>
        <w:t xml:space="preserve">« swift, compact and efficient ». </w:t>
      </w:r>
      <w:r w:rsidRPr="0038629F">
        <w:rPr>
          <w:lang w:val="en-GB"/>
        </w:rPr>
        <w:t xml:space="preserve">David </w:t>
      </w:r>
      <w:proofErr w:type="spellStart"/>
      <w:r w:rsidRPr="0038629F">
        <w:rPr>
          <w:lang w:val="en-GB"/>
        </w:rPr>
        <w:t>Kehr</w:t>
      </w:r>
      <w:proofErr w:type="spellEnd"/>
      <w:r w:rsidRPr="0038629F">
        <w:rPr>
          <w:lang w:val="en-GB"/>
        </w:rPr>
        <w:t xml:space="preserve">, </w:t>
      </w:r>
      <w:r w:rsidRPr="0038629F">
        <w:rPr>
          <w:i/>
          <w:lang w:val="en-GB"/>
        </w:rPr>
        <w:t>op. cit.</w:t>
      </w:r>
    </w:p>
  </w:footnote>
  <w:footnote w:id="37">
    <w:p w14:paraId="0221DD52" w14:textId="553AFA10" w:rsidR="001E134D" w:rsidRPr="00F2160E" w:rsidRDefault="001E134D">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38">
    <w:p w14:paraId="33565727" w14:textId="7E966674"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00E1634D" w:rsidRPr="00E1634D">
        <w:rPr>
          <w:lang w:val="en-GB"/>
        </w:rPr>
        <w:t xml:space="preserve">« as sheer moviemaking, is it skilled and knowing, and deserves the highest praise you can give a horror </w:t>
      </w:r>
      <w:proofErr w:type="gramStart"/>
      <w:r w:rsidR="00E1634D" w:rsidRPr="00E1634D">
        <w:rPr>
          <w:lang w:val="en-GB"/>
        </w:rPr>
        <w:t>film :</w:t>
      </w:r>
      <w:proofErr w:type="gramEnd"/>
      <w:r w:rsidR="00E1634D" w:rsidRPr="00E1634D">
        <w:rPr>
          <w:lang w:val="en-GB"/>
        </w:rPr>
        <w:t xml:space="preserve"> It works ! »</w:t>
      </w:r>
      <w:r w:rsidR="00E1634D">
        <w:rPr>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
  </w:footnote>
  <w:footnote w:id="39">
    <w:p w14:paraId="1903778C" w14:textId="451CD9EB"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006A1B52" w:rsidRPr="008A6AEB">
        <w:rPr>
          <w:lang w:val="en-GB"/>
        </w:rPr>
        <w:t xml:space="preserve">« by far the best [of the series] ». </w:t>
      </w:r>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43">
    <w:p w14:paraId="0C3F6C1E" w14:textId="76C3B0AE"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008E2CAF" w:rsidRPr="0059698F">
        <w:rPr>
          <w:sz w:val="20"/>
          <w:szCs w:val="20"/>
          <w:lang w:val="en-GB"/>
        </w:rPr>
        <w:t xml:space="preserve">« hollow ».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3838858D" w:rsidR="001E134D" w:rsidRPr="00B60790" w:rsidRDefault="001E134D">
      <w:pPr>
        <w:pStyle w:val="FootnoteText"/>
        <w:rPr>
          <w:lang w:val="en-US"/>
        </w:rPr>
      </w:pPr>
      <w:r>
        <w:rPr>
          <w:rStyle w:val="FootnoteReference"/>
        </w:rPr>
        <w:footnoteRef/>
      </w:r>
      <w:r w:rsidRPr="00781EA5">
        <w:rPr>
          <w:lang w:val="en-GB"/>
        </w:rPr>
        <w:t xml:space="preserve"> </w:t>
      </w:r>
      <w:r w:rsidR="0061477F" w:rsidRPr="006D6FD9">
        <w:rPr>
          <w:lang w:val="en-GB"/>
        </w:rPr>
        <w:t xml:space="preserve">« two versions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7A88903A" w:rsidR="001E134D" w:rsidRPr="00781EA5" w:rsidRDefault="001E134D">
      <w:pPr>
        <w:pStyle w:val="FootnoteText"/>
        <w:rPr>
          <w:lang w:val="en-GB"/>
        </w:rPr>
      </w:pPr>
      <w:r>
        <w:rPr>
          <w:rStyle w:val="FootnoteReference"/>
        </w:rPr>
        <w:footnoteRef/>
      </w:r>
      <w:r w:rsidRPr="00781EA5">
        <w:rPr>
          <w:lang w:val="en-GB"/>
        </w:rPr>
        <w:t xml:space="preserve"> </w:t>
      </w:r>
      <w:r w:rsidR="00E8189F" w:rsidRPr="00AF3345">
        <w:rPr>
          <w:lang w:val="en-GB"/>
        </w:rPr>
        <w:t xml:space="preserve">« looks like the work of […] pod people ».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w:t>
      </w:r>
      <w:r w:rsidR="006D4B9D" w:rsidRPr="006D4B9D">
        <w:rPr>
          <w:lang w:val="en-GB"/>
        </w:rPr>
        <w:t>2</w:t>
      </w:r>
      <w:r w:rsidRPr="006D4B9D">
        <w:rPr>
          <w:lang w:val="en-GB"/>
        </w:rPr>
        <w:t>).</w:t>
      </w:r>
    </w:p>
  </w:footnote>
  <w:footnote w:id="53">
    <w:p w14:paraId="227D8C42" w14:textId="20286C62" w:rsidR="001E134D" w:rsidRPr="00F2160E" w:rsidRDefault="001E134D">
      <w:pPr>
        <w:pStyle w:val="FootnoteText"/>
        <w:rPr>
          <w:lang w:val="fr-CH"/>
        </w:rPr>
      </w:pPr>
      <w:r>
        <w:rPr>
          <w:rStyle w:val="FootnoteReference"/>
        </w:rPr>
        <w:footnoteRef/>
      </w:r>
      <w:r w:rsidRPr="006D4B9D">
        <w:rPr>
          <w:lang w:val="en-GB"/>
        </w:rPr>
        <w:t xml:space="preserve"> </w:t>
      </w:r>
      <w:r w:rsidR="005340F6" w:rsidRPr="005340F6">
        <w:rPr>
          <w:lang w:val="en-GB"/>
        </w:rPr>
        <w:t xml:space="preserve">« […] Then out of the sky came a solution. Seeds, drifting through space for years, took root in a farmer’s field. From the seeds came pods which have the power to reproduce themselves in the exact likeness of any form of life. ». </w:t>
      </w:r>
      <w:r w:rsidRPr="00F2160E">
        <w:rPr>
          <w:szCs w:val="20"/>
          <w:lang w:val="fr-CH"/>
        </w:rPr>
        <w:t xml:space="preserve">Al LaValley (éd.), </w:t>
      </w:r>
      <w:r w:rsidRPr="00F2160E">
        <w:rPr>
          <w:i/>
          <w:szCs w:val="20"/>
          <w:lang w:val="fr-CH"/>
        </w:rPr>
        <w:t>op. cit.</w:t>
      </w:r>
      <w:r w:rsidRPr="00F2160E">
        <w:rPr>
          <w:szCs w:val="20"/>
          <w:lang w:val="fr-CH"/>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r w:rsidRPr="00875C1B">
        <w:rPr>
          <w:highlight w:val="yellow"/>
          <w:lang w:val="fr-CH"/>
        </w:rPr>
        <w:t xml:space="preserve">? Ou même le cinéma d’horreur : </w:t>
      </w:r>
      <w:proofErr w:type="spellStart"/>
      <w:r w:rsidRPr="00875C1B">
        <w:rPr>
          <w:i/>
          <w:highlight w:val="yellow"/>
          <w:lang w:val="fr-CH"/>
        </w:rPr>
        <w:t>Psycho</w:t>
      </w:r>
      <w:r w:rsidRPr="00875C1B">
        <w:rPr>
          <w:highlight w:val="yellow"/>
          <w:lang w:val="fr-CH"/>
        </w:rPr>
        <w:t>’s</w:t>
      </w:r>
      <w:proofErr w:type="spellEnd"/>
      <w:r w:rsidRPr="00875C1B">
        <w:rPr>
          <w:highlight w:val="yellow"/>
          <w:lang w:val="fr-CH"/>
        </w:rPr>
        <w:t xml:space="preserve"> </w:t>
      </w:r>
      <w:proofErr w:type="spellStart"/>
      <w:r w:rsidRPr="00875C1B">
        <w:rPr>
          <w:highlight w:val="yellow"/>
          <w:lang w:val="fr-CH"/>
        </w:rPr>
        <w:t>ending</w:t>
      </w:r>
      <w:proofErr w:type="spellEnd"/>
      <w:r w:rsidRPr="00875C1B">
        <w:rPr>
          <w:highlight w:val="yellow"/>
          <w:lang w:val="fr-CH"/>
        </w:rPr>
        <w:t>…</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7DB3EBB2" w:rsidR="001E134D" w:rsidRPr="001E2D11" w:rsidRDefault="001E134D">
      <w:pPr>
        <w:pStyle w:val="FootnoteText"/>
        <w:rPr>
          <w:lang w:val="fr-CH"/>
        </w:rPr>
      </w:pPr>
      <w:r>
        <w:rPr>
          <w:rStyle w:val="FootnoteReference"/>
        </w:rPr>
        <w:footnoteRef/>
      </w:r>
      <w:r w:rsidRPr="00170273">
        <w:rPr>
          <w:lang w:val="en-GB"/>
        </w:rPr>
        <w:t xml:space="preserve"> </w:t>
      </w:r>
      <w:r w:rsidR="00170273" w:rsidRPr="00170273">
        <w:rPr>
          <w:lang w:val="en-GB"/>
        </w:rPr>
        <w:t xml:space="preserve">« THEY come from another </w:t>
      </w:r>
      <w:proofErr w:type="gramStart"/>
      <w:r w:rsidR="00170273" w:rsidRPr="00170273">
        <w:rPr>
          <w:lang w:val="en-GB"/>
        </w:rPr>
        <w:t>world !</w:t>
      </w:r>
      <w:proofErr w:type="gramEnd"/>
      <w:r w:rsidR="00170273" w:rsidRPr="00170273">
        <w:rPr>
          <w:lang w:val="en-GB"/>
        </w:rPr>
        <w:t> »</w:t>
      </w:r>
      <w:r w:rsidR="00170273">
        <w:rPr>
          <w:lang w:val="en-GB"/>
        </w:rPr>
        <w:t xml:space="preserve">. </w:t>
      </w:r>
      <w:r w:rsidRPr="00F2160E">
        <w:rPr>
          <w:highlight w:val="red"/>
          <w:lang w:val="fr-CH"/>
        </w:rPr>
        <w:t xml:space="preserve">Affiche YY du film. </w:t>
      </w:r>
      <w:r w:rsidRPr="001E2D11">
        <w:rPr>
          <w:highlight w:val="red"/>
          <w:lang w:val="fr-CH"/>
        </w:rPr>
        <w:t xml:space="preserve">Voir </w:t>
      </w:r>
      <w:r w:rsidR="007A6E1D">
        <w:rPr>
          <w:highlight w:val="red"/>
          <w:lang w:val="fr-CH"/>
        </w:rPr>
        <w:t>figure</w:t>
      </w:r>
      <w:r w:rsidRPr="001E2D11">
        <w:rPr>
          <w:highlight w:val="red"/>
          <w:lang w:val="fr-CH"/>
        </w:rPr>
        <w:t xml:space="preserve"> XX</w:t>
      </w:r>
    </w:p>
  </w:footnote>
  <w:footnote w:id="57">
    <w:p w14:paraId="24990155" w14:textId="0C2A83A2" w:rsidR="001E134D" w:rsidRPr="00283CF4" w:rsidRDefault="001E134D" w:rsidP="00C249AB">
      <w:pPr>
        <w:pStyle w:val="FootnoteText"/>
        <w:rPr>
          <w:lang w:val="fr-CH"/>
        </w:rPr>
      </w:pPr>
      <w:r>
        <w:rPr>
          <w:rStyle w:val="FootnoteReference"/>
        </w:rPr>
        <w:footnoteRef/>
      </w:r>
      <w:r w:rsidRPr="00573C9E">
        <w:rPr>
          <w:lang w:val="en-GB"/>
        </w:rPr>
        <w:t xml:space="preserve"> </w:t>
      </w:r>
      <w:r w:rsidR="00573C9E" w:rsidRPr="00573C9E">
        <w:rPr>
          <w:lang w:val="en-GB"/>
        </w:rPr>
        <w:t xml:space="preserve">« The Things that came from another </w:t>
      </w:r>
      <w:proofErr w:type="gramStart"/>
      <w:r w:rsidR="00573C9E" w:rsidRPr="00573C9E">
        <w:rPr>
          <w:lang w:val="en-GB"/>
        </w:rPr>
        <w:t>world !</w:t>
      </w:r>
      <w:proofErr w:type="gramEnd"/>
      <w:r w:rsidR="00573C9E" w:rsidRPr="00573C9E">
        <w:rPr>
          <w:lang w:val="en-GB"/>
        </w:rPr>
        <w:t xml:space="preserve"> ».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58">
    <w:p w14:paraId="1A3C28EA" w14:textId="0D28785A" w:rsidR="001E134D" w:rsidRPr="00DA4FCE" w:rsidRDefault="001E134D">
      <w:pPr>
        <w:pStyle w:val="FootnoteText"/>
        <w:rPr>
          <w:lang w:val="fr-CH"/>
        </w:rPr>
      </w:pPr>
      <w:r>
        <w:rPr>
          <w:rStyle w:val="FootnoteReference"/>
        </w:rPr>
        <w:footnoteRef/>
      </w:r>
      <w:r w:rsidRPr="00C47588">
        <w:rPr>
          <w:lang w:val="en-GB"/>
        </w:rPr>
        <w:t xml:space="preserve"> </w:t>
      </w:r>
      <w:r w:rsidR="00573C9E" w:rsidRPr="00573C9E">
        <w:rPr>
          <w:lang w:val="en-GB"/>
        </w:rPr>
        <w:t>« Walter Wagner creates the ultimate in science-</w:t>
      </w:r>
      <w:proofErr w:type="gramStart"/>
      <w:r w:rsidR="00573C9E" w:rsidRPr="00573C9E">
        <w:rPr>
          <w:lang w:val="en-GB"/>
        </w:rPr>
        <w:t>fiction !</w:t>
      </w:r>
      <w:proofErr w:type="gramEnd"/>
      <w:r w:rsidR="00573C9E" w:rsidRPr="00573C9E">
        <w:rPr>
          <w:lang w:val="en-GB"/>
        </w:rPr>
        <w:t xml:space="preserve"> »</w:t>
      </w:r>
      <w:r w:rsidR="00573C9E">
        <w:rPr>
          <w:lang w:val="en-GB"/>
        </w:rPr>
        <w:t xml:space="preserve">. </w:t>
      </w:r>
      <w:r w:rsidRPr="00F2160E">
        <w:rPr>
          <w:highlight w:val="red"/>
          <w:lang w:val="fr-CH"/>
        </w:rPr>
        <w:t xml:space="preserve">Affiche YY du film. </w:t>
      </w:r>
      <w:r w:rsidRPr="001E2D11">
        <w:rPr>
          <w:highlight w:val="red"/>
          <w:lang w:val="fr-CH"/>
        </w:rPr>
        <w:t xml:space="preserve">Voir </w:t>
      </w:r>
      <w:r w:rsidR="007A6E1D">
        <w:rPr>
          <w:highlight w:val="red"/>
          <w:lang w:val="fr-CH"/>
        </w:rPr>
        <w:t>figure</w:t>
      </w:r>
      <w:r w:rsidRPr="001E2D11">
        <w:rPr>
          <w:highlight w:val="red"/>
          <w:lang w:val="fr-CH"/>
        </w:rPr>
        <w:t xml:space="preserve"> XX</w:t>
      </w:r>
    </w:p>
  </w:footnote>
  <w:footnote w:id="59">
    <w:p w14:paraId="4DC40339" w14:textId="63820D8C"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047F06">
        <w:rPr>
          <w:i/>
          <w:lang w:val="fr-CH"/>
        </w:rPr>
        <w:t>Horror</w:t>
      </w:r>
      <w:proofErr w:type="spellEnd"/>
      <w:r>
        <w:rPr>
          <w:lang w:val="fr-CH"/>
        </w:rPr>
        <w:t xml:space="preserve"> </w:t>
      </w:r>
      <w:proofErr w:type="spellStart"/>
      <w:r>
        <w:rPr>
          <w:lang w:val="fr-CH"/>
        </w:rPr>
        <w:t>Classic</w:t>
      </w:r>
      <w:proofErr w:type="spellEnd"/>
      <w:r>
        <w:rPr>
          <w:lang w:val="fr-CH"/>
        </w:rPr>
        <w:t> ».</w:t>
      </w:r>
      <w:r w:rsidRPr="00A31725">
        <w:rPr>
          <w:highlight w:val="red"/>
          <w:lang w:val="fr-CH"/>
        </w:rPr>
        <w:t xml:space="preserve"> </w:t>
      </w:r>
      <w:r w:rsidRPr="001E2D11">
        <w:rPr>
          <w:highlight w:val="red"/>
          <w:lang w:val="fr-CH"/>
        </w:rPr>
        <w:t xml:space="preserve">Voir </w:t>
      </w:r>
      <w:r w:rsidR="006D4B9D">
        <w:rPr>
          <w:highlight w:val="red"/>
          <w:lang w:val="fr-CH"/>
        </w:rPr>
        <w:t>figure</w:t>
      </w:r>
      <w:r w:rsidRPr="001E2D11">
        <w:rPr>
          <w:highlight w:val="red"/>
          <w:lang w:val="fr-CH"/>
        </w:rPr>
        <w:t xml:space="preserv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663357C5" w:rsidR="001E134D" w:rsidRPr="008540F1" w:rsidRDefault="001E134D">
      <w:pPr>
        <w:pStyle w:val="FootnoteText"/>
        <w:rPr>
          <w:lang w:val="en-GB"/>
        </w:rPr>
      </w:pPr>
      <w:r>
        <w:rPr>
          <w:rStyle w:val="FootnoteReference"/>
        </w:rPr>
        <w:footnoteRef/>
      </w:r>
      <w:r w:rsidRPr="008540F1">
        <w:rPr>
          <w:lang w:val="en-GB"/>
        </w:rPr>
        <w:t xml:space="preserve"> </w:t>
      </w:r>
      <w:r w:rsidR="00C34898" w:rsidRPr="00C34898">
        <w:rPr>
          <w:lang w:val="en-GB"/>
        </w:rPr>
        <w:t>« befuddled by a film that did not clearly fit into science fiction or horror genre formats »</w:t>
      </w:r>
      <w:r w:rsidR="00C34898">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66">
    <w:p w14:paraId="1646B1DE" w14:textId="0867D46F" w:rsidR="001E134D" w:rsidRPr="008540F1" w:rsidRDefault="001E134D">
      <w:pPr>
        <w:pStyle w:val="FootnoteText"/>
        <w:rPr>
          <w:lang w:val="en-GB"/>
        </w:rPr>
      </w:pPr>
      <w:r>
        <w:rPr>
          <w:rStyle w:val="FootnoteReference"/>
        </w:rPr>
        <w:footnoteRef/>
      </w:r>
      <w:r w:rsidRPr="008540F1">
        <w:rPr>
          <w:lang w:val="en-GB"/>
        </w:rPr>
        <w:t xml:space="preserve"> </w:t>
      </w:r>
      <w:r w:rsidR="00EA1C19" w:rsidRPr="00E620BF">
        <w:rPr>
          <w:lang w:val="en-GB"/>
        </w:rPr>
        <w:t xml:space="preserve">« highly unstable text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w:t>
      </w:r>
      <w:proofErr w:type="spellStart"/>
      <w:r w:rsidRPr="00273D4F">
        <w:rPr>
          <w:szCs w:val="20"/>
          <w:lang w:val="fr-CH"/>
        </w:rPr>
        <w:t>prévalant</w:t>
      </w:r>
      <w:r>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69">
    <w:p w14:paraId="21BEDF0B" w14:textId="16E2715D" w:rsidR="0088071E" w:rsidRPr="00F2160E" w:rsidRDefault="0088071E">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and originality of each work. ». </w:t>
      </w:r>
      <w:r w:rsidRPr="00F2160E">
        <w:rPr>
          <w:lang w:val="fr-CH"/>
        </w:rPr>
        <w:t xml:space="preserve">Kathleen Loock, </w:t>
      </w:r>
      <w:r w:rsidRPr="00F2160E">
        <w:rPr>
          <w:i/>
          <w:lang w:val="fr-CH"/>
        </w:rPr>
        <w:t>ibid</w:t>
      </w:r>
      <w:r w:rsidRPr="00F2160E">
        <w:rPr>
          <w:lang w:val="fr-CH"/>
        </w:rPr>
        <w:t>.</w:t>
      </w:r>
    </w:p>
  </w:footnote>
  <w:footnote w:id="70">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1">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2">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3">
    <w:p w14:paraId="1B84F0EC" w14:textId="7C767D98" w:rsidR="001E134D" w:rsidRPr="003812EF"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74">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75">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6">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78">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80">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00328556" w14:textId="5CE28A52" w:rsidR="001E134D" w:rsidRPr="00C5130A" w:rsidRDefault="001E134D">
      <w:pPr>
        <w:pStyle w:val="FootnoteText"/>
        <w:rPr>
          <w:lang w:val="en-GB"/>
        </w:rPr>
      </w:pPr>
      <w:r>
        <w:rPr>
          <w:rStyle w:val="FootnoteReference"/>
        </w:rPr>
        <w:footnoteRef/>
      </w:r>
      <w:r w:rsidRPr="00C5130A">
        <w:rPr>
          <w:lang w:val="en-GB"/>
        </w:rPr>
        <w:t xml:space="preserve"> </w:t>
      </w:r>
      <w:r w:rsidR="00D531C7" w:rsidRPr="00D531C7">
        <w:rPr>
          <w:lang w:val="en-GB"/>
        </w:rPr>
        <w:t>« Science fiction films are not about science. They are about disaster, which is one of the oldest subjects of all. »</w:t>
      </w:r>
      <w:r w:rsidR="00D531C7">
        <w:rPr>
          <w:lang w:val="en-GB"/>
        </w:rPr>
        <w:t xml:space="preserve">. </w:t>
      </w:r>
      <w:r w:rsidRPr="00C5130A">
        <w:rPr>
          <w:lang w:val="en-GB"/>
        </w:rPr>
        <w:t xml:space="preserve">Susan Sontag, </w:t>
      </w:r>
      <w:r w:rsidRPr="00C5130A">
        <w:rPr>
          <w:i/>
          <w:lang w:val="en-GB"/>
        </w:rPr>
        <w:t>ibid.</w:t>
      </w:r>
      <w:r w:rsidRPr="00C5130A">
        <w:rPr>
          <w:lang w:val="en-GB"/>
        </w:rPr>
        <w:t>, p. 213.</w:t>
      </w:r>
    </w:p>
  </w:footnote>
  <w:footnote w:id="82">
    <w:p w14:paraId="2E28F3A0" w14:textId="08868C77" w:rsidR="001E134D" w:rsidRPr="00C5130A" w:rsidRDefault="001E134D">
      <w:pPr>
        <w:pStyle w:val="FootnoteText"/>
        <w:rPr>
          <w:lang w:val="en-GB"/>
        </w:rPr>
      </w:pPr>
      <w:r>
        <w:rPr>
          <w:rStyle w:val="FootnoteReference"/>
        </w:rPr>
        <w:footnoteRef/>
      </w:r>
      <w:r w:rsidRPr="00C5130A">
        <w:rPr>
          <w:lang w:val="en-GB"/>
        </w:rPr>
        <w:t xml:space="preserve"> </w:t>
      </w:r>
      <w:r w:rsidR="0056084C" w:rsidRPr="0056084C">
        <w:rPr>
          <w:lang w:val="en-GB"/>
        </w:rPr>
        <w:t xml:space="preserve">« regime of emotionlessness ».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4B1E6E39" w14:textId="0A8175F0" w:rsidR="001E134D" w:rsidRPr="00700856" w:rsidRDefault="001E134D">
      <w:pPr>
        <w:pStyle w:val="FootnoteText"/>
        <w:rPr>
          <w:lang w:val="en-GB"/>
        </w:rPr>
      </w:pPr>
      <w:r>
        <w:rPr>
          <w:rStyle w:val="FootnoteReference"/>
        </w:rPr>
        <w:footnoteRef/>
      </w:r>
      <w:r w:rsidRPr="00700856">
        <w:rPr>
          <w:lang w:val="en-GB"/>
        </w:rPr>
        <w:t xml:space="preserve"> </w:t>
      </w:r>
      <w:r w:rsidR="00217331" w:rsidRPr="00563099">
        <w:rPr>
          <w:lang w:val="en-GB"/>
        </w:rPr>
        <w:t xml:space="preserve">« unpersons ».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5A435C82" w14:textId="7A87E410" w:rsidR="001E134D" w:rsidRPr="00700856" w:rsidRDefault="001E134D">
      <w:pPr>
        <w:pStyle w:val="FootnoteText"/>
        <w:rPr>
          <w:lang w:val="en-GB"/>
        </w:rPr>
      </w:pPr>
      <w:r>
        <w:rPr>
          <w:rStyle w:val="FootnoteReference"/>
        </w:rPr>
        <w:footnoteRef/>
      </w:r>
      <w:r w:rsidRPr="00700856">
        <w:rPr>
          <w:lang w:val="en-GB"/>
        </w:rPr>
        <w:t xml:space="preserve"> </w:t>
      </w:r>
      <w:r w:rsidR="00563099" w:rsidRPr="00563099">
        <w:rPr>
          <w:lang w:val="en-GB"/>
        </w:rPr>
        <w:t xml:space="preserve">« always perilously close to insanity ».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369FB20A" w14:textId="67543107" w:rsidR="001E134D" w:rsidRPr="006F2D7D" w:rsidRDefault="001E134D">
      <w:pPr>
        <w:pStyle w:val="FootnoteText"/>
        <w:rPr>
          <w:lang w:val="en-GB"/>
        </w:rPr>
      </w:pPr>
      <w:r>
        <w:rPr>
          <w:rStyle w:val="FootnoteReference"/>
        </w:rPr>
        <w:footnoteRef/>
      </w:r>
      <w:r w:rsidRPr="006F2D7D">
        <w:rPr>
          <w:lang w:val="en-GB"/>
        </w:rPr>
        <w:t xml:space="preserve"> </w:t>
      </w:r>
      <w:r w:rsidR="00FE0DEE" w:rsidRPr="00FE0DEE">
        <w:rPr>
          <w:lang w:val="en-GB"/>
        </w:rPr>
        <w:t xml:space="preserve">« from a psychological point of view ».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7AABEED" w14:textId="094CAB9B" w:rsidR="001E134D" w:rsidRPr="00680AE3" w:rsidRDefault="001E134D">
      <w:pPr>
        <w:pStyle w:val="FootnoteText"/>
        <w:rPr>
          <w:lang w:val="fr-CH"/>
        </w:rPr>
      </w:pPr>
      <w:r>
        <w:rPr>
          <w:rStyle w:val="FootnoteReference"/>
        </w:rPr>
        <w:footnoteRef/>
      </w:r>
      <w:r w:rsidRPr="00F2160E">
        <w:rPr>
          <w:lang w:val="fr-CH"/>
        </w:rPr>
        <w:t xml:space="preserve"> Puisque l’essai traite de la scie</w:t>
      </w:r>
      <w:proofErr w:type="spellStart"/>
      <w:r>
        <w:rPr>
          <w:lang w:val="fr-CH"/>
        </w:rPr>
        <w:t>nce</w:t>
      </w:r>
      <w:proofErr w:type="spellEnd"/>
      <w:r>
        <w:rPr>
          <w:lang w:val="fr-CH"/>
        </w:rPr>
        <w:t>-fiction comme d’un genre cinématographique très clairement défini thématiquement et délimité périodiquement, ce qui est un parti pris difficilement défendable.</w:t>
      </w:r>
    </w:p>
  </w:footnote>
  <w:footnote w:id="88">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4A9EB9AF" w14:textId="5472BC06" w:rsidR="001E134D" w:rsidRPr="00F953EA" w:rsidRDefault="001E134D">
      <w:pPr>
        <w:pStyle w:val="FootnoteText"/>
        <w:rPr>
          <w:lang w:val="en-GB"/>
        </w:rPr>
      </w:pPr>
      <w:r>
        <w:rPr>
          <w:rStyle w:val="FootnoteReference"/>
        </w:rPr>
        <w:footnoteRef/>
      </w:r>
      <w:r w:rsidRPr="00F953EA">
        <w:rPr>
          <w:lang w:val="en-GB"/>
        </w:rPr>
        <w:t xml:space="preserve"> </w:t>
      </w:r>
      <w:r w:rsidR="00904970" w:rsidRPr="00904970">
        <w:rPr>
          <w:lang w:val="en-GB"/>
        </w:rPr>
        <w:t xml:space="preserve">« raising social issues yet containing them in </w:t>
      </w:r>
      <w:proofErr w:type="gramStart"/>
      <w:r w:rsidR="00904970" w:rsidRPr="00904970">
        <w:rPr>
          <w:lang w:val="en-GB"/>
        </w:rPr>
        <w:t>a satisfactory bourgeois resolutions</w:t>
      </w:r>
      <w:proofErr w:type="gramEnd"/>
      <w:r w:rsidR="00904970" w:rsidRPr="00904970">
        <w:rPr>
          <w:lang w:val="en-GB"/>
        </w:rPr>
        <w:t> »</w:t>
      </w:r>
      <w:r w:rsidR="00904970">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48E84651" w14:textId="061EE3BB" w:rsidR="001E134D" w:rsidRPr="00F2160E" w:rsidRDefault="001E134D">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91">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r w:rsidR="00B54A97">
        <w:fldChar w:fldCharType="begin"/>
      </w:r>
      <w:r w:rsidR="00B54A97" w:rsidRPr="00F2160E">
        <w:rPr>
          <w:lang w:val="en-GB"/>
        </w:rPr>
        <w:instrText xml:space="preserve"> HYPERLINK "http://history.house.gov/" </w:instrText>
      </w:r>
      <w:r w:rsidR="00B54A97">
        <w:fldChar w:fldCharType="separate"/>
      </w:r>
      <w:r w:rsidRPr="00324206">
        <w:rPr>
          <w:rStyle w:val="Hyperlink"/>
          <w:lang w:val="en-US"/>
        </w:rPr>
        <w:t>http://history.house.gov/</w:t>
      </w:r>
      <w:r w:rsidR="00B54A97">
        <w:rPr>
          <w:rStyle w:val="Hyperlink"/>
          <w:lang w:val="en-US"/>
        </w:rPr>
        <w:fldChar w:fldCharType="end"/>
      </w:r>
      <w:r>
        <w:rPr>
          <w:lang w:val="en-US"/>
        </w:rPr>
        <w:t xml:space="preserve">, </w:t>
      </w:r>
      <w:proofErr w:type="spellStart"/>
      <w:r>
        <w:rPr>
          <w:lang w:val="en-US"/>
        </w:rPr>
        <w:t>consulté</w:t>
      </w:r>
      <w:proofErr w:type="spellEnd"/>
      <w:r>
        <w:rPr>
          <w:lang w:val="en-US"/>
        </w:rPr>
        <w:t xml:space="preserve"> le 04.12.2016</w:t>
      </w:r>
    </w:p>
  </w:footnote>
  <w:footnote w:id="95">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01">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02">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0C6FCE79" w14:textId="32B898C2" w:rsidR="001E134D" w:rsidRPr="0072634C" w:rsidRDefault="001E134D">
      <w:pPr>
        <w:pStyle w:val="FootnoteText"/>
        <w:rPr>
          <w:lang w:val="en-GB"/>
        </w:rPr>
      </w:pPr>
      <w:r>
        <w:rPr>
          <w:rStyle w:val="FootnoteReference"/>
        </w:rPr>
        <w:footnoteRef/>
      </w:r>
      <w:r w:rsidRPr="0072634C">
        <w:rPr>
          <w:lang w:val="en-GB"/>
        </w:rPr>
        <w:t xml:space="preserve"> </w:t>
      </w:r>
      <w:r w:rsidR="00D54413" w:rsidRPr="00D54413">
        <w:rPr>
          <w:lang w:val="en-GB"/>
        </w:rPr>
        <w:t xml:space="preserve">« suffered because of the blacklist ». </w:t>
      </w:r>
      <w:r w:rsidRPr="00781EA5">
        <w:rPr>
          <w:szCs w:val="20"/>
          <w:lang w:val="en-GB"/>
        </w:rPr>
        <w:t xml:space="preserve">Barry Keith Grant, </w:t>
      </w:r>
      <w:r w:rsidRPr="00781EA5">
        <w:rPr>
          <w:i/>
          <w:szCs w:val="20"/>
          <w:lang w:val="en-GB"/>
        </w:rPr>
        <w:t>op. cit.</w:t>
      </w:r>
      <w:r>
        <w:rPr>
          <w:szCs w:val="20"/>
          <w:lang w:val="en-GB"/>
        </w:rPr>
        <w:t>, p. 33.</w:t>
      </w:r>
    </w:p>
  </w:footnote>
  <w:footnote w:id="105">
    <w:p w14:paraId="48593CE8" w14:textId="617B1EDD" w:rsidR="001E134D" w:rsidRPr="00425192" w:rsidRDefault="001E134D">
      <w:pPr>
        <w:pStyle w:val="FootnoteText"/>
        <w:rPr>
          <w:lang w:val="en-GB"/>
        </w:rPr>
      </w:pPr>
      <w:r>
        <w:rPr>
          <w:rStyle w:val="FootnoteReference"/>
        </w:rPr>
        <w:footnoteRef/>
      </w:r>
      <w:r w:rsidRPr="00425192">
        <w:rPr>
          <w:lang w:val="en-GB"/>
        </w:rPr>
        <w:t xml:space="preserve"> </w:t>
      </w:r>
      <w:r w:rsidR="00B623F9" w:rsidRPr="00B623F9">
        <w:rPr>
          <w:lang w:val="en-GB"/>
        </w:rPr>
        <w:t>« college-level educated intellectual of liberal politics </w:t>
      </w:r>
      <w:proofErr w:type="gramStart"/>
      <w:r w:rsidR="00016903">
        <w:rPr>
          <w:lang w:val="en-GB"/>
        </w:rPr>
        <w:t>» ;</w:t>
      </w:r>
      <w:proofErr w:type="gramEnd"/>
      <w:r w:rsidR="00B623F9" w:rsidRPr="00B623F9">
        <w:rPr>
          <w:lang w:val="en-GB"/>
        </w:rPr>
        <w:t xml:space="preserve"> « genre films with a message »</w:t>
      </w:r>
      <w:r w:rsidR="00B623F9">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4DD63384" w14:textId="24FC16C2" w:rsidR="001E134D" w:rsidRPr="001E1138" w:rsidRDefault="001E134D">
      <w:pPr>
        <w:pStyle w:val="FootnoteText"/>
        <w:rPr>
          <w:lang w:val="en-GB"/>
        </w:rPr>
      </w:pPr>
      <w:r>
        <w:rPr>
          <w:rStyle w:val="FootnoteReference"/>
        </w:rPr>
        <w:footnoteRef/>
      </w:r>
      <w:r w:rsidRPr="0041367A">
        <w:rPr>
          <w:lang w:val="en-GB"/>
        </w:rPr>
        <w:t xml:space="preserve"> </w:t>
      </w:r>
      <w:r w:rsidR="00CA6929" w:rsidRPr="0041367A">
        <w:rPr>
          <w:lang w:val="en-GB"/>
        </w:rPr>
        <w:t xml:space="preserve">« may have been a communist in the thirties ». </w:t>
      </w:r>
      <w:r w:rsidRPr="001E1138">
        <w:rPr>
          <w:szCs w:val="20"/>
          <w:lang w:val="en-GB"/>
        </w:rPr>
        <w:t>Al LaValley (</w:t>
      </w:r>
      <w:proofErr w:type="spellStart"/>
      <w:r w:rsidRPr="001E1138">
        <w:rPr>
          <w:szCs w:val="20"/>
          <w:lang w:val="en-GB"/>
        </w:rPr>
        <w:t>éd</w:t>
      </w:r>
      <w:proofErr w:type="spellEnd"/>
      <w:r w:rsidRPr="001E1138">
        <w:rPr>
          <w:szCs w:val="20"/>
          <w:lang w:val="en-GB"/>
        </w:rPr>
        <w:t xml:space="preserve">.), </w:t>
      </w:r>
      <w:r w:rsidRPr="001E1138">
        <w:rPr>
          <w:i/>
          <w:szCs w:val="20"/>
          <w:lang w:val="en-GB"/>
        </w:rPr>
        <w:t>op. cit.</w:t>
      </w:r>
      <w:r w:rsidRPr="001E1138">
        <w:rPr>
          <w:szCs w:val="20"/>
          <w:lang w:val="en-GB"/>
        </w:rPr>
        <w:t>, p. 7.</w:t>
      </w:r>
    </w:p>
  </w:footnote>
  <w:footnote w:id="108">
    <w:p w14:paraId="5FA817AA" w14:textId="6C819E17" w:rsidR="001E134D" w:rsidRPr="00A64F2C" w:rsidRDefault="001E134D">
      <w:pPr>
        <w:pStyle w:val="FootnoteText"/>
        <w:rPr>
          <w:lang w:val="fr-CH"/>
        </w:rPr>
      </w:pPr>
      <w:r>
        <w:rPr>
          <w:rStyle w:val="FootnoteReference"/>
        </w:rPr>
        <w:footnoteRef/>
      </w:r>
      <w:r w:rsidRPr="001E1138">
        <w:rPr>
          <w:lang w:val="en-GB"/>
        </w:rPr>
        <w:t xml:space="preserve"> </w:t>
      </w:r>
      <w:r w:rsidR="001E1138" w:rsidRPr="001E1138">
        <w:rPr>
          <w:lang w:val="en-GB"/>
        </w:rPr>
        <w:t>« Daniel Mainwaring – né Geoffrey Holmes – member (non-paying) of the Older Communist League »</w:t>
      </w:r>
      <w:r w:rsidR="001E1138">
        <w:rPr>
          <w:lang w:val="en-GB"/>
        </w:rPr>
        <w:t xml:space="preserve">. </w:t>
      </w:r>
      <w:r w:rsidRPr="00A64F2C">
        <w:rPr>
          <w:lang w:val="fr-CH"/>
        </w:rPr>
        <w:t>Lettre de Don Siegel à Daniel Mainwaring datant du 17 janvier 1955.</w:t>
      </w:r>
    </w:p>
  </w:footnote>
  <w:footnote w:id="109">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10">
    <w:p w14:paraId="516C3FA0" w14:textId="27A424FE" w:rsidR="001E134D" w:rsidRPr="006D4B9D" w:rsidRDefault="001E134D">
      <w:pPr>
        <w:pStyle w:val="FootnoteText"/>
        <w:rPr>
          <w:lang w:val="en-GB"/>
        </w:rPr>
      </w:pPr>
      <w:r>
        <w:rPr>
          <w:rStyle w:val="FootnoteReference"/>
        </w:rPr>
        <w:footnoteRef/>
      </w:r>
      <w:r w:rsidRPr="006D4B9D">
        <w:rPr>
          <w:lang w:val="en-GB"/>
        </w:rPr>
        <w:t xml:space="preserve"> </w:t>
      </w:r>
      <w:r w:rsidR="00AD1E71" w:rsidRPr="00731FA3">
        <w:rPr>
          <w:lang w:val="en-GB"/>
        </w:rPr>
        <w:t xml:space="preserve">« outsider and politically unaligned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p>
  </w:footnote>
  <w:footnote w:id="111">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proofErr w:type="spellStart"/>
      <w:r w:rsidRPr="006D4B9D">
        <w:rPr>
          <w:lang w:val="en-GB"/>
        </w:rPr>
        <w:t>Voir</w:t>
      </w:r>
      <w:proofErr w:type="spellEnd"/>
      <w:r w:rsidRPr="006D4B9D">
        <w:rPr>
          <w:lang w:val="en-GB"/>
        </w:rPr>
        <w:t xml:space="preserve"> par </w:t>
      </w:r>
      <w:proofErr w:type="spellStart"/>
      <w:r w:rsidRPr="006D4B9D">
        <w:rPr>
          <w:lang w:val="en-GB"/>
        </w:rPr>
        <w:t>exemple</w:t>
      </w:r>
      <w:proofErr w:type="spellEnd"/>
      <w:r w:rsidRPr="006D4B9D">
        <w:rPr>
          <w:lang w:val="en-GB"/>
        </w:rPr>
        <w:t xml:space="preserve"> Roger Ebert, « The Invasion », </w:t>
      </w:r>
      <w:r w:rsidRPr="006D4B9D">
        <w:rPr>
          <w:i/>
          <w:lang w:val="en-GB"/>
        </w:rPr>
        <w:t>Chicago Sun-Times</w:t>
      </w:r>
      <w:r w:rsidRPr="006D4B9D">
        <w:rPr>
          <w:lang w:val="en-GB"/>
        </w:rPr>
        <w:t xml:space="preserve">, 16 </w:t>
      </w:r>
      <w:proofErr w:type="spellStart"/>
      <w:r w:rsidRPr="006D4B9D">
        <w:rPr>
          <w:lang w:val="en-GB"/>
        </w:rPr>
        <w:t>août</w:t>
      </w:r>
      <w:proofErr w:type="spellEnd"/>
      <w:r w:rsidRPr="006D4B9D">
        <w:rPr>
          <w:lang w:val="en-GB"/>
        </w:rPr>
        <w:t xml:space="preserve"> 2007.</w:t>
      </w:r>
    </w:p>
  </w:footnote>
  <w:footnote w:id="114">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15">
    <w:p w14:paraId="32FC9573" w14:textId="3862881E" w:rsidR="001E134D" w:rsidRPr="00744219" w:rsidRDefault="001E134D">
      <w:pPr>
        <w:pStyle w:val="FootnoteText"/>
        <w:rPr>
          <w:lang w:val="en-GB"/>
        </w:rPr>
      </w:pPr>
      <w:r>
        <w:rPr>
          <w:rStyle w:val="FootnoteReference"/>
        </w:rPr>
        <w:footnoteRef/>
      </w:r>
      <w:r w:rsidRPr="00744219">
        <w:rPr>
          <w:lang w:val="en-GB"/>
        </w:rPr>
        <w:t xml:space="preserve"> </w:t>
      </w:r>
      <w:r w:rsidR="00FD215F" w:rsidRPr="006542AD">
        <w:rPr>
          <w:lang w:val="en-GB"/>
        </w:rPr>
        <w:t xml:space="preserve">« burgeoning intimacy ».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140.</w:t>
      </w:r>
    </w:p>
  </w:footnote>
  <w:footnote w:id="116">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143.</w:t>
      </w:r>
    </w:p>
  </w:footnote>
  <w:footnote w:id="117">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9">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22">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3">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4">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5">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903"/>
    <w:rsid w:val="00016E91"/>
    <w:rsid w:val="00022991"/>
    <w:rsid w:val="00026DEC"/>
    <w:rsid w:val="00040872"/>
    <w:rsid w:val="00045FE8"/>
    <w:rsid w:val="00046807"/>
    <w:rsid w:val="00046D0E"/>
    <w:rsid w:val="00046E47"/>
    <w:rsid w:val="0004743C"/>
    <w:rsid w:val="00047F06"/>
    <w:rsid w:val="000552FA"/>
    <w:rsid w:val="00060F07"/>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C15E8"/>
    <w:rsid w:val="000D04D2"/>
    <w:rsid w:val="000D0972"/>
    <w:rsid w:val="000D0D8B"/>
    <w:rsid w:val="000D1912"/>
    <w:rsid w:val="000D2034"/>
    <w:rsid w:val="000D6B0D"/>
    <w:rsid w:val="000D6CD7"/>
    <w:rsid w:val="000E0580"/>
    <w:rsid w:val="000E5F24"/>
    <w:rsid w:val="000E7451"/>
    <w:rsid w:val="000F5F10"/>
    <w:rsid w:val="000F68B8"/>
    <w:rsid w:val="00102952"/>
    <w:rsid w:val="00106519"/>
    <w:rsid w:val="00106EE2"/>
    <w:rsid w:val="00107018"/>
    <w:rsid w:val="00111C76"/>
    <w:rsid w:val="00125DC3"/>
    <w:rsid w:val="00135643"/>
    <w:rsid w:val="001373A0"/>
    <w:rsid w:val="0013744F"/>
    <w:rsid w:val="0014073B"/>
    <w:rsid w:val="001419A5"/>
    <w:rsid w:val="0014602A"/>
    <w:rsid w:val="00146748"/>
    <w:rsid w:val="0015665C"/>
    <w:rsid w:val="00156895"/>
    <w:rsid w:val="00165D3F"/>
    <w:rsid w:val="00170273"/>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138"/>
    <w:rsid w:val="001E134D"/>
    <w:rsid w:val="001E288A"/>
    <w:rsid w:val="001E2B3D"/>
    <w:rsid w:val="001E2D11"/>
    <w:rsid w:val="001E328D"/>
    <w:rsid w:val="001E4E2A"/>
    <w:rsid w:val="001E7675"/>
    <w:rsid w:val="001F52E4"/>
    <w:rsid w:val="001F698E"/>
    <w:rsid w:val="001F756A"/>
    <w:rsid w:val="00211C03"/>
    <w:rsid w:val="00213BA4"/>
    <w:rsid w:val="00216E79"/>
    <w:rsid w:val="00217331"/>
    <w:rsid w:val="00220532"/>
    <w:rsid w:val="002210A4"/>
    <w:rsid w:val="002235F1"/>
    <w:rsid w:val="0022552E"/>
    <w:rsid w:val="00230823"/>
    <w:rsid w:val="00237C1E"/>
    <w:rsid w:val="002516D8"/>
    <w:rsid w:val="0025350A"/>
    <w:rsid w:val="00253E7E"/>
    <w:rsid w:val="00257664"/>
    <w:rsid w:val="00265315"/>
    <w:rsid w:val="00266588"/>
    <w:rsid w:val="00273D4F"/>
    <w:rsid w:val="0027598F"/>
    <w:rsid w:val="00283880"/>
    <w:rsid w:val="00283CF4"/>
    <w:rsid w:val="00284731"/>
    <w:rsid w:val="00291917"/>
    <w:rsid w:val="00293BA0"/>
    <w:rsid w:val="002A08B2"/>
    <w:rsid w:val="002A445A"/>
    <w:rsid w:val="002B23B5"/>
    <w:rsid w:val="002B63BA"/>
    <w:rsid w:val="002B6C9D"/>
    <w:rsid w:val="002D4827"/>
    <w:rsid w:val="002D513A"/>
    <w:rsid w:val="002D772A"/>
    <w:rsid w:val="002D7B33"/>
    <w:rsid w:val="002E05E0"/>
    <w:rsid w:val="002E235F"/>
    <w:rsid w:val="002E2A84"/>
    <w:rsid w:val="002E34D5"/>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36D42"/>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669B"/>
    <w:rsid w:val="003B03B9"/>
    <w:rsid w:val="003B0A6F"/>
    <w:rsid w:val="003B35CD"/>
    <w:rsid w:val="003C3264"/>
    <w:rsid w:val="003C5211"/>
    <w:rsid w:val="003D14B4"/>
    <w:rsid w:val="003D1B8D"/>
    <w:rsid w:val="003E168C"/>
    <w:rsid w:val="003E2638"/>
    <w:rsid w:val="003E2F89"/>
    <w:rsid w:val="003E611C"/>
    <w:rsid w:val="003E64C0"/>
    <w:rsid w:val="003E71E3"/>
    <w:rsid w:val="003F32E3"/>
    <w:rsid w:val="003F4566"/>
    <w:rsid w:val="003F4757"/>
    <w:rsid w:val="003F50E3"/>
    <w:rsid w:val="003F5E9F"/>
    <w:rsid w:val="003F6DD2"/>
    <w:rsid w:val="00400178"/>
    <w:rsid w:val="004025E2"/>
    <w:rsid w:val="00411460"/>
    <w:rsid w:val="004117E7"/>
    <w:rsid w:val="0041367A"/>
    <w:rsid w:val="00417F55"/>
    <w:rsid w:val="00421E95"/>
    <w:rsid w:val="00423903"/>
    <w:rsid w:val="00425192"/>
    <w:rsid w:val="0042563E"/>
    <w:rsid w:val="004263C6"/>
    <w:rsid w:val="004279CD"/>
    <w:rsid w:val="00434C06"/>
    <w:rsid w:val="0043503F"/>
    <w:rsid w:val="00443326"/>
    <w:rsid w:val="004438C6"/>
    <w:rsid w:val="00443F6E"/>
    <w:rsid w:val="00444D30"/>
    <w:rsid w:val="00452E70"/>
    <w:rsid w:val="00461A37"/>
    <w:rsid w:val="00465ED2"/>
    <w:rsid w:val="0047074F"/>
    <w:rsid w:val="0047129C"/>
    <w:rsid w:val="00472708"/>
    <w:rsid w:val="0047279B"/>
    <w:rsid w:val="00474C42"/>
    <w:rsid w:val="0047519B"/>
    <w:rsid w:val="004870CE"/>
    <w:rsid w:val="00490DED"/>
    <w:rsid w:val="004911DA"/>
    <w:rsid w:val="00495930"/>
    <w:rsid w:val="004A0925"/>
    <w:rsid w:val="004A4981"/>
    <w:rsid w:val="004A66FC"/>
    <w:rsid w:val="004B17C9"/>
    <w:rsid w:val="004B4016"/>
    <w:rsid w:val="004B4329"/>
    <w:rsid w:val="004C1431"/>
    <w:rsid w:val="004C1AFF"/>
    <w:rsid w:val="004C3836"/>
    <w:rsid w:val="004C488E"/>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2FAF"/>
    <w:rsid w:val="005336C0"/>
    <w:rsid w:val="00533897"/>
    <w:rsid w:val="005340F6"/>
    <w:rsid w:val="005368DD"/>
    <w:rsid w:val="00541737"/>
    <w:rsid w:val="005418E9"/>
    <w:rsid w:val="00541F81"/>
    <w:rsid w:val="00543A54"/>
    <w:rsid w:val="00554477"/>
    <w:rsid w:val="00555B6A"/>
    <w:rsid w:val="00557EDB"/>
    <w:rsid w:val="0056084C"/>
    <w:rsid w:val="00563099"/>
    <w:rsid w:val="00572515"/>
    <w:rsid w:val="00573C9E"/>
    <w:rsid w:val="00581670"/>
    <w:rsid w:val="00581E90"/>
    <w:rsid w:val="0058392D"/>
    <w:rsid w:val="00584A63"/>
    <w:rsid w:val="005857FD"/>
    <w:rsid w:val="00585A9D"/>
    <w:rsid w:val="00593B27"/>
    <w:rsid w:val="0059698F"/>
    <w:rsid w:val="00596CCC"/>
    <w:rsid w:val="005A0C4C"/>
    <w:rsid w:val="005A15B6"/>
    <w:rsid w:val="005C6BF4"/>
    <w:rsid w:val="005D52ED"/>
    <w:rsid w:val="005D5F9D"/>
    <w:rsid w:val="005D714F"/>
    <w:rsid w:val="005E19B7"/>
    <w:rsid w:val="005E65B7"/>
    <w:rsid w:val="005F3B74"/>
    <w:rsid w:val="005F3C37"/>
    <w:rsid w:val="005F3CBC"/>
    <w:rsid w:val="00601392"/>
    <w:rsid w:val="00611886"/>
    <w:rsid w:val="006127A9"/>
    <w:rsid w:val="0061419D"/>
    <w:rsid w:val="0061477F"/>
    <w:rsid w:val="0061689F"/>
    <w:rsid w:val="00616A19"/>
    <w:rsid w:val="00617F30"/>
    <w:rsid w:val="00623FA5"/>
    <w:rsid w:val="00626266"/>
    <w:rsid w:val="006314A2"/>
    <w:rsid w:val="00640D6E"/>
    <w:rsid w:val="00645A27"/>
    <w:rsid w:val="00651CAA"/>
    <w:rsid w:val="006542AD"/>
    <w:rsid w:val="00654949"/>
    <w:rsid w:val="00655D1E"/>
    <w:rsid w:val="00656792"/>
    <w:rsid w:val="00656AB9"/>
    <w:rsid w:val="00657ECC"/>
    <w:rsid w:val="00663724"/>
    <w:rsid w:val="00663B0A"/>
    <w:rsid w:val="00664E6A"/>
    <w:rsid w:val="00665C44"/>
    <w:rsid w:val="00670840"/>
    <w:rsid w:val="00674BE2"/>
    <w:rsid w:val="00680AE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79F"/>
    <w:rsid w:val="006F4D02"/>
    <w:rsid w:val="006F6062"/>
    <w:rsid w:val="00700856"/>
    <w:rsid w:val="007013DB"/>
    <w:rsid w:val="00703DA6"/>
    <w:rsid w:val="00717BE1"/>
    <w:rsid w:val="00722301"/>
    <w:rsid w:val="00723A13"/>
    <w:rsid w:val="0072634C"/>
    <w:rsid w:val="00731FA3"/>
    <w:rsid w:val="00732974"/>
    <w:rsid w:val="00732B2C"/>
    <w:rsid w:val="00734435"/>
    <w:rsid w:val="007344B8"/>
    <w:rsid w:val="00734C51"/>
    <w:rsid w:val="0073541F"/>
    <w:rsid w:val="0074138E"/>
    <w:rsid w:val="00742AC0"/>
    <w:rsid w:val="00744219"/>
    <w:rsid w:val="0074692C"/>
    <w:rsid w:val="007504B3"/>
    <w:rsid w:val="0075652B"/>
    <w:rsid w:val="0075790B"/>
    <w:rsid w:val="00766D6F"/>
    <w:rsid w:val="00767450"/>
    <w:rsid w:val="00771C29"/>
    <w:rsid w:val="007765CA"/>
    <w:rsid w:val="00781EA5"/>
    <w:rsid w:val="00781FC7"/>
    <w:rsid w:val="00782CBD"/>
    <w:rsid w:val="0078373E"/>
    <w:rsid w:val="007914D6"/>
    <w:rsid w:val="00792E36"/>
    <w:rsid w:val="0079569E"/>
    <w:rsid w:val="007A0071"/>
    <w:rsid w:val="007A068A"/>
    <w:rsid w:val="007A3A39"/>
    <w:rsid w:val="007A5E03"/>
    <w:rsid w:val="007A67A9"/>
    <w:rsid w:val="007A6E1D"/>
    <w:rsid w:val="007D19AF"/>
    <w:rsid w:val="007D4311"/>
    <w:rsid w:val="007D593E"/>
    <w:rsid w:val="007D7652"/>
    <w:rsid w:val="007E1A3C"/>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F16"/>
    <w:rsid w:val="008120E2"/>
    <w:rsid w:val="008138ED"/>
    <w:rsid w:val="0081693C"/>
    <w:rsid w:val="00821CAB"/>
    <w:rsid w:val="0082622B"/>
    <w:rsid w:val="00826DEA"/>
    <w:rsid w:val="0082726C"/>
    <w:rsid w:val="0083111B"/>
    <w:rsid w:val="008349BE"/>
    <w:rsid w:val="00835BE5"/>
    <w:rsid w:val="00835E7F"/>
    <w:rsid w:val="008364AE"/>
    <w:rsid w:val="0084708F"/>
    <w:rsid w:val="008540F1"/>
    <w:rsid w:val="0085797C"/>
    <w:rsid w:val="00860295"/>
    <w:rsid w:val="008605A2"/>
    <w:rsid w:val="00865532"/>
    <w:rsid w:val="00865909"/>
    <w:rsid w:val="00873ED6"/>
    <w:rsid w:val="00875463"/>
    <w:rsid w:val="00875C1B"/>
    <w:rsid w:val="00876848"/>
    <w:rsid w:val="008806D3"/>
    <w:rsid w:val="0088071E"/>
    <w:rsid w:val="008840AF"/>
    <w:rsid w:val="008865F3"/>
    <w:rsid w:val="00891450"/>
    <w:rsid w:val="008915E7"/>
    <w:rsid w:val="00894B06"/>
    <w:rsid w:val="00897A27"/>
    <w:rsid w:val="008A323A"/>
    <w:rsid w:val="008A6AEB"/>
    <w:rsid w:val="008A7494"/>
    <w:rsid w:val="008B2A9C"/>
    <w:rsid w:val="008B6918"/>
    <w:rsid w:val="008C08B5"/>
    <w:rsid w:val="008C0A6A"/>
    <w:rsid w:val="008C1EA7"/>
    <w:rsid w:val="008C600F"/>
    <w:rsid w:val="008D19D6"/>
    <w:rsid w:val="008E2CAF"/>
    <w:rsid w:val="008E367A"/>
    <w:rsid w:val="008E3E84"/>
    <w:rsid w:val="008E4CE3"/>
    <w:rsid w:val="008E625A"/>
    <w:rsid w:val="008E7C4E"/>
    <w:rsid w:val="008F5700"/>
    <w:rsid w:val="008F6058"/>
    <w:rsid w:val="008F7692"/>
    <w:rsid w:val="00900F3C"/>
    <w:rsid w:val="00902AA9"/>
    <w:rsid w:val="00904970"/>
    <w:rsid w:val="009079AC"/>
    <w:rsid w:val="00914BF5"/>
    <w:rsid w:val="00916765"/>
    <w:rsid w:val="00917414"/>
    <w:rsid w:val="0092189B"/>
    <w:rsid w:val="0092365D"/>
    <w:rsid w:val="00923E14"/>
    <w:rsid w:val="00924223"/>
    <w:rsid w:val="00925377"/>
    <w:rsid w:val="00930981"/>
    <w:rsid w:val="00930F29"/>
    <w:rsid w:val="00932DDA"/>
    <w:rsid w:val="0093468C"/>
    <w:rsid w:val="009437ED"/>
    <w:rsid w:val="00957F1B"/>
    <w:rsid w:val="0096089B"/>
    <w:rsid w:val="00962F49"/>
    <w:rsid w:val="00963ECD"/>
    <w:rsid w:val="009705B0"/>
    <w:rsid w:val="00970CC6"/>
    <w:rsid w:val="00977317"/>
    <w:rsid w:val="00986718"/>
    <w:rsid w:val="0099055C"/>
    <w:rsid w:val="00991F6F"/>
    <w:rsid w:val="009943DF"/>
    <w:rsid w:val="009A3715"/>
    <w:rsid w:val="009A7696"/>
    <w:rsid w:val="009B1242"/>
    <w:rsid w:val="009B1CA9"/>
    <w:rsid w:val="009B439F"/>
    <w:rsid w:val="009B43D7"/>
    <w:rsid w:val="009B799E"/>
    <w:rsid w:val="009C3FD3"/>
    <w:rsid w:val="009C43E8"/>
    <w:rsid w:val="009C57A5"/>
    <w:rsid w:val="009E0F5B"/>
    <w:rsid w:val="009E2528"/>
    <w:rsid w:val="009E498B"/>
    <w:rsid w:val="009E53C9"/>
    <w:rsid w:val="009E67C3"/>
    <w:rsid w:val="009F3C8F"/>
    <w:rsid w:val="009F4499"/>
    <w:rsid w:val="009F4648"/>
    <w:rsid w:val="009F674F"/>
    <w:rsid w:val="009F687A"/>
    <w:rsid w:val="00A00FD7"/>
    <w:rsid w:val="00A047B8"/>
    <w:rsid w:val="00A07145"/>
    <w:rsid w:val="00A14516"/>
    <w:rsid w:val="00A17F6D"/>
    <w:rsid w:val="00A2003F"/>
    <w:rsid w:val="00A253FA"/>
    <w:rsid w:val="00A25E01"/>
    <w:rsid w:val="00A31725"/>
    <w:rsid w:val="00A31857"/>
    <w:rsid w:val="00A320AC"/>
    <w:rsid w:val="00A379DB"/>
    <w:rsid w:val="00A50EFA"/>
    <w:rsid w:val="00A5532D"/>
    <w:rsid w:val="00A60B3A"/>
    <w:rsid w:val="00A63218"/>
    <w:rsid w:val="00A64F2C"/>
    <w:rsid w:val="00A71144"/>
    <w:rsid w:val="00A72841"/>
    <w:rsid w:val="00A73D15"/>
    <w:rsid w:val="00A82504"/>
    <w:rsid w:val="00A84498"/>
    <w:rsid w:val="00A85356"/>
    <w:rsid w:val="00A90860"/>
    <w:rsid w:val="00A91B5F"/>
    <w:rsid w:val="00A9200C"/>
    <w:rsid w:val="00A9420C"/>
    <w:rsid w:val="00A95A9C"/>
    <w:rsid w:val="00A95CCC"/>
    <w:rsid w:val="00A96F11"/>
    <w:rsid w:val="00AA0F22"/>
    <w:rsid w:val="00AA23EE"/>
    <w:rsid w:val="00AB3AD4"/>
    <w:rsid w:val="00AC4BB5"/>
    <w:rsid w:val="00AD153C"/>
    <w:rsid w:val="00AD1E71"/>
    <w:rsid w:val="00AD3049"/>
    <w:rsid w:val="00AD62CD"/>
    <w:rsid w:val="00AD64B9"/>
    <w:rsid w:val="00AE3D12"/>
    <w:rsid w:val="00AE5AEA"/>
    <w:rsid w:val="00AE63DD"/>
    <w:rsid w:val="00AF114E"/>
    <w:rsid w:val="00AF3345"/>
    <w:rsid w:val="00B00158"/>
    <w:rsid w:val="00B02260"/>
    <w:rsid w:val="00B032DC"/>
    <w:rsid w:val="00B100B1"/>
    <w:rsid w:val="00B11DA2"/>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547E"/>
    <w:rsid w:val="00B65CFE"/>
    <w:rsid w:val="00B708B7"/>
    <w:rsid w:val="00B73D8F"/>
    <w:rsid w:val="00B90B58"/>
    <w:rsid w:val="00B91C07"/>
    <w:rsid w:val="00B92C52"/>
    <w:rsid w:val="00B96B22"/>
    <w:rsid w:val="00BA47A3"/>
    <w:rsid w:val="00BA5D38"/>
    <w:rsid w:val="00BA6F90"/>
    <w:rsid w:val="00BA72D1"/>
    <w:rsid w:val="00BB6E40"/>
    <w:rsid w:val="00BD737B"/>
    <w:rsid w:val="00BE1E64"/>
    <w:rsid w:val="00BE2589"/>
    <w:rsid w:val="00BF02C1"/>
    <w:rsid w:val="00BF0810"/>
    <w:rsid w:val="00BF32E7"/>
    <w:rsid w:val="00BF6D6C"/>
    <w:rsid w:val="00BF7EA7"/>
    <w:rsid w:val="00C00C01"/>
    <w:rsid w:val="00C00EFC"/>
    <w:rsid w:val="00C026AF"/>
    <w:rsid w:val="00C03C7A"/>
    <w:rsid w:val="00C04991"/>
    <w:rsid w:val="00C060D1"/>
    <w:rsid w:val="00C103A2"/>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2A8C"/>
    <w:rsid w:val="00C43266"/>
    <w:rsid w:val="00C439CE"/>
    <w:rsid w:val="00C451C9"/>
    <w:rsid w:val="00C45E5D"/>
    <w:rsid w:val="00C4663F"/>
    <w:rsid w:val="00C47588"/>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A6929"/>
    <w:rsid w:val="00CA7081"/>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41B23"/>
    <w:rsid w:val="00D42550"/>
    <w:rsid w:val="00D42CAE"/>
    <w:rsid w:val="00D46285"/>
    <w:rsid w:val="00D524D1"/>
    <w:rsid w:val="00D531C7"/>
    <w:rsid w:val="00D5422B"/>
    <w:rsid w:val="00D54413"/>
    <w:rsid w:val="00D56248"/>
    <w:rsid w:val="00D57068"/>
    <w:rsid w:val="00D60196"/>
    <w:rsid w:val="00D60512"/>
    <w:rsid w:val="00D62069"/>
    <w:rsid w:val="00D6417A"/>
    <w:rsid w:val="00D723FD"/>
    <w:rsid w:val="00D802C9"/>
    <w:rsid w:val="00D80634"/>
    <w:rsid w:val="00D80A03"/>
    <w:rsid w:val="00D81A27"/>
    <w:rsid w:val="00D834B2"/>
    <w:rsid w:val="00D85D1D"/>
    <w:rsid w:val="00D9060A"/>
    <w:rsid w:val="00D97C6A"/>
    <w:rsid w:val="00DA2B00"/>
    <w:rsid w:val="00DA4FCE"/>
    <w:rsid w:val="00DB57AB"/>
    <w:rsid w:val="00DC11D1"/>
    <w:rsid w:val="00DC2443"/>
    <w:rsid w:val="00DC502B"/>
    <w:rsid w:val="00DD3C95"/>
    <w:rsid w:val="00DD6C92"/>
    <w:rsid w:val="00DE0070"/>
    <w:rsid w:val="00DE394A"/>
    <w:rsid w:val="00DE3C2D"/>
    <w:rsid w:val="00DE5243"/>
    <w:rsid w:val="00DE6431"/>
    <w:rsid w:val="00DE64B9"/>
    <w:rsid w:val="00DE6510"/>
    <w:rsid w:val="00DF0B77"/>
    <w:rsid w:val="00DF2AE4"/>
    <w:rsid w:val="00DF2C6F"/>
    <w:rsid w:val="00DF358E"/>
    <w:rsid w:val="00E027DF"/>
    <w:rsid w:val="00E05543"/>
    <w:rsid w:val="00E1598A"/>
    <w:rsid w:val="00E15CFE"/>
    <w:rsid w:val="00E1634D"/>
    <w:rsid w:val="00E16E4E"/>
    <w:rsid w:val="00E217C0"/>
    <w:rsid w:val="00E22900"/>
    <w:rsid w:val="00E251B8"/>
    <w:rsid w:val="00E256C7"/>
    <w:rsid w:val="00E25763"/>
    <w:rsid w:val="00E25EC2"/>
    <w:rsid w:val="00E30B59"/>
    <w:rsid w:val="00E326EC"/>
    <w:rsid w:val="00E33B0D"/>
    <w:rsid w:val="00E35FCC"/>
    <w:rsid w:val="00E41347"/>
    <w:rsid w:val="00E4313C"/>
    <w:rsid w:val="00E4428C"/>
    <w:rsid w:val="00E5210D"/>
    <w:rsid w:val="00E57157"/>
    <w:rsid w:val="00E620BF"/>
    <w:rsid w:val="00E6478A"/>
    <w:rsid w:val="00E67520"/>
    <w:rsid w:val="00E72C70"/>
    <w:rsid w:val="00E748E4"/>
    <w:rsid w:val="00E74AF3"/>
    <w:rsid w:val="00E766BF"/>
    <w:rsid w:val="00E773D5"/>
    <w:rsid w:val="00E80FD5"/>
    <w:rsid w:val="00E8189F"/>
    <w:rsid w:val="00E823D7"/>
    <w:rsid w:val="00E84244"/>
    <w:rsid w:val="00E847B5"/>
    <w:rsid w:val="00E84BB2"/>
    <w:rsid w:val="00E944CC"/>
    <w:rsid w:val="00E965C5"/>
    <w:rsid w:val="00EA1C19"/>
    <w:rsid w:val="00EA1CE5"/>
    <w:rsid w:val="00EB361E"/>
    <w:rsid w:val="00EB4BF5"/>
    <w:rsid w:val="00EB6212"/>
    <w:rsid w:val="00EC6127"/>
    <w:rsid w:val="00ED1829"/>
    <w:rsid w:val="00ED3A88"/>
    <w:rsid w:val="00ED47B2"/>
    <w:rsid w:val="00EE1CBE"/>
    <w:rsid w:val="00EE65BC"/>
    <w:rsid w:val="00EF6438"/>
    <w:rsid w:val="00EF71ED"/>
    <w:rsid w:val="00F00C0C"/>
    <w:rsid w:val="00F04FE8"/>
    <w:rsid w:val="00F10E98"/>
    <w:rsid w:val="00F11331"/>
    <w:rsid w:val="00F1538B"/>
    <w:rsid w:val="00F16449"/>
    <w:rsid w:val="00F1669A"/>
    <w:rsid w:val="00F2160E"/>
    <w:rsid w:val="00F2193B"/>
    <w:rsid w:val="00F24C6F"/>
    <w:rsid w:val="00F2549A"/>
    <w:rsid w:val="00F27A1D"/>
    <w:rsid w:val="00F3236A"/>
    <w:rsid w:val="00F3274A"/>
    <w:rsid w:val="00F33859"/>
    <w:rsid w:val="00F33C24"/>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52F"/>
    <w:rsid w:val="00FD7019"/>
    <w:rsid w:val="00FE0DEE"/>
    <w:rsid w:val="00FE1599"/>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7262553-49FF-9A42-B514-793E01CF4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4340</Words>
  <Characters>24739</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129</cp:revision>
  <dcterms:created xsi:type="dcterms:W3CDTF">2016-12-08T10:02:00Z</dcterms:created>
  <dcterms:modified xsi:type="dcterms:W3CDTF">2016-12-17T20:17:00Z</dcterms:modified>
</cp:coreProperties>
</file>