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1B5D6659" w:rsidR="00CF7E1B" w:rsidRDefault="00367E5D" w:rsidP="00CF7E1B">
      <w:pPr>
        <w:pStyle w:val="Mmoire"/>
        <w:rPr>
          <w:lang w:val="fr-CH"/>
        </w:rPr>
      </w:pPr>
      <w:r>
        <w:rPr>
          <w:lang w:val="fr-CH"/>
        </w:rPr>
        <w:t>En préambule à ce</w:t>
      </w:r>
      <w:r w:rsidR="00E17CB8">
        <w:rPr>
          <w:lang w:val="fr-CH"/>
        </w:rPr>
        <w:t>tte</w:t>
      </w:r>
      <w:r>
        <w:rPr>
          <w:lang w:val="fr-CH"/>
        </w:rPr>
        <w:t xml:space="preserve"> </w:t>
      </w:r>
      <w:r w:rsidR="00E17CB8">
        <w:rPr>
          <w:lang w:val="fr-CH"/>
        </w:rPr>
        <w:t>partie</w:t>
      </w:r>
      <w:r>
        <w:rPr>
          <w:lang w:val="fr-CH"/>
        </w:rPr>
        <w:t xml:space="preserv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Ce</w:t>
      </w:r>
      <w:r w:rsidR="00E17CB8">
        <w:rPr>
          <w:lang w:val="fr-CH"/>
        </w:rPr>
        <w:t>tte</w:t>
      </w:r>
      <w:r w:rsidR="00016E91">
        <w:rPr>
          <w:lang w:val="fr-CH"/>
        </w:rPr>
        <w:t xml:space="preserve"> </w:t>
      </w:r>
      <w:r w:rsidR="00E17CB8">
        <w:rPr>
          <w:lang w:val="fr-CH"/>
        </w:rPr>
        <w:t>partie</w:t>
      </w:r>
      <w:r w:rsidR="00016E91">
        <w:rPr>
          <w:lang w:val="fr-CH"/>
        </w:rPr>
        <w:t xml:space="preserv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w:t>
      </w:r>
      <w:r w:rsidR="001D41D5">
        <w:rPr>
          <w:lang w:val="fr-CH"/>
        </w:rPr>
        <w:t>, car</w:t>
      </w:r>
      <w:r w:rsidR="00016E91">
        <w:rPr>
          <w:lang w:val="fr-CH"/>
        </w:rPr>
        <w:t xml:space="preserve"> le contexte du roman source </w:t>
      </w:r>
      <w:r w:rsidR="00255C94">
        <w:rPr>
          <w:lang w:val="fr-CH"/>
        </w:rPr>
        <w:t>sera discuté</w:t>
      </w:r>
      <w:r w:rsidR="00016E91">
        <w:rPr>
          <w:lang w:val="fr-CH"/>
        </w:rPr>
        <w:t xml:space="preserve"> </w:t>
      </w:r>
      <w:r w:rsidR="00255C94">
        <w:rPr>
          <w:lang w:val="fr-CH"/>
        </w:rPr>
        <w:t>dans l</w:t>
      </w:r>
      <w:r w:rsidR="00E17CB8">
        <w:rPr>
          <w:lang w:val="fr-CH"/>
        </w:rPr>
        <w:t>a</w:t>
      </w:r>
      <w:r w:rsidR="00255C94">
        <w:rPr>
          <w:lang w:val="fr-CH"/>
        </w:rPr>
        <w:t xml:space="preserve"> </w:t>
      </w:r>
      <w:r w:rsidR="00F3770C">
        <w:rPr>
          <w:lang w:val="fr-CH"/>
        </w:rPr>
        <w:t xml:space="preserve">deuxième </w:t>
      </w:r>
      <w:r w:rsidR="00E17CB8">
        <w:rPr>
          <w:lang w:val="fr-CH"/>
        </w:rPr>
        <w:t>partie</w:t>
      </w:r>
      <w:r w:rsidR="00016E91">
        <w:rPr>
          <w:lang w:val="fr-CH"/>
        </w:rPr>
        <w:t xml:space="preserve">. Ce choix répond tout d’abord à une volonté de séparer notre objet </w:t>
      </w:r>
      <w:r w:rsidR="00744170">
        <w:rPr>
          <w:lang w:val="fr-CH"/>
        </w:rPr>
        <w:t>(le film et ses r</w:t>
      </w:r>
      <w:r w:rsidR="000C46C3">
        <w:rPr>
          <w:lang w:val="fr-CH"/>
        </w:rPr>
        <w:t>emakes) et sa source littéraire</w:t>
      </w:r>
      <w:r w:rsidR="001D41D5" w:rsidRPr="001D41D5">
        <w:rPr>
          <w:lang w:val="fr-CH"/>
        </w:rPr>
        <w:t xml:space="preserve"> </w:t>
      </w:r>
      <w:r w:rsidR="001D41D5">
        <w:rPr>
          <w:lang w:val="fr-CH"/>
        </w:rPr>
        <w:t>dans un premier temps</w:t>
      </w:r>
      <w:r w:rsidR="00016E91">
        <w:rPr>
          <w:lang w:val="fr-CH"/>
        </w:rPr>
        <w:t>.</w:t>
      </w:r>
      <w:r w:rsidR="00CF2253">
        <w:rPr>
          <w:lang w:val="fr-CH"/>
        </w:rPr>
        <w:t xml:space="preserve"> </w:t>
      </w:r>
      <w:r w:rsidR="00F56B7E">
        <w:rPr>
          <w:lang w:val="fr-CH"/>
        </w:rPr>
        <w:t xml:space="preserve">La deuxième précision méthodologique concerne l’origine des sources </w:t>
      </w:r>
      <w:r w:rsidR="00F56B7E" w:rsidRPr="000A4269">
        <w:rPr>
          <w:lang w:val="fr-CH"/>
        </w:rPr>
        <w:t>utilisées : ce</w:t>
      </w:r>
      <w:r w:rsidR="00E17CB8" w:rsidRPr="000A4269">
        <w:rPr>
          <w:lang w:val="fr-CH"/>
        </w:rPr>
        <w:t>tte</w:t>
      </w:r>
      <w:r w:rsidR="00F56B7E">
        <w:rPr>
          <w:lang w:val="fr-CH"/>
        </w:rPr>
        <w:t xml:space="preserve"> </w:t>
      </w:r>
      <w:r w:rsidR="00E17CB8">
        <w:rPr>
          <w:lang w:val="fr-CH"/>
        </w:rPr>
        <w:t>partie</w:t>
      </w:r>
      <w:r w:rsidR="00F56B7E">
        <w:rPr>
          <w:lang w:val="fr-CH"/>
        </w:rPr>
        <w:t xml:space="preserv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w:t>
      </w:r>
      <w:r w:rsidR="00E17CB8">
        <w:rPr>
          <w:lang w:val="fr-CH"/>
        </w:rPr>
        <w:t>es</w:t>
      </w:r>
      <w:r w:rsidR="00C74349">
        <w:rPr>
          <w:lang w:val="fr-CH"/>
        </w:rPr>
        <w:t xml:space="preserve"> </w:t>
      </w:r>
      <w:r w:rsidR="00E17CB8">
        <w:rPr>
          <w:lang w:val="fr-CH"/>
        </w:rPr>
        <w:t xml:space="preserve">derniers </w:t>
      </w:r>
      <w:proofErr w:type="spellStart"/>
      <w:r w:rsidR="00E17CB8">
        <w:rPr>
          <w:lang w:val="fr-CH"/>
        </w:rPr>
        <w:t>pragraphes</w:t>
      </w:r>
      <w:proofErr w:type="spellEnd"/>
      <w:r w:rsidR="00C74349">
        <w:rPr>
          <w:lang w:val="fr-CH"/>
        </w:rPr>
        <w:t xml:space="preserve"> de ce</w:t>
      </w:r>
      <w:r w:rsidR="00E17CB8">
        <w:rPr>
          <w:lang w:val="fr-CH"/>
        </w:rPr>
        <w:t>tte</w:t>
      </w:r>
      <w:r w:rsidR="00C74349">
        <w:rPr>
          <w:lang w:val="fr-CH"/>
        </w:rPr>
        <w:t xml:space="preserve"> </w:t>
      </w:r>
      <w:r w:rsidR="00E17CB8">
        <w:rPr>
          <w:lang w:val="fr-CH"/>
        </w:rPr>
        <w:t>partie</w:t>
      </w:r>
      <w:r w:rsidR="00C74349">
        <w:rPr>
          <w:lang w:val="fr-CH"/>
        </w:rPr>
        <w:t xml:space="preserve">, intitulée « une métaphore pluri-sémantique », dans laquelle il sera question de recenser et discuter des interprétations à la métaphore proposée par les </w:t>
      </w:r>
      <w:r w:rsidR="00C74349" w:rsidRPr="000A4269">
        <w:rPr>
          <w:lang w:val="fr-CH"/>
        </w:rPr>
        <w:t>films ;</w:t>
      </w:r>
      <w:r w:rsidR="00C74349">
        <w:rPr>
          <w:lang w:val="fr-CH"/>
        </w:rPr>
        <w:t xml:space="preserve"> une question qui est à l’origine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2"/>
      </w:r>
      <w:r w:rsidR="008364AE">
        <w:rPr>
          <w:lang w:val="fr-CH"/>
        </w:rPr>
        <w:t>, 2010</w:t>
      </w:r>
      <w:r w:rsidR="00F10E98">
        <w:rPr>
          <w:rStyle w:val="FootnoteReference"/>
          <w:lang w:val="fr-CH"/>
        </w:rPr>
        <w:footnoteReference w:id="3"/>
      </w:r>
      <w:r w:rsidR="008364AE">
        <w:rPr>
          <w:lang w:val="fr-CH"/>
        </w:rPr>
        <w:t xml:space="preserve"> et 2012</w:t>
      </w:r>
      <w:r w:rsidR="00F10E98">
        <w:rPr>
          <w:rStyle w:val="FootnoteReference"/>
          <w:lang w:val="fr-CH"/>
        </w:rPr>
        <w:footnoteReference w:id="4"/>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5"/>
      </w:r>
      <w:r w:rsidR="007D7652">
        <w:rPr>
          <w:lang w:val="fr-CH"/>
        </w:rPr>
        <w:t xml:space="preserve">. Néanmoins, les trois livres ont grandement facilité la démarche entreprise dans le cadre de ces travail en reproduisant </w:t>
      </w:r>
      <w:r w:rsidR="007D7652">
        <w:rPr>
          <w:lang w:val="fr-CH"/>
        </w:rPr>
        <w:lastRenderedPageBreak/>
        <w:t>dans leur intégralité des documents retrouvés dans les archives de Walter Wagner</w:t>
      </w:r>
      <w:r w:rsidR="007D7652">
        <w:rPr>
          <w:rStyle w:val="FootnoteReference"/>
          <w:lang w:val="fr-CH"/>
        </w:rPr>
        <w:footnoteReference w:id="6"/>
      </w:r>
      <w:r w:rsidR="007D7652">
        <w:rPr>
          <w:lang w:val="fr-CH"/>
        </w:rPr>
        <w:t xml:space="preserve"> ou des </w:t>
      </w:r>
      <w:proofErr w:type="gramStart"/>
      <w:r w:rsidR="007D7652">
        <w:rPr>
          <w:lang w:val="fr-CH"/>
        </w:rPr>
        <w:t>critiques</w:t>
      </w:r>
      <w:proofErr w:type="gramEnd"/>
      <w:r w:rsidR="007D7652">
        <w:rPr>
          <w:lang w:val="fr-CH"/>
        </w:rPr>
        <w:t xml:space="preserve">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0E59A001"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remarques liminaires concernant le concept de canon cinématographique. La question du canon étant vaste, de par ses origines pré</w:t>
      </w:r>
      <w:r w:rsidR="000C6D71">
        <w:rPr>
          <w:lang w:val="fr-CH"/>
        </w:rPr>
        <w:t>-</w:t>
      </w:r>
      <w:r w:rsidR="00501425">
        <w:rPr>
          <w:lang w:val="fr-CH"/>
        </w:rPr>
        <w:t xml:space="preserve">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21B3C70E" w:rsidR="00C10921" w:rsidRDefault="007D7BD1" w:rsidP="00350A5E">
      <w:pPr>
        <w:pStyle w:val="Mmoire"/>
        <w:ind w:firstLine="720"/>
        <w:rPr>
          <w:lang w:val="fr-CH"/>
        </w:rPr>
      </w:pPr>
      <w:r>
        <w:rPr>
          <w:lang w:val="fr-CH"/>
        </w:rPr>
        <w:t>Dans leur introduction</w:t>
      </w:r>
      <w:r w:rsidR="00A00618">
        <w:rPr>
          <w:rStyle w:val="FootnoteReference"/>
          <w:lang w:val="fr-CH"/>
        </w:rPr>
        <w:footnoteReference w:id="7"/>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8"/>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9"/>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0"/>
      </w:r>
      <w:r w:rsidR="001E302D">
        <w:rPr>
          <w:lang w:val="fr-CH"/>
        </w:rPr>
        <w:t xml:space="preserve">. </w:t>
      </w:r>
      <w:r w:rsidR="00962B10">
        <w:rPr>
          <w:lang w:val="fr-CH"/>
        </w:rPr>
        <w:t>Le premier canon est donc « développé diachroniquement »</w:t>
      </w:r>
      <w:r w:rsidR="00962B10">
        <w:rPr>
          <w:rStyle w:val="FootnoteReference"/>
          <w:lang w:val="fr-CH"/>
        </w:rPr>
        <w:footnoteReference w:id="11"/>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2"/>
      </w:r>
      <w:r w:rsidR="00D71812">
        <w:rPr>
          <w:lang w:val="fr-CH"/>
        </w:rPr>
        <w:t xml:space="preserve"> selon les sensibilités variées et parfois contradictoires de certains groupes sociaux.</w:t>
      </w:r>
      <w:r w:rsidR="00A15B83">
        <w:rPr>
          <w:lang w:val="fr-CH"/>
        </w:rPr>
        <w:t xml:space="preserve"> Dans ce travail, il sera question du deuxième type de canon</w:t>
      </w:r>
      <w:r w:rsidR="000A4269">
        <w:rPr>
          <w:lang w:val="fr-CH"/>
        </w:rPr>
        <w:t xml:space="preserve"> </w:t>
      </w:r>
      <w:r w:rsidR="00A15B83" w:rsidRPr="000A4269">
        <w:rPr>
          <w:lang w:val="fr-CH"/>
        </w:rPr>
        <w:t>:</w:t>
      </w:r>
      <w:r w:rsidR="00A15B83">
        <w:rPr>
          <w:lang w:val="fr-CH"/>
        </w:rPr>
        <w:t xml:space="preserve"> la raison pour laquelle </w:t>
      </w:r>
      <w:r w:rsidR="00A15B83">
        <w:rPr>
          <w:i/>
          <w:lang w:val="fr-CH"/>
        </w:rPr>
        <w:t xml:space="preserve">Invasion of the Body Snatchers </w:t>
      </w:r>
      <w:r w:rsidR="00A15B83">
        <w:rPr>
          <w:lang w:val="fr-CH"/>
        </w:rPr>
        <w:t>s’inscrit dans divers canon</w:t>
      </w:r>
      <w:r w:rsidR="000C6D71">
        <w:rPr>
          <w:lang w:val="fr-CH"/>
        </w:rPr>
        <w:t>s</w:t>
      </w:r>
      <w:r w:rsidR="00A15B83">
        <w:rPr>
          <w:lang w:val="fr-CH"/>
        </w:rPr>
        <w:t xml:space="preserve"> </w:t>
      </w:r>
      <w:r w:rsidR="00A15B83">
        <w:rPr>
          <w:lang w:val="fr-CH"/>
        </w:rPr>
        <w:lastRenderedPageBreak/>
        <w:t>n’est pas son affirmation de procédures formelles</w:t>
      </w:r>
      <w:r w:rsidR="00A15B83">
        <w:rPr>
          <w:rStyle w:val="FootnoteReference"/>
          <w:lang w:val="fr-CH"/>
        </w:rPr>
        <w:footnoteReference w:id="13"/>
      </w:r>
      <w:r w:rsidR="00A15B83">
        <w:rPr>
          <w:lang w:val="fr-CH"/>
        </w:rPr>
        <w:t xml:space="preserve">, mais bien </w:t>
      </w:r>
      <w:r w:rsidR="00DE515F">
        <w:rPr>
          <w:lang w:val="fr-CH"/>
        </w:rPr>
        <w:t xml:space="preserve">les valeurs </w:t>
      </w:r>
      <w:r w:rsidR="000C6D71">
        <w:rPr>
          <w:lang w:val="fr-CH"/>
        </w:rPr>
        <w:t xml:space="preserve">diverses </w:t>
      </w:r>
      <w:r w:rsidR="00DE515F">
        <w:rPr>
          <w:lang w:val="fr-CH"/>
        </w:rPr>
        <w:t>qu’il porte.</w:t>
      </w:r>
      <w:r w:rsidR="00C10921">
        <w:rPr>
          <w:lang w:val="fr-CH"/>
        </w:rPr>
        <w:t xml:space="preserve"> </w:t>
      </w:r>
      <w:r w:rsidR="002C40D4">
        <w:rPr>
          <w:lang w:val="fr-CH"/>
        </w:rPr>
        <w:t xml:space="preserve">En effet, les canons dans lesquels </w:t>
      </w:r>
      <w:r w:rsidR="002C40D4">
        <w:rPr>
          <w:i/>
          <w:lang w:val="fr-CH"/>
        </w:rPr>
        <w:t>Invasion of the Body Snatchers</w:t>
      </w:r>
      <w:r w:rsidR="002C40D4">
        <w:rPr>
          <w:lang w:val="fr-CH"/>
        </w:rPr>
        <w:t xml:space="preserve"> s’inscrit sont interprétatifs : comme il en a été discuté en introduction, le National Film Registery regroupe des œuvres à « importance culturelle, historique ou esthétique » - le sous-entendu étant évidemment </w:t>
      </w:r>
      <w:r w:rsidR="002C40D4">
        <w:rPr>
          <w:i/>
          <w:lang w:val="fr-CH"/>
        </w:rPr>
        <w:t>pour les Etats-Unis d’Amérique</w:t>
      </w:r>
      <w:r w:rsidR="002C40D4">
        <w:rPr>
          <w:lang w:val="fr-CH"/>
        </w:rPr>
        <w:t>.</w:t>
      </w:r>
      <w:r w:rsidR="00350A5E">
        <w:rPr>
          <w:lang w:val="fr-CH"/>
        </w:rPr>
        <w:t xml:space="preserve"> Il en va de même pour les canons de la science-fiction ou de l’horreur dans lesquels le film s’inscrit : ils rassemblent des films portant les valeurs de leur genre respectifs. </w:t>
      </w:r>
      <w:r w:rsidR="004F0870">
        <w:rPr>
          <w:lang w:val="fr-CH"/>
        </w:rPr>
        <w:t>D</w:t>
      </w:r>
      <w:r w:rsidR="00665ADF">
        <w:rPr>
          <w:lang w:val="fr-CH"/>
        </w:rPr>
        <w:t>ans l’article de sa communication, Raymond Bellour propose d’aborder la notion de « spectateur-canon »</w:t>
      </w:r>
      <w:r w:rsidR="00665ADF">
        <w:rPr>
          <w:rStyle w:val="FootnoteReference"/>
          <w:lang w:val="fr-CH"/>
        </w:rPr>
        <w:footnoteReference w:id="14"/>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5"/>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6"/>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sidRPr="000A4269">
        <w:rPr>
          <w:rStyle w:val="FootnoteReference"/>
          <w:lang w:val="fr-CH"/>
        </w:rPr>
        <w:footnoteReference w:id="17"/>
      </w:r>
      <w:r w:rsidR="000A4269">
        <w:rPr>
          <w:lang w:val="fr-CH"/>
        </w:rPr>
        <w:t xml:space="preserve"> </w:t>
      </w:r>
      <w:r w:rsidR="007848F3" w:rsidRPr="000A4269">
        <w:rPr>
          <w:lang w:val="fr-CH"/>
        </w:rPr>
        <w:t>:</w:t>
      </w:r>
      <w:r w:rsidR="007848F3">
        <w:rPr>
          <w:lang w:val="fr-CH"/>
        </w:rPr>
        <w:t xml:space="preserve">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 xml:space="preserve">Essential </w:t>
      </w:r>
      <w:proofErr w:type="spellStart"/>
      <w:r w:rsidR="00566458" w:rsidRPr="00F96856">
        <w:rPr>
          <w:i/>
          <w:lang w:val="fr-CH"/>
        </w:rPr>
        <w:t>Cinema</w:t>
      </w:r>
      <w:proofErr w:type="spellEnd"/>
      <w:r w:rsidR="00566458" w:rsidRPr="00F96856">
        <w:rPr>
          <w:i/>
          <w:lang w:val="fr-CH"/>
        </w:rPr>
        <w:t xml:space="preserve"> : On The </w:t>
      </w:r>
      <w:proofErr w:type="spellStart"/>
      <w:r w:rsidR="00566458" w:rsidRPr="00F96856">
        <w:rPr>
          <w:i/>
          <w:lang w:val="fr-CH"/>
        </w:rPr>
        <w:t>Necessity</w:t>
      </w:r>
      <w:proofErr w:type="spellEnd"/>
      <w:r w:rsidR="00566458" w:rsidRPr="00F96856">
        <w:rPr>
          <w:i/>
          <w:lang w:val="fr-CH"/>
        </w:rPr>
        <w:t xml:space="preserve"> of Film Canons</w:t>
      </w:r>
      <w:r w:rsidR="00566458">
        <w:rPr>
          <w:rStyle w:val="FootnoteReference"/>
          <w:lang w:val="fr-CH"/>
        </w:rPr>
        <w:footnoteReference w:id="18"/>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L’élément qui anime cette introduction est l’opposition dessinée par Rosenbaum entre canonisation et académisme </w:t>
      </w:r>
      <w:r w:rsidR="00AF7E88" w:rsidRPr="000A4269">
        <w:rPr>
          <w:lang w:val="fr-CH"/>
        </w:rPr>
        <w:t>:</w:t>
      </w:r>
      <w:r w:rsidR="00AF7E88">
        <w:rPr>
          <w:lang w:val="fr-CH"/>
        </w:rPr>
        <w:t xml:space="preserve">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19"/>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 xml:space="preserve">The American </w:t>
      </w:r>
      <w:proofErr w:type="spellStart"/>
      <w:r w:rsidR="0004147F">
        <w:rPr>
          <w:i/>
          <w:lang w:val="fr-CH"/>
        </w:rPr>
        <w:lastRenderedPageBreak/>
        <w:t>Cinema</w:t>
      </w:r>
      <w:proofErr w:type="spellEnd"/>
      <w:r w:rsidR="0004147F">
        <w:rPr>
          <w:lang w:val="fr-CH"/>
        </w:rPr>
        <w:t xml:space="preserve"> d’Andrew </w:t>
      </w:r>
      <w:proofErr w:type="spellStart"/>
      <w:r w:rsidR="0004147F">
        <w:rPr>
          <w:lang w:val="fr-CH"/>
        </w:rPr>
        <w:t>Sarris</w:t>
      </w:r>
      <w:proofErr w:type="spellEnd"/>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sociales »</w:t>
      </w:r>
      <w:r w:rsidR="00053667">
        <w:rPr>
          <w:rStyle w:val="FootnoteReference"/>
          <w:lang w:val="fr-CH"/>
        </w:rPr>
        <w:footnoteReference w:id="20"/>
      </w:r>
      <w:r w:rsidR="00F7236D">
        <w:rPr>
          <w:lang w:val="fr-CH"/>
        </w:rPr>
        <w:t>.</w:t>
      </w:r>
      <w:r w:rsidR="00C9761A">
        <w:rPr>
          <w:lang w:val="fr-CH"/>
        </w:rPr>
        <w:t xml:space="preserve"> Bien les commentaires de Rosenbaum, </w:t>
      </w:r>
      <w:r w:rsidR="000C6D71">
        <w:rPr>
          <w:lang w:val="fr-CH"/>
        </w:rPr>
        <w:t xml:space="preserve">qui </w:t>
      </w:r>
      <w:r w:rsidR="00C9761A">
        <w:rPr>
          <w:lang w:val="fr-CH"/>
        </w:rPr>
        <w:t>repos</w:t>
      </w:r>
      <w:r w:rsidR="000C6D71">
        <w:rPr>
          <w:lang w:val="fr-CH"/>
        </w:rPr>
        <w:t>en</w:t>
      </w:r>
      <w:r w:rsidR="00C9761A">
        <w:rPr>
          <w:lang w:val="fr-CH"/>
        </w:rPr>
        <w:t xml:space="preserve">t également sur certaines anecdotes sur le sujet </w:t>
      </w:r>
      <w:r w:rsidR="000C6D71">
        <w:rPr>
          <w:lang w:val="fr-CH"/>
        </w:rPr>
        <w:t xml:space="preserve">dont </w:t>
      </w:r>
      <w:r w:rsidR="00C9761A">
        <w:rPr>
          <w:lang w:val="fr-CH"/>
        </w:rPr>
        <w:t>il sort toujours gagnant, semblent marqué</w:t>
      </w:r>
      <w:r w:rsidR="000C6D71">
        <w:rPr>
          <w:lang w:val="fr-CH"/>
        </w:rPr>
        <w:t>e</w:t>
      </w:r>
      <w:r w:rsidR="00C9761A">
        <w:rPr>
          <w:lang w:val="fr-CH"/>
        </w:rPr>
        <w:t xml:space="preserve">s </w:t>
      </w:r>
      <w:r w:rsidR="000C6D71">
        <w:rPr>
          <w:lang w:val="fr-CH"/>
        </w:rPr>
        <w:t xml:space="preserve">par une </w:t>
      </w:r>
      <w:r w:rsidR="00C9761A">
        <w:rPr>
          <w:lang w:val="fr-CH"/>
        </w:rPr>
        <w:t>certaine amertume, on retrouve ici l’idée d’un canon individuel basé sur des valeurs </w:t>
      </w:r>
      <w:r w:rsidR="00C9761A" w:rsidRPr="000A4269">
        <w:rPr>
          <w:lang w:val="fr-CH"/>
        </w:rPr>
        <w:t>:</w:t>
      </w:r>
      <w:r w:rsidR="00C9761A">
        <w:rPr>
          <w:lang w:val="fr-CH"/>
        </w:rPr>
        <w:t xml:space="preserve"> un canon, qu’explique l’auteur, n’a pas une valeur de « reportage »</w:t>
      </w:r>
      <w:r w:rsidR="00C9761A">
        <w:rPr>
          <w:rStyle w:val="FootnoteReference"/>
          <w:lang w:val="fr-CH"/>
        </w:rPr>
        <w:footnoteReference w:id="21"/>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2"/>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w:t>
      </w:r>
      <w:r w:rsidR="000C6D71">
        <w:rPr>
          <w:lang w:val="fr-CH"/>
        </w:rPr>
        <w:t xml:space="preserve">clairement de l’ordre du </w:t>
      </w:r>
      <w:r w:rsidR="00111A20">
        <w:rPr>
          <w:lang w:val="fr-CH"/>
        </w:rPr>
        <w:t>personnel et sujet à modifications. Il convient d’ajouter également une dernière remarque effectuée par l’auteur de laquelle il sera question dans l</w:t>
      </w:r>
      <w:r w:rsidR="008C71F8">
        <w:rPr>
          <w:lang w:val="fr-CH"/>
        </w:rPr>
        <w:t xml:space="preserve">a dernière partie </w:t>
      </w:r>
      <w:r w:rsidR="00111A20">
        <w:rPr>
          <w:lang w:val="fr-CH"/>
        </w:rPr>
        <w:t xml:space="preserve">de </w:t>
      </w:r>
      <w:r w:rsidR="00111A20" w:rsidRPr="000A4269">
        <w:rPr>
          <w:lang w:val="fr-CH"/>
        </w:rPr>
        <w:t>ce travail : celle</w:t>
      </w:r>
      <w:r w:rsidR="00111A20">
        <w:rPr>
          <w:lang w:val="fr-CH"/>
        </w:rPr>
        <w:t xml:space="preserv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3"/>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4"/>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298A105F" w:rsidR="00AD3C9F" w:rsidRPr="0025611E" w:rsidRDefault="00AD3C9F" w:rsidP="003F0E4A">
      <w:pPr>
        <w:pStyle w:val="Mmoire"/>
        <w:rPr>
          <w:lang w:val="fr-CH"/>
        </w:rPr>
      </w:pPr>
      <w:r>
        <w:rPr>
          <w:lang w:val="fr-CH"/>
        </w:rPr>
        <w:tab/>
      </w:r>
      <w:r w:rsidR="000C6D71">
        <w:rPr>
          <w:lang w:val="fr-CH"/>
        </w:rPr>
        <w:t xml:space="preserve">Ce travail cherchera donc à voir comment s’articule le processus de ce type de canon précis en laissant de côté les débats autour de la définition des canons ou l’inscription de notre objet dans un canon normatif tel que défini par </w:t>
      </w:r>
      <w:r w:rsidR="000C6D71" w:rsidRPr="009A09E3">
        <w:rPr>
          <w:lang w:val="fr-CH"/>
        </w:rPr>
        <w:t>Bianchi, Bursi et Venturini</w:t>
      </w:r>
      <w:r w:rsidR="000C6D71">
        <w:rPr>
          <w:lang w:val="fr-CH"/>
        </w:rPr>
        <w:t>. En effet, l</w:t>
      </w:r>
      <w:r w:rsidR="0043397D">
        <w:rPr>
          <w:lang w:val="fr-CH"/>
        </w:rPr>
        <w:t xml:space="preserve">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 xml:space="preserve">finalement ces canons sont formés dans un processus dynamique et donc amenés à évoluer. </w:t>
      </w:r>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lastRenderedPageBreak/>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0A0944EE"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5"/>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6"/>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3F38BA">
        <w:rPr>
          <w:lang w:val="fr-CH"/>
        </w:rPr>
        <w:t>vis-à-vis</w:t>
      </w:r>
      <w:r w:rsidR="00F51A78">
        <w:rPr>
          <w:lang w:val="fr-CH"/>
        </w:rPr>
        <w:t xml:space="preserve">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7"/>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8"/>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29"/>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0"/>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1"/>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2"/>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3"/>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w:t>
      </w:r>
      <w:r w:rsidR="009E498B">
        <w:rPr>
          <w:lang w:val="fr-CH"/>
        </w:rPr>
        <w:lastRenderedPageBreak/>
        <w:t>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4"/>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5"/>
      </w:r>
      <w:r w:rsidR="00E4428C">
        <w:rPr>
          <w:lang w:val="fr-CH"/>
        </w:rPr>
        <w:t xml:space="preserve"> apportés par la réalisation de Don Siegel</w:t>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6"/>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37"/>
      </w:r>
      <w:r w:rsidR="00C54399">
        <w:rPr>
          <w:i/>
          <w:lang w:val="fr-CH"/>
        </w:rPr>
        <w:t> »</w:t>
      </w:r>
      <w:r w:rsidR="00C54399">
        <w:rPr>
          <w:rStyle w:val="FootnoteReference"/>
          <w:i/>
          <w:lang w:val="fr-CH"/>
        </w:rPr>
        <w:footnoteReference w:id="38"/>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spellStart"/>
      <w:proofErr w:type="gramStart"/>
      <w:r w:rsidR="00FE6DD8">
        <w:rPr>
          <w:lang w:val="fr-CH"/>
        </w:rPr>
        <w:t>Nyby</w:t>
      </w:r>
      <w:proofErr w:type="spellEnd"/>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39"/>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40"/>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1"/>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2"/>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43"/>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4"/>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5"/>
      </w:r>
      <w:r w:rsidR="00DE3C2D">
        <w:rPr>
          <w:lang w:val="fr-CH"/>
        </w:rPr>
        <w:t>) ou 2015 (« un des grands titres de l’histoire du cinéma américain tout court »</w:t>
      </w:r>
      <w:r w:rsidR="005418E9">
        <w:rPr>
          <w:rStyle w:val="FootnoteReference"/>
          <w:lang w:val="fr-CH"/>
        </w:rPr>
        <w:footnoteReference w:id="46"/>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 xml:space="preserve">Heaven Can </w:t>
      </w:r>
      <w:proofErr w:type="spellStart"/>
      <w:r w:rsidR="001E2B3D">
        <w:rPr>
          <w:i/>
          <w:lang w:val="fr-CH"/>
        </w:rPr>
        <w:t>Wait</w:t>
      </w:r>
      <w:proofErr w:type="spellEnd"/>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7"/>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w:t>
      </w:r>
      <w:proofErr w:type="spellStart"/>
      <w:r>
        <w:rPr>
          <w:lang w:val="fr-CH"/>
        </w:rPr>
        <w:t>Kehr</w:t>
      </w:r>
      <w:proofErr w:type="spellEnd"/>
      <w:r>
        <w:rPr>
          <w:rStyle w:val="FootnoteReference"/>
          <w:lang w:val="fr-CH"/>
        </w:rPr>
        <w:footnoteReference w:id="48"/>
      </w:r>
      <w:r>
        <w:rPr>
          <w:lang w:val="fr-CH"/>
        </w:rPr>
        <w:t>)</w:t>
      </w:r>
      <w:r w:rsidR="00732B2C">
        <w:rPr>
          <w:lang w:val="fr-CH"/>
        </w:rPr>
        <w:t xml:space="preserve">, et est effectivement pris comme étalon dans l’évaluation. </w:t>
      </w:r>
      <w:r w:rsidR="00732B2C" w:rsidRPr="00060F07">
        <w:rPr>
          <w:lang w:val="fr-CH"/>
        </w:rPr>
        <w:t xml:space="preserve">Toutefois, </w:t>
      </w:r>
      <w:proofErr w:type="spellStart"/>
      <w:r w:rsidR="00732B2C" w:rsidRPr="00060F07">
        <w:rPr>
          <w:lang w:val="fr-CH"/>
        </w:rPr>
        <w:t>Kehr</w:t>
      </w:r>
      <w:proofErr w:type="spellEnd"/>
      <w:r w:rsidR="00732B2C" w:rsidRPr="00060F07">
        <w:rPr>
          <w:lang w:val="fr-CH"/>
        </w:rPr>
        <w:t xml:space="preserve">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w:t>
      </w:r>
      <w:proofErr w:type="spellStart"/>
      <w:r w:rsidR="00060F07" w:rsidRPr="00060F07">
        <w:rPr>
          <w:lang w:val="fr-CH"/>
        </w:rPr>
        <w:t>peut être</w:t>
      </w:r>
      <w:proofErr w:type="spellEnd"/>
      <w:r w:rsidR="00060F07" w:rsidRPr="00060F07">
        <w:rPr>
          <w:lang w:val="fr-CH"/>
        </w:rPr>
        <w:t>, mais pas autant bonne que l’originale</w:t>
      </w:r>
      <w:r w:rsidR="00543A54" w:rsidRPr="00060F07">
        <w:rPr>
          <w:lang w:val="fr-CH"/>
        </w:rPr>
        <w:t> »</w:t>
      </w:r>
      <w:r w:rsidR="00543A54">
        <w:rPr>
          <w:rStyle w:val="FootnoteReference"/>
          <w:lang w:val="fr-CH"/>
        </w:rPr>
        <w:footnoteReference w:id="49"/>
      </w:r>
      <w:r w:rsidR="00F54F1D" w:rsidRPr="00060F07">
        <w:rPr>
          <w:lang w:val="fr-CH"/>
        </w:rPr>
        <w:t xml:space="preserve">, </w:t>
      </w:r>
      <w:r w:rsidR="00A00FD7" w:rsidRPr="00060F07">
        <w:rPr>
          <w:lang w:val="fr-CH"/>
        </w:rPr>
        <w:t xml:space="preserve">Richard </w:t>
      </w:r>
      <w:proofErr w:type="spellStart"/>
      <w:r w:rsidR="00A00FD7" w:rsidRPr="00060F07">
        <w:rPr>
          <w:lang w:val="fr-CH"/>
        </w:rPr>
        <w:t>Combs</w:t>
      </w:r>
      <w:proofErr w:type="spellEnd"/>
      <w:r w:rsidR="00A00FD7" w:rsidRPr="00060F07">
        <w:rPr>
          <w:lang w:val="fr-CH"/>
        </w:rPr>
        <w:t xml:space="preserve">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0"/>
      </w:r>
      <w:r w:rsidR="00A00FD7" w:rsidRPr="00060F07">
        <w:rPr>
          <w:lang w:val="fr-CH"/>
        </w:rPr>
        <w:t xml:space="preserve"> </w:t>
      </w:r>
      <w:r w:rsidR="00F910DC" w:rsidRPr="00060F07">
        <w:rPr>
          <w:lang w:val="fr-CH"/>
        </w:rPr>
        <w:t xml:space="preserve">et </w:t>
      </w:r>
      <w:proofErr w:type="spellStart"/>
      <w:r w:rsidR="00F54F1D" w:rsidRPr="00060F07">
        <w:rPr>
          <w:i/>
          <w:lang w:val="fr-CH"/>
        </w:rPr>
        <w:t>Variety</w:t>
      </w:r>
      <w:proofErr w:type="spellEnd"/>
      <w:r w:rsidR="00F54F1D" w:rsidRPr="00060F07">
        <w:rPr>
          <w:i/>
          <w:lang w:val="fr-CH"/>
        </w:rPr>
        <w:t xml:space="preserve">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1"/>
      </w:r>
      <w:r w:rsidR="00506F6E">
        <w:rPr>
          <w:lang w:val="fr-CH"/>
        </w:rPr>
        <w:t xml:space="preserve"> </w:t>
      </w:r>
      <w:r w:rsidR="00506F6E">
        <w:rPr>
          <w:lang w:val="fr-CH"/>
        </w:rPr>
        <w:lastRenderedPageBreak/>
        <w:t>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2"/>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3"/>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4"/>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5"/>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6"/>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7"/>
      </w:r>
      <w:r w:rsidR="00DC2443">
        <w:rPr>
          <w:lang w:val="fr-CH"/>
        </w:rPr>
        <w:t xml:space="preserve"> ou « adroit »</w:t>
      </w:r>
      <w:r w:rsidR="003704D3">
        <w:rPr>
          <w:rStyle w:val="FootnoteReference"/>
          <w:lang w:val="fr-CH"/>
        </w:rPr>
        <w:footnoteReference w:id="58"/>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59"/>
      </w:r>
      <w:r w:rsidR="00663724">
        <w:rPr>
          <w:lang w:val="fr-CH"/>
        </w:rPr>
        <w:t>, « </w:t>
      </w:r>
      <w:r w:rsidR="0059698F">
        <w:rPr>
          <w:lang w:val="fr-CH"/>
        </w:rPr>
        <w:t xml:space="preserve">vide </w:t>
      </w:r>
      <w:r w:rsidR="00663724">
        <w:rPr>
          <w:lang w:val="fr-CH"/>
        </w:rPr>
        <w:t>»</w:t>
      </w:r>
      <w:r w:rsidR="00663724">
        <w:rPr>
          <w:rStyle w:val="FootnoteReference"/>
          <w:lang w:val="fr-CH"/>
        </w:rPr>
        <w:footnoteReference w:id="60"/>
      </w:r>
      <w:r w:rsidR="00717BE1">
        <w:rPr>
          <w:lang w:val="fr-CH"/>
        </w:rPr>
        <w:t xml:space="preserve"> voire « rageant, même fatiguant »</w:t>
      </w:r>
      <w:r w:rsidR="00717BE1">
        <w:rPr>
          <w:rStyle w:val="FootnoteReference"/>
          <w:lang w:val="fr-CH"/>
        </w:rPr>
        <w:footnoteReference w:id="61"/>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62"/>
      </w:r>
      <w:r w:rsidR="00E57157">
        <w:t xml:space="preserve">, </w:t>
      </w:r>
      <w:r w:rsidR="007E60F5">
        <w:t>éventuellement « bancal »</w:t>
      </w:r>
      <w:r w:rsidR="007E60F5">
        <w:rPr>
          <w:rStyle w:val="FootnoteReference"/>
        </w:rPr>
        <w:footnoteReference w:id="63"/>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64"/>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65"/>
      </w:r>
      <w:r w:rsidR="00B60790">
        <w:t xml:space="preserve"> qui donne l’impression de voir « </w:t>
      </w:r>
      <w:r w:rsidR="006D6FD9">
        <w:rPr>
          <w:lang w:val="fr-CH"/>
        </w:rPr>
        <w:t xml:space="preserve">deux </w:t>
      </w:r>
      <w:r w:rsidR="006D6FD9">
        <w:rPr>
          <w:lang w:val="fr-CH"/>
        </w:rPr>
        <w:lastRenderedPageBreak/>
        <w:t xml:space="preserve">versions du même film se battre </w:t>
      </w:r>
      <w:r w:rsidR="00B60790">
        <w:t>»</w:t>
      </w:r>
      <w:r w:rsidR="00B60790">
        <w:rPr>
          <w:rStyle w:val="FootnoteReference"/>
        </w:rPr>
        <w:footnoteReference w:id="66"/>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67"/>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8"/>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69"/>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0"/>
      </w:r>
      <w:r w:rsidRPr="00336D42">
        <w:rPr>
          <w:lang w:val="fr-CH"/>
        </w:rPr>
        <w:t xml:space="preserve"> </w:t>
      </w:r>
    </w:p>
    <w:p w14:paraId="1ED87DBE" w14:textId="5C59F70F" w:rsidR="00D56248" w:rsidRDefault="00CE3FB7" w:rsidP="00D56248">
      <w:pPr>
        <w:pStyle w:val="Mmoire"/>
        <w:rPr>
          <w:lang w:val="fr-CH"/>
        </w:rPr>
      </w:pPr>
      <w:r w:rsidRPr="00F33C24">
        <w:rPr>
          <w:lang w:val="fr-CH"/>
        </w:rPr>
        <w:lastRenderedPageBreak/>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1"/>
      </w:r>
      <w:r w:rsidR="00F33C24" w:rsidRPr="00F33C24">
        <w:rPr>
          <w:lang w:val="fr-CH"/>
        </w:rPr>
        <w:t>, renseigne le spectateur</w:t>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2"/>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3"/>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4"/>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5"/>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6"/>
      </w:r>
      <w:r w:rsidR="00C32B00">
        <w:rPr>
          <w:lang w:val="fr-CH"/>
        </w:rPr>
        <w:t>, d’autres le présentent comme un « film d’épouvante »</w:t>
      </w:r>
      <w:r w:rsidR="00C32B00">
        <w:rPr>
          <w:rStyle w:val="FootnoteReference"/>
          <w:lang w:val="fr-CH"/>
        </w:rPr>
        <w:footnoteReference w:id="77"/>
      </w:r>
      <w:r w:rsidR="00C32B00">
        <w:rPr>
          <w:lang w:val="fr-CH"/>
        </w:rPr>
        <w:t>, un « film d’horreur »</w:t>
      </w:r>
      <w:r w:rsidR="00876848">
        <w:rPr>
          <w:rStyle w:val="FootnoteReference"/>
          <w:lang w:val="fr-CH"/>
        </w:rPr>
        <w:footnoteReference w:id="78"/>
      </w:r>
      <w:r w:rsidR="00C32B00">
        <w:rPr>
          <w:lang w:val="fr-CH"/>
        </w:rPr>
        <w:t xml:space="preserve"> ou un « film à suspense »</w:t>
      </w:r>
      <w:r w:rsidR="00C32B00">
        <w:rPr>
          <w:rStyle w:val="FootnoteReference"/>
          <w:lang w:val="fr-CH"/>
        </w:rPr>
        <w:footnoteReference w:id="79"/>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0"/>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 xml:space="preserve">évoque les différents entre Walter Wagner et Allied Artists </w:t>
      </w:r>
      <w:r w:rsidR="00991F6F">
        <w:rPr>
          <w:lang w:val="fr-CH"/>
        </w:rPr>
        <w:lastRenderedPageBreak/>
        <w:t>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81"/>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2"/>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3"/>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4"/>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w:t>
      </w:r>
      <w:proofErr w:type="spellStart"/>
      <w:r w:rsidR="00352CFA" w:rsidRPr="00924223">
        <w:rPr>
          <w:lang w:val="fr-CH"/>
        </w:rPr>
        <w:t>science-fictionelle</w:t>
      </w:r>
      <w:proofErr w:type="spellEnd"/>
      <w:r w:rsidR="00352CFA" w:rsidRPr="00924223">
        <w:rPr>
          <w:lang w:val="fr-CH"/>
        </w:rPr>
        <w:t xml:space="preserv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5"/>
      </w:r>
    </w:p>
    <w:p w14:paraId="1376B001" w14:textId="6949F053"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86"/>
      </w:r>
      <w:r>
        <w:rPr>
          <w:lang w:val="fr-CH"/>
        </w:rPr>
        <w:t>. Plutôt que d’évaluer la qualité horrifique d’un remake par rapport à l’orignal</w:t>
      </w:r>
      <w:r w:rsidR="00572515">
        <w:rPr>
          <w:rStyle w:val="FootnoteReference"/>
          <w:lang w:val="fr-CH"/>
        </w:rPr>
        <w:footnoteReference w:id="87"/>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w:t>
      </w:r>
      <w:r w:rsidR="00DF6CE4">
        <w:rPr>
          <w:lang w:val="fr-CH"/>
        </w:rPr>
        <w:t>a</w:t>
      </w:r>
      <w:r w:rsidR="00ED3A88">
        <w:rPr>
          <w:lang w:val="fr-CH"/>
        </w:rPr>
        <w:t xml:space="preserve"> troisième </w:t>
      </w:r>
      <w:r w:rsidR="00DF6CE4">
        <w:rPr>
          <w:lang w:val="fr-CH"/>
        </w:rPr>
        <w:t>partie</w:t>
      </w:r>
      <w:r w:rsidR="00ED3A88">
        <w:rPr>
          <w:lang w:val="fr-CH"/>
        </w:rPr>
        <w:t xml:space="preserve"> de ce travail.</w:t>
      </w:r>
    </w:p>
    <w:p w14:paraId="049E4AB3" w14:textId="2E81790A" w:rsidR="009E2528" w:rsidRDefault="00ED3A88" w:rsidP="009E2528">
      <w:pPr>
        <w:pStyle w:val="Mmoire"/>
        <w:rPr>
          <w:lang w:val="fr-CH"/>
        </w:rPr>
      </w:pPr>
      <w:r>
        <w:rPr>
          <w:lang w:val="fr-CH"/>
        </w:rPr>
        <w:lastRenderedPageBreak/>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88"/>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89"/>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0"/>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w:t>
      </w:r>
      <w:r w:rsidR="00626266">
        <w:rPr>
          <w:lang w:val="fr-CH"/>
        </w:rPr>
        <w:lastRenderedPageBreak/>
        <w:t>fascisme tuant l’individu en nous) »</w:t>
      </w:r>
      <w:r w:rsidR="00626266">
        <w:rPr>
          <w:rStyle w:val="FootnoteReference"/>
          <w:lang w:val="fr-CH"/>
        </w:rPr>
        <w:footnoteReference w:id="91"/>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92"/>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3"/>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4"/>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5"/>
      </w:r>
      <w:r w:rsidR="004D6815">
        <w:rPr>
          <w:lang w:val="fr-CH"/>
        </w:rPr>
        <w:t xml:space="preserve"> que dans des critiques plus longues</w:t>
      </w:r>
      <w:r w:rsidR="00E847B5">
        <w:rPr>
          <w:rStyle w:val="FootnoteReference"/>
          <w:lang w:val="fr-CH"/>
        </w:rPr>
        <w:footnoteReference w:id="96"/>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97"/>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98"/>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w:t>
      </w:r>
      <w:r w:rsidR="00B22705">
        <w:rPr>
          <w:lang w:val="fr-CH"/>
        </w:rPr>
        <w:lastRenderedPageBreak/>
        <w:t xml:space="preserve">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w:t>
      </w:r>
      <w:r w:rsidR="00443F6E">
        <w:rPr>
          <w:lang w:val="fr-CH"/>
        </w:rPr>
        <w:t xml:space="preserve">d’absence </w:t>
      </w:r>
      <w:r w:rsidR="00217331">
        <w:rPr>
          <w:lang w:val="fr-CH"/>
        </w:rPr>
        <w:t>d’émotions »</w:t>
      </w:r>
      <w:r w:rsidR="00C5130A">
        <w:rPr>
          <w:rStyle w:val="FootnoteReference"/>
          <w:lang w:val="fr-CH"/>
        </w:rPr>
        <w:footnoteReference w:id="99"/>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0"/>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1"/>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2"/>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3"/>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4"/>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5"/>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106"/>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7"/>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08"/>
      </w:r>
      <w:r w:rsidR="0042563E">
        <w:rPr>
          <w:lang w:val="fr-CH"/>
        </w:rPr>
        <w:t xml:space="preserve">, le </w:t>
      </w:r>
      <w:r w:rsidR="0042563E">
        <w:rPr>
          <w:lang w:val="fr-CH"/>
        </w:rPr>
        <w:lastRenderedPageBreak/>
        <w:t xml:space="preserve">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109"/>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110"/>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1"/>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t>Activities</w:t>
      </w:r>
      <w:proofErr w:type="spellEnd"/>
      <w:r w:rsidR="000D6B0D" w:rsidRPr="006D4B9D">
        <w:rPr>
          <w:lang w:val="fr-CH"/>
        </w:rPr>
        <w:t> </w:t>
      </w:r>
      <w:r w:rsidR="000D6B0D">
        <w:rPr>
          <w:lang w:val="fr-CH"/>
        </w:rPr>
        <w:t>»</w:t>
      </w:r>
      <w:r w:rsidR="000D6B0D">
        <w:rPr>
          <w:rStyle w:val="FootnoteReference"/>
          <w:lang w:val="fr-CH"/>
        </w:rPr>
        <w:footnoteReference w:id="112"/>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3"/>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4"/>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5"/>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w:t>
      </w:r>
      <w:r w:rsidR="00FC7F90">
        <w:rPr>
          <w:lang w:val="fr-CH"/>
        </w:rPr>
        <w:lastRenderedPageBreak/>
        <w:t>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116"/>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117"/>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18"/>
      </w:r>
      <w:r w:rsidR="007F3A27">
        <w:rPr>
          <w:lang w:val="fr-CH"/>
        </w:rPr>
        <w:t>, encouragera certains professionnels à enfouir l’idéologie politique de leur film sous plusieurs couches de lecture</w:t>
      </w:r>
      <w:r w:rsidR="007F3A27">
        <w:rPr>
          <w:rStyle w:val="FootnoteReference"/>
          <w:lang w:val="fr-CH"/>
        </w:rPr>
        <w:footnoteReference w:id="119"/>
      </w:r>
      <w:r w:rsidR="007F3A27">
        <w:rPr>
          <w:lang w:val="fr-CH"/>
        </w:rPr>
        <w:t xml:space="preserve"> et, selon Andrew Dowdy, sera économiquement profitable aux studios en recherche de scénaristes moins chers</w:t>
      </w:r>
      <w:r w:rsidR="007F3A27">
        <w:rPr>
          <w:rStyle w:val="FootnoteReference"/>
          <w:lang w:val="fr-CH"/>
        </w:rPr>
        <w:footnoteReference w:id="120"/>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1"/>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2"/>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3"/>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4"/>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5"/>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6"/>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w:t>
      </w:r>
      <w:r w:rsidR="00810F16">
        <w:rPr>
          <w:lang w:val="fr-CH"/>
        </w:rPr>
        <w:lastRenderedPageBreak/>
        <w:t xml:space="preserve">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7"/>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28"/>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29"/>
      </w:r>
      <w:r w:rsidR="0025350A">
        <w:rPr>
          <w:lang w:val="fr-CH"/>
        </w:rPr>
        <w:t>, celui de Ferrera à la peur du SIDA</w:t>
      </w:r>
      <w:r w:rsidR="0025350A">
        <w:rPr>
          <w:rStyle w:val="FootnoteReference"/>
          <w:lang w:val="fr-CH"/>
        </w:rPr>
        <w:footnoteReference w:id="130"/>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1"/>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2"/>
      </w:r>
      <w:r w:rsidR="00B13451">
        <w:rPr>
          <w:lang w:val="fr-CH"/>
        </w:rPr>
        <w:t>.</w:t>
      </w:r>
    </w:p>
    <w:p w14:paraId="66ABA30D" w14:textId="457A2FAC"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w:t>
      </w:r>
      <w:r>
        <w:rPr>
          <w:lang w:val="fr-CH"/>
        </w:rPr>
        <w:lastRenderedPageBreak/>
        <w:t xml:space="preserve">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33"/>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4"/>
      </w:r>
      <w:r w:rsidR="00FB6F84">
        <w:rPr>
          <w:lang w:val="fr-CH"/>
        </w:rPr>
        <w:t xml:space="preserve"> entre</w:t>
      </w:r>
      <w:r w:rsidR="009E0F5B">
        <w:rPr>
          <w:lang w:val="fr-CH"/>
        </w:rPr>
        <w:t xml:space="preserve"> Miles </w:t>
      </w:r>
      <w:r w:rsidR="00B3335C">
        <w:rPr>
          <w:lang w:val="fr-CH"/>
        </w:rPr>
        <w:t>et</w:t>
      </w:r>
      <w:r w:rsidR="009E0F5B">
        <w:rPr>
          <w:lang w:val="fr-CH"/>
        </w:rPr>
        <w:t xml:space="preserve">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5"/>
      </w:r>
      <w:r w:rsidR="00744219">
        <w:rPr>
          <w:lang w:val="fr-CH"/>
        </w:rPr>
        <w:t>.</w:t>
      </w:r>
      <w:r w:rsidR="008E4CE3">
        <w:rPr>
          <w:lang w:val="fr-CH"/>
        </w:rPr>
        <w:t xml:space="preserve"> Une 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36"/>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37"/>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38"/>
      </w:r>
      <w:r w:rsidR="002B6C9D">
        <w:rPr>
          <w:lang w:val="fr-CH"/>
        </w:rPr>
        <w:t xml:space="preserve"> est un trouble psychologique connu et documenté</w:t>
      </w:r>
      <w:r w:rsidR="002B6C9D">
        <w:rPr>
          <w:rStyle w:val="FootnoteReference"/>
          <w:lang w:val="fr-CH"/>
        </w:rPr>
        <w:footnoteReference w:id="139"/>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0"/>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1"/>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w:t>
      </w:r>
      <w:r w:rsidR="00821CAB">
        <w:rPr>
          <w:lang w:val="fr-CH"/>
        </w:rPr>
        <w:lastRenderedPageBreak/>
        <w:t>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42"/>
      </w:r>
      <w:r w:rsidR="005F3CBC">
        <w:rPr>
          <w:lang w:val="fr-CH"/>
        </w:rPr>
        <w:t xml:space="preserve">, et démontre d’une part </w:t>
      </w:r>
      <w:proofErr w:type="gramStart"/>
      <w:r w:rsidR="005F3CBC">
        <w:rPr>
          <w:lang w:val="fr-CH"/>
        </w:rPr>
        <w:t>la</w:t>
      </w:r>
      <w:proofErr w:type="gramEnd"/>
      <w:r w:rsidR="005F3CBC">
        <w:rPr>
          <w:lang w:val="fr-CH"/>
        </w:rPr>
        <w:t xml:space="preserve"> pluri-sémanticité du film et d’autre part son impact sur la mémoire collective américaine.</w:t>
      </w:r>
    </w:p>
    <w:p w14:paraId="04A98DA1" w14:textId="4E755EFB"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3"/>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4"/>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5"/>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w:t>
      </w:r>
      <w:r w:rsidR="000A6B2B">
        <w:rPr>
          <w:lang w:val="fr-CH"/>
        </w:rPr>
        <w:t>scours des réalisateurs dans la quatrième partie</w:t>
      </w:r>
      <w:r w:rsidR="000D5BE0">
        <w:rPr>
          <w:lang w:val="fr-CH"/>
        </w:rPr>
        <w:t>.</w:t>
      </w:r>
    </w:p>
    <w:sectPr w:rsidR="007A67A9" w:rsidRPr="005076C6"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BFDFD" w14:textId="77777777" w:rsidR="00653733" w:rsidRDefault="00653733" w:rsidP="00173138">
      <w:r>
        <w:separator/>
      </w:r>
    </w:p>
  </w:endnote>
  <w:endnote w:type="continuationSeparator" w:id="0">
    <w:p w14:paraId="45F20E40" w14:textId="77777777" w:rsidR="00653733" w:rsidRDefault="0065373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687F34">
      <w:rPr>
        <w:rStyle w:val="PageNumber"/>
        <w:noProof/>
        <w:sz w:val="22"/>
      </w:rPr>
      <w:t>19</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228EA" w14:textId="77777777" w:rsidR="00653733" w:rsidRDefault="00653733" w:rsidP="00173138">
      <w:r>
        <w:separator/>
      </w:r>
    </w:p>
  </w:footnote>
  <w:footnote w:type="continuationSeparator" w:id="0">
    <w:p w14:paraId="7B4A8470" w14:textId="77777777" w:rsidR="00653733" w:rsidRDefault="00653733"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3">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4">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5">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6">
    <w:p w14:paraId="5D4BA1D6" w14:textId="0AA74863" w:rsidR="00E667C0" w:rsidRPr="007D7652" w:rsidRDefault="00E667C0">
      <w:pPr>
        <w:pStyle w:val="FootnoteText"/>
        <w:rPr>
          <w:lang w:val="fr-CH"/>
        </w:rPr>
      </w:pPr>
      <w:r>
        <w:rPr>
          <w:rStyle w:val="FootnoteReference"/>
        </w:rPr>
        <w:footnoteRef/>
      </w:r>
      <w:r>
        <w:t xml:space="preserve"> </w:t>
      </w:r>
      <w:r w:rsidR="007A49FA">
        <w:t xml:space="preserve">Wagner est </w:t>
      </w:r>
      <w:r w:rsidR="007A49FA">
        <w:rPr>
          <w:lang w:val="fr-CH"/>
        </w:rPr>
        <w:t>le p</w:t>
      </w:r>
      <w:r>
        <w:rPr>
          <w:lang w:val="fr-CH"/>
        </w:rPr>
        <w:t>roducteur du film de 1956.</w:t>
      </w:r>
    </w:p>
  </w:footnote>
  <w:footnote w:id="7">
    <w:p w14:paraId="31B240E3" w14:textId="19769075"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003000A9">
        <w:rPr>
          <w:lang w:val="fr-CH"/>
        </w:rPr>
        <w:t xml:space="preserve"> (éd</w:t>
      </w:r>
      <w:r w:rsidRPr="007D7BD1">
        <w:rPr>
          <w:lang w:val="fr-CH"/>
        </w:rPr>
        <w:t xml:space="preserve">.),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8">
    <w:p w14:paraId="1A5FE676" w14:textId="020B8D3D" w:rsidR="00E667C0" w:rsidRPr="00C44B65" w:rsidRDefault="00E667C0">
      <w:pPr>
        <w:pStyle w:val="FootnoteText"/>
        <w:rPr>
          <w:lang w:val="en-GB"/>
        </w:rPr>
      </w:pPr>
      <w:r>
        <w:rPr>
          <w:rStyle w:val="FootnoteReference"/>
        </w:rPr>
        <w:footnoteRef/>
      </w:r>
      <w:r w:rsidRPr="00265CB5">
        <w:rPr>
          <w:lang w:val="en-GB"/>
        </w:rPr>
        <w:t xml:space="preserve"> « </w:t>
      </w:r>
      <w:r w:rsidR="005350FC">
        <w:rPr>
          <w:lang w:val="en-GB"/>
        </w:rPr>
        <w:t>F</w:t>
      </w:r>
      <w:r w:rsidRPr="00265CB5">
        <w:rPr>
          <w:lang w:val="en-GB"/>
        </w:rPr>
        <w:t>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w:t>
      </w:r>
      <w:r w:rsidR="00213372">
        <w:rPr>
          <w:lang w:val="en-GB"/>
        </w:rPr>
        <w:t>[</w:t>
      </w:r>
      <w:r w:rsidRPr="00C44B65">
        <w:rPr>
          <w:lang w:val="en-GB"/>
        </w:rPr>
        <w:t>Petro Bianchi, Giuli</w:t>
      </w:r>
      <w:r w:rsidR="003000A9">
        <w:rPr>
          <w:lang w:val="en-GB"/>
        </w:rPr>
        <w:t>o Bursi et Simone Venturini (</w:t>
      </w:r>
      <w:proofErr w:type="spellStart"/>
      <w:r w:rsidR="003000A9">
        <w:rPr>
          <w:lang w:val="en-GB"/>
        </w:rPr>
        <w:t>éd</w:t>
      </w:r>
      <w:proofErr w:type="spellEnd"/>
      <w:r w:rsidRPr="00C44B65">
        <w:rPr>
          <w:lang w:val="en-GB"/>
        </w:rPr>
        <w:t xml:space="preserve">.), </w:t>
      </w:r>
      <w:r w:rsidRPr="00C44B65">
        <w:rPr>
          <w:i/>
          <w:lang w:val="en-GB"/>
        </w:rPr>
        <w:t>op. cit.</w:t>
      </w:r>
      <w:r w:rsidRPr="00C44B65">
        <w:rPr>
          <w:lang w:val="en-GB"/>
        </w:rPr>
        <w:t>, p. 15</w:t>
      </w:r>
      <w:r w:rsidR="00213372">
        <w:rPr>
          <w:lang w:val="en-GB"/>
        </w:rPr>
        <w:t>]</w:t>
      </w:r>
      <w:r w:rsidRPr="00C44B65">
        <w:rPr>
          <w:lang w:val="en-GB"/>
        </w:rPr>
        <w:t>.</w:t>
      </w:r>
    </w:p>
  </w:footnote>
  <w:footnote w:id="9">
    <w:p w14:paraId="78E9C65B" w14:textId="0265EEB5" w:rsidR="00E667C0" w:rsidRPr="00213372" w:rsidRDefault="00E667C0">
      <w:pPr>
        <w:pStyle w:val="FootnoteText"/>
        <w:rPr>
          <w:lang w:val="en-GB"/>
        </w:rPr>
      </w:pPr>
      <w:r>
        <w:rPr>
          <w:rStyle w:val="FootnoteReference"/>
        </w:rPr>
        <w:footnoteRef/>
      </w:r>
      <w:r w:rsidRPr="00265CB5">
        <w:rPr>
          <w:lang w:val="en-GB"/>
        </w:rPr>
        <w:t xml:space="preserve"> « </w:t>
      </w:r>
      <w:r w:rsidR="005350FC">
        <w:rPr>
          <w:lang w:val="en-GB"/>
        </w:rPr>
        <w:t>A</w:t>
      </w:r>
      <w:r w:rsidRPr="00265CB5">
        <w:rPr>
          <w:lang w:val="en-GB"/>
        </w:rPr>
        <w:t>ffirmation of a</w:t>
      </w:r>
      <w:r w:rsidR="00213372">
        <w:rPr>
          <w:lang w:val="en-GB"/>
        </w:rPr>
        <w:t xml:space="preserve"> series of formal procedures » [</w:t>
      </w:r>
      <w:r w:rsidRPr="00213372">
        <w:rPr>
          <w:lang w:val="en-GB"/>
        </w:rPr>
        <w:t>Petro Bianchi, Giuli</w:t>
      </w:r>
      <w:r w:rsidR="003000A9">
        <w:rPr>
          <w:lang w:val="en-GB"/>
        </w:rPr>
        <w:t>o Bursi et Simone Venturini (</w:t>
      </w:r>
      <w:proofErr w:type="spellStart"/>
      <w:r w:rsidR="003000A9">
        <w:rPr>
          <w:lang w:val="en-GB"/>
        </w:rPr>
        <w:t>éd</w:t>
      </w:r>
      <w:proofErr w:type="spellEnd"/>
      <w:r w:rsidRPr="00213372">
        <w:rPr>
          <w:lang w:val="en-GB"/>
        </w:rPr>
        <w:t xml:space="preserve">.), </w:t>
      </w:r>
      <w:r w:rsidRPr="00213372">
        <w:rPr>
          <w:i/>
          <w:lang w:val="en-GB"/>
        </w:rPr>
        <w:t>ibid.</w:t>
      </w:r>
      <w:r w:rsidR="00213372">
        <w:rPr>
          <w:lang w:val="en-GB"/>
        </w:rPr>
        <w:t>].</w:t>
      </w:r>
    </w:p>
  </w:footnote>
  <w:footnote w:id="10">
    <w:p w14:paraId="71B774E0" w14:textId="16B14D35" w:rsidR="00E667C0" w:rsidRPr="00E8558E" w:rsidRDefault="00E667C0">
      <w:pPr>
        <w:pStyle w:val="FootnoteText"/>
        <w:rPr>
          <w:lang w:val="en-GB"/>
        </w:rPr>
      </w:pPr>
      <w:r>
        <w:rPr>
          <w:rStyle w:val="FootnoteReference"/>
        </w:rPr>
        <w:footnoteRef/>
      </w:r>
      <w:r w:rsidRPr="00D453A3">
        <w:rPr>
          <w:lang w:val="en-GB"/>
        </w:rPr>
        <w:t xml:space="preserve"> « </w:t>
      </w:r>
      <w:r w:rsidR="005350FC">
        <w:rPr>
          <w:lang w:val="en-GB"/>
        </w:rPr>
        <w:t>P</w:t>
      </w:r>
      <w:r w:rsidRPr="00D453A3">
        <w:rPr>
          <w:lang w:val="en-GB"/>
        </w:rPr>
        <w:t>ertain to interpretative communities and to individual or collective subjects that choose an ensemble of works of art as bearers of values »</w:t>
      </w:r>
      <w:r>
        <w:rPr>
          <w:lang w:val="en-GB"/>
        </w:rPr>
        <w:t xml:space="preserve"> </w:t>
      </w:r>
      <w:r w:rsidR="007A2E40">
        <w:rPr>
          <w:lang w:val="en-GB"/>
        </w:rPr>
        <w:t>[</w:t>
      </w:r>
      <w:r w:rsidR="007A2E40" w:rsidRPr="00213372">
        <w:rPr>
          <w:lang w:val="en-GB"/>
        </w:rPr>
        <w:t>Petro Bianchi, Giulio Bursi</w:t>
      </w:r>
      <w:r w:rsidR="003000A9">
        <w:rPr>
          <w:lang w:val="en-GB"/>
        </w:rPr>
        <w:t xml:space="preserve"> et Simone Venturini (</w:t>
      </w:r>
      <w:proofErr w:type="spellStart"/>
      <w:r w:rsidR="003000A9">
        <w:rPr>
          <w:lang w:val="en-GB"/>
        </w:rPr>
        <w:t>éd</w:t>
      </w:r>
      <w:proofErr w:type="spellEnd"/>
      <w:r w:rsidR="007A2E40" w:rsidRPr="00213372">
        <w:rPr>
          <w:lang w:val="en-GB"/>
        </w:rPr>
        <w:t xml:space="preserve">.), </w:t>
      </w:r>
      <w:r w:rsidR="007A2E40" w:rsidRPr="00213372">
        <w:rPr>
          <w:i/>
          <w:lang w:val="en-GB"/>
        </w:rPr>
        <w:t>ibid.</w:t>
      </w:r>
      <w:r w:rsidR="007A2E40">
        <w:rPr>
          <w:lang w:val="en-GB"/>
        </w:rPr>
        <w:t>].</w:t>
      </w:r>
    </w:p>
  </w:footnote>
  <w:footnote w:id="11">
    <w:p w14:paraId="711F7FF8" w14:textId="2B1D6B78" w:rsidR="00E667C0" w:rsidRPr="007A2E40" w:rsidRDefault="00E667C0">
      <w:pPr>
        <w:pStyle w:val="FootnoteText"/>
        <w:rPr>
          <w:lang w:val="en-GB"/>
        </w:rPr>
      </w:pPr>
      <w:r>
        <w:rPr>
          <w:rStyle w:val="FootnoteReference"/>
        </w:rPr>
        <w:footnoteRef/>
      </w:r>
      <w:r w:rsidRPr="00962B10">
        <w:rPr>
          <w:lang w:val="en-GB"/>
        </w:rPr>
        <w:t xml:space="preserve"> « </w:t>
      </w:r>
      <w:r w:rsidR="005350FC">
        <w:rPr>
          <w:lang w:val="en-US"/>
        </w:rPr>
        <w:t>D</w:t>
      </w:r>
      <w:r w:rsidRPr="00962B10">
        <w:rPr>
          <w:lang w:val="en-US"/>
        </w:rPr>
        <w:t>eveloped diachronically </w:t>
      </w:r>
      <w:r w:rsidR="007A2E40">
        <w:rPr>
          <w:lang w:val="en-GB"/>
        </w:rPr>
        <w:t>» [</w:t>
      </w:r>
      <w:r w:rsidR="007A2E40" w:rsidRPr="00213372">
        <w:rPr>
          <w:lang w:val="en-GB"/>
        </w:rPr>
        <w:t>Petro Bianchi, Giuli</w:t>
      </w:r>
      <w:r w:rsidR="003000A9">
        <w:rPr>
          <w:lang w:val="en-GB"/>
        </w:rPr>
        <w:t>o Bursi et Simone Venturini (</w:t>
      </w:r>
      <w:proofErr w:type="spellStart"/>
      <w:r w:rsidR="003000A9">
        <w:rPr>
          <w:lang w:val="en-GB"/>
        </w:rPr>
        <w:t>éd</w:t>
      </w:r>
      <w:proofErr w:type="spellEnd"/>
      <w:r w:rsidR="007A2E40" w:rsidRPr="00213372">
        <w:rPr>
          <w:lang w:val="en-GB"/>
        </w:rPr>
        <w:t xml:space="preserve">.), </w:t>
      </w:r>
      <w:r w:rsidR="007A2E40" w:rsidRPr="00213372">
        <w:rPr>
          <w:i/>
          <w:lang w:val="en-GB"/>
        </w:rPr>
        <w:t>ibid.</w:t>
      </w:r>
      <w:r w:rsidR="007A2E40">
        <w:rPr>
          <w:lang w:val="en-GB"/>
        </w:rPr>
        <w:t>].</w:t>
      </w:r>
    </w:p>
  </w:footnote>
  <w:footnote w:id="12">
    <w:p w14:paraId="6A1A91F8" w14:textId="70181738" w:rsidR="00E667C0" w:rsidRPr="00BD61A4" w:rsidRDefault="00E667C0">
      <w:pPr>
        <w:pStyle w:val="FootnoteText"/>
        <w:rPr>
          <w:lang w:val="en-GB"/>
        </w:rPr>
      </w:pPr>
      <w:r>
        <w:rPr>
          <w:rStyle w:val="FootnoteReference"/>
        </w:rPr>
        <w:footnoteRef/>
      </w:r>
      <w:r w:rsidR="007A2E40">
        <w:rPr>
          <w:lang w:val="en-GB"/>
        </w:rPr>
        <w:t xml:space="preserve"> « </w:t>
      </w:r>
      <w:r w:rsidR="005350FC">
        <w:rPr>
          <w:lang w:val="en-GB"/>
        </w:rPr>
        <w:t>D</w:t>
      </w:r>
      <w:r w:rsidR="007A2E40">
        <w:rPr>
          <w:lang w:val="en-GB"/>
        </w:rPr>
        <w:t>eveloped synchronically » [</w:t>
      </w:r>
      <w:r w:rsidR="007A2E40" w:rsidRPr="00213372">
        <w:rPr>
          <w:lang w:val="en-GB"/>
        </w:rPr>
        <w:t>Petro Bianchi, Giuli</w:t>
      </w:r>
      <w:r w:rsidR="003000A9">
        <w:rPr>
          <w:lang w:val="en-GB"/>
        </w:rPr>
        <w:t>o Bursi et Simone Venturini (</w:t>
      </w:r>
      <w:proofErr w:type="spellStart"/>
      <w:r w:rsidR="003000A9">
        <w:rPr>
          <w:lang w:val="en-GB"/>
        </w:rPr>
        <w:t>éd</w:t>
      </w:r>
      <w:proofErr w:type="spellEnd"/>
      <w:r w:rsidR="007A2E40" w:rsidRPr="00213372">
        <w:rPr>
          <w:lang w:val="en-GB"/>
        </w:rPr>
        <w:t xml:space="preserve">.), </w:t>
      </w:r>
      <w:r w:rsidR="007A2E40" w:rsidRPr="00213372">
        <w:rPr>
          <w:i/>
          <w:lang w:val="en-GB"/>
        </w:rPr>
        <w:t>ibid.</w:t>
      </w:r>
      <w:r w:rsidR="007A2E40">
        <w:rPr>
          <w:lang w:val="en-GB"/>
        </w:rPr>
        <w:t>].</w:t>
      </w:r>
    </w:p>
  </w:footnote>
  <w:footnote w:id="13">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4">
    <w:p w14:paraId="1E7A0183" w14:textId="4439434C" w:rsidR="00E667C0" w:rsidRPr="00665ADF" w:rsidRDefault="00E667C0">
      <w:pPr>
        <w:pStyle w:val="FootnoteText"/>
        <w:rPr>
          <w:lang w:val="fr-CH"/>
        </w:rPr>
      </w:pPr>
      <w:r>
        <w:rPr>
          <w:rStyle w:val="FootnoteReference"/>
        </w:rPr>
        <w:footnoteRef/>
      </w:r>
      <w:r>
        <w:t xml:space="preserve"> Raymond Bellour, « Le Spectateur-canon », </w:t>
      </w:r>
      <w:r>
        <w:rPr>
          <w:i/>
        </w:rPr>
        <w:t>in</w:t>
      </w:r>
      <w:r>
        <w:t xml:space="preserve"> </w:t>
      </w:r>
      <w:r w:rsidRPr="00665ADF">
        <w:rPr>
          <w:lang w:val="fr-CH"/>
        </w:rPr>
        <w:t>Petro Bianchi, Giuli</w:t>
      </w:r>
      <w:r w:rsidR="003000A9">
        <w:rPr>
          <w:lang w:val="fr-CH"/>
        </w:rPr>
        <w:t>o Bursi et Simone Venturini (éd</w:t>
      </w:r>
      <w:r w:rsidRPr="00665ADF">
        <w:rPr>
          <w:lang w:val="fr-CH"/>
        </w:rPr>
        <w:t xml:space="preserve">.), </w:t>
      </w:r>
      <w:r w:rsidRPr="00665ADF">
        <w:rPr>
          <w:i/>
          <w:lang w:val="fr-CH"/>
        </w:rPr>
        <w:t xml:space="preserve">op. </w:t>
      </w:r>
      <w:proofErr w:type="gramStart"/>
      <w:r w:rsidRPr="00665ADF">
        <w:rPr>
          <w:i/>
          <w:lang w:val="fr-CH"/>
        </w:rPr>
        <w:t>cit</w:t>
      </w:r>
      <w:proofErr w:type="gramEnd"/>
      <w:r w:rsidRPr="00665ADF">
        <w:rPr>
          <w:i/>
          <w:lang w:val="fr-CH"/>
        </w:rPr>
        <w: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5">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Bellour, </w:t>
      </w:r>
      <w:r w:rsidRPr="00F128C9">
        <w:rPr>
          <w:i/>
          <w:lang w:val="en-GB"/>
        </w:rPr>
        <w:t>op. cit.</w:t>
      </w:r>
      <w:r w:rsidRPr="00F128C9">
        <w:rPr>
          <w:lang w:val="en-GB"/>
        </w:rPr>
        <w:t xml:space="preserve">, p. </w:t>
      </w:r>
      <w:r>
        <w:rPr>
          <w:lang w:val="en-GB"/>
        </w:rPr>
        <w:t>27.</w:t>
      </w:r>
    </w:p>
  </w:footnote>
  <w:footnote w:id="16">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Bellour, </w:t>
      </w:r>
      <w:r w:rsidRPr="00F128C9">
        <w:rPr>
          <w:i/>
          <w:lang w:val="en-GB"/>
        </w:rPr>
        <w:t>op. cit.</w:t>
      </w:r>
      <w:r w:rsidRPr="00F128C9">
        <w:rPr>
          <w:lang w:val="en-GB"/>
        </w:rPr>
        <w:t xml:space="preserve">, p. </w:t>
      </w:r>
      <w:r>
        <w:rPr>
          <w:lang w:val="en-GB"/>
        </w:rPr>
        <w:t>29.</w:t>
      </w:r>
    </w:p>
  </w:footnote>
  <w:footnote w:id="17">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8">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19">
    <w:p w14:paraId="09818480" w14:textId="7548DCD9" w:rsidR="00E667C0" w:rsidRPr="00AF7E88" w:rsidRDefault="00E667C0">
      <w:pPr>
        <w:pStyle w:val="FootnoteText"/>
        <w:rPr>
          <w:lang w:val="en-GB"/>
        </w:rPr>
      </w:pPr>
      <w:r>
        <w:rPr>
          <w:rStyle w:val="FootnoteReference"/>
        </w:rPr>
        <w:footnoteRef/>
      </w:r>
      <w:r w:rsidRPr="00AF7E88">
        <w:rPr>
          <w:lang w:val="en-GB"/>
        </w:rPr>
        <w:t xml:space="preserve"> </w:t>
      </w:r>
      <w:r w:rsidR="00F31256">
        <w:rPr>
          <w:lang w:val="en-GB"/>
        </w:rPr>
        <w:t>« </w:t>
      </w:r>
      <w:r w:rsidR="00095089">
        <w:rPr>
          <w:lang w:val="en-GB"/>
        </w:rPr>
        <w:t>S</w:t>
      </w:r>
      <w:r w:rsidR="00F31256">
        <w:rPr>
          <w:lang w:val="en-GB"/>
        </w:rPr>
        <w:t>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00F31256">
        <w:rPr>
          <w:lang w:val="en-GB"/>
        </w:rPr>
        <w:t>].</w:t>
      </w:r>
    </w:p>
  </w:footnote>
  <w:footnote w:id="20">
    <w:p w14:paraId="7CA0CB47" w14:textId="3FC865AC" w:rsidR="00053667" w:rsidRPr="00053667" w:rsidRDefault="00053667">
      <w:pPr>
        <w:pStyle w:val="FootnoteText"/>
        <w:rPr>
          <w:lang w:val="en-GB"/>
        </w:rPr>
      </w:pPr>
      <w:r>
        <w:rPr>
          <w:rStyle w:val="FootnoteReference"/>
        </w:rPr>
        <w:footnoteRef/>
      </w:r>
      <w:r w:rsidRPr="00053667">
        <w:rPr>
          <w:lang w:val="en-GB"/>
        </w:rPr>
        <w:t xml:space="preserve"> « </w:t>
      </w:r>
      <w:r w:rsidR="00095089">
        <w:rPr>
          <w:lang w:val="en-GB"/>
        </w:rPr>
        <w:t>T</w:t>
      </w:r>
      <w:r w:rsidRPr="00053667">
        <w:rPr>
          <w:lang w:val="en-GB"/>
        </w:rPr>
        <w:t xml:space="preserve">oo facile, too romantic, too apolitical, too redolent of film </w:t>
      </w:r>
      <w:proofErr w:type="spellStart"/>
      <w:r w:rsidRPr="00053667">
        <w:rPr>
          <w:lang w:val="en-GB"/>
        </w:rPr>
        <w:t>buffery</w:t>
      </w:r>
      <w:proofErr w:type="spellEnd"/>
      <w:r w:rsidRPr="00053667">
        <w:rPr>
          <w:lang w:val="en-GB"/>
        </w:rPr>
        <w:t>, and too m</w:t>
      </w:r>
      <w:r w:rsidR="00953A09">
        <w:rPr>
          <w:lang w:val="en-GB"/>
        </w:rPr>
        <w:t>u</w:t>
      </w:r>
      <w:r w:rsidRPr="00053667">
        <w:rPr>
          <w:lang w:val="en-GB"/>
        </w:rPr>
        <w:t>ch grounded in art as opposed to the social sci</w:t>
      </w:r>
      <w:r>
        <w:rPr>
          <w:lang w:val="en-GB"/>
        </w:rPr>
        <w:t>ences</w:t>
      </w:r>
      <w:r w:rsidRPr="00053667">
        <w:rPr>
          <w:lang w:val="en-GB"/>
        </w:rPr>
        <w:t> »</w:t>
      </w:r>
      <w:r w:rsidR="007E33E5">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007E33E5">
        <w:rPr>
          <w:lang w:val="en-GB"/>
        </w:rPr>
        <w:t>].</w:t>
      </w:r>
    </w:p>
  </w:footnote>
  <w:footnote w:id="21">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2">
    <w:p w14:paraId="09EC725D" w14:textId="13AA6745"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xml:space="preserve">« </w:t>
      </w:r>
      <w:r w:rsidR="00095089">
        <w:rPr>
          <w:lang w:val="en-GB"/>
        </w:rPr>
        <w:t>A</w:t>
      </w:r>
      <w:r w:rsidR="00A73B56" w:rsidRPr="00A73B56">
        <w:rPr>
          <w:lang w:val="en-GB"/>
        </w:rPr>
        <w:t>n active process of selection »</w:t>
      </w:r>
      <w:r w:rsidR="00D87554">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r w:rsidR="00D87554">
        <w:rPr>
          <w:lang w:val="en-GB"/>
        </w:rPr>
        <w:t>].</w:t>
      </w:r>
    </w:p>
  </w:footnote>
  <w:footnote w:id="23">
    <w:p w14:paraId="14BA3EBB" w14:textId="777E73E5"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w:t>
      </w:r>
      <w:r w:rsidR="00095089">
        <w:rPr>
          <w:lang w:val="en-GB"/>
        </w:rPr>
        <w:t>A</w:t>
      </w:r>
      <w:r>
        <w:rPr>
          <w:lang w:val="en-GB"/>
        </w:rPr>
        <w:t>re not readily available in this country, at least not on video.</w:t>
      </w:r>
      <w:r w:rsidRPr="00A73B56">
        <w:rPr>
          <w:lang w:val="en-GB"/>
        </w:rPr>
        <w:t xml:space="preserve"> »</w:t>
      </w:r>
      <w:r>
        <w:rPr>
          <w:lang w:val="en-GB"/>
        </w:rPr>
        <w:t xml:space="preserve"> </w:t>
      </w:r>
      <w:r w:rsidR="008A4436">
        <w:rPr>
          <w:lang w:val="en-GB"/>
        </w:rPr>
        <w:t>[</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r w:rsidR="008A4436">
        <w:rPr>
          <w:lang w:val="en-GB"/>
        </w:rPr>
        <w:t>].</w:t>
      </w:r>
    </w:p>
  </w:footnote>
  <w:footnote w:id="24">
    <w:p w14:paraId="626682F6" w14:textId="7B67CDAC" w:rsidR="003211FA" w:rsidRPr="00E8558E" w:rsidRDefault="003211FA">
      <w:pPr>
        <w:pStyle w:val="FootnoteText"/>
        <w:rPr>
          <w:lang w:val="fr-CH"/>
        </w:rPr>
      </w:pPr>
      <w:r>
        <w:rPr>
          <w:rStyle w:val="FootnoteReference"/>
        </w:rPr>
        <w:footnoteRef/>
      </w:r>
      <w:r w:rsidRPr="003211FA">
        <w:rPr>
          <w:lang w:val="en-GB"/>
        </w:rPr>
        <w:t xml:space="preserve"> « </w:t>
      </w:r>
      <w:r w:rsidR="00095089">
        <w:rPr>
          <w:lang w:val="en-GB"/>
        </w:rPr>
        <w:t>A</w:t>
      </w:r>
      <w:r w:rsidRPr="003211FA">
        <w:rPr>
          <w:lang w:val="en-GB"/>
        </w:rPr>
        <w:t xml:space="preserve">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97CD8">
        <w:rPr>
          <w:lang w:val="en-GB"/>
        </w:rPr>
        <w:t xml:space="preserve"> </w:t>
      </w:r>
      <w:r w:rsidR="00297CD8" w:rsidRPr="00987B9C">
        <w:rPr>
          <w:lang w:val="fr-CH"/>
        </w:rPr>
        <w:t>[</w:t>
      </w:r>
      <w:r w:rsidR="002C6FEC" w:rsidRPr="00E8558E">
        <w:rPr>
          <w:lang w:val="fr-CH"/>
        </w:rPr>
        <w:t xml:space="preserve">Jonathan Rosenbaum, </w:t>
      </w:r>
      <w:r w:rsidR="002C6FEC" w:rsidRPr="00E8558E">
        <w:rPr>
          <w:i/>
          <w:lang w:val="fr-CH"/>
        </w:rPr>
        <w:t>ibid</w:t>
      </w:r>
      <w:r w:rsidR="002C6FEC" w:rsidRPr="00E8558E">
        <w:rPr>
          <w:lang w:val="fr-CH"/>
        </w:rPr>
        <w:t>.</w:t>
      </w:r>
      <w:r w:rsidR="00297CD8">
        <w:rPr>
          <w:lang w:val="fr-CH"/>
        </w:rPr>
        <w:t>].</w:t>
      </w:r>
    </w:p>
  </w:footnote>
  <w:footnote w:id="25">
    <w:p w14:paraId="69180A08" w14:textId="31C392EC" w:rsidR="00E667C0" w:rsidRPr="00053667" w:rsidRDefault="00E667C0">
      <w:pPr>
        <w:pStyle w:val="FootnoteText"/>
        <w:rPr>
          <w:lang w:val="fr-CH"/>
        </w:rPr>
      </w:pPr>
      <w:r>
        <w:rPr>
          <w:rStyle w:val="FootnoteReference"/>
        </w:rPr>
        <w:footnoteRef/>
      </w:r>
      <w:r w:rsidRPr="00053667">
        <w:rPr>
          <w:lang w:val="fr-CH"/>
        </w:rPr>
        <w:t xml:space="preserve"> Reproduite dans son intégralité dans </w:t>
      </w:r>
      <w:r w:rsidRPr="00053667">
        <w:rPr>
          <w:szCs w:val="20"/>
          <w:lang w:val="fr-CH"/>
        </w:rPr>
        <w:t xml:space="preserve">Al LaValley (éd.), </w:t>
      </w:r>
      <w:r w:rsidRPr="00053667">
        <w:rPr>
          <w:i/>
          <w:szCs w:val="20"/>
          <w:lang w:val="fr-CH"/>
        </w:rPr>
        <w:t xml:space="preserve">op. </w:t>
      </w:r>
      <w:proofErr w:type="gramStart"/>
      <w:r w:rsidRPr="00053667">
        <w:rPr>
          <w:i/>
          <w:szCs w:val="20"/>
          <w:lang w:val="fr-CH"/>
        </w:rPr>
        <w:t>cit</w:t>
      </w:r>
      <w:proofErr w:type="gramEnd"/>
      <w:r w:rsidRPr="00053667">
        <w:rPr>
          <w:i/>
          <w:szCs w:val="20"/>
          <w:lang w:val="fr-CH"/>
        </w:rPr>
        <w:t>.</w:t>
      </w:r>
      <w:r w:rsidRPr="00053667">
        <w:rPr>
          <w:szCs w:val="20"/>
          <w:lang w:val="fr-CH"/>
        </w:rPr>
        <w:t>, p .163.</w:t>
      </w:r>
    </w:p>
  </w:footnote>
  <w:footnote w:id="26">
    <w:p w14:paraId="560F38A7" w14:textId="354E9FAE" w:rsidR="00E667C0" w:rsidRPr="002F4EDB" w:rsidRDefault="00E667C0">
      <w:pPr>
        <w:pStyle w:val="FootnoteText"/>
        <w:rPr>
          <w:lang w:val="en-GB"/>
        </w:rPr>
      </w:pPr>
      <w:r>
        <w:rPr>
          <w:rStyle w:val="FootnoteReference"/>
        </w:rPr>
        <w:footnoteRef/>
      </w:r>
      <w:r w:rsidRPr="00781EA5">
        <w:rPr>
          <w:lang w:val="en-GB"/>
        </w:rPr>
        <w:t xml:space="preserve"> </w:t>
      </w:r>
      <w:r w:rsidRPr="00532FAF">
        <w:rPr>
          <w:lang w:val="en-GB"/>
        </w:rPr>
        <w:t xml:space="preserve">« </w:t>
      </w:r>
      <w:r w:rsidR="00095089">
        <w:rPr>
          <w:lang w:val="en-GB"/>
        </w:rPr>
        <w:t>I</w:t>
      </w:r>
      <w:r w:rsidRPr="00532FAF">
        <w:rPr>
          <w:lang w:val="en-GB"/>
        </w:rPr>
        <w:t>t’s definitely an exploitation picture which they [the distributor and exhibitor] didn’t exploit »</w:t>
      </w:r>
      <w:r>
        <w:rPr>
          <w:lang w:val="en-GB"/>
        </w:rPr>
        <w:t xml:space="preserve"> </w:t>
      </w:r>
      <w:r w:rsidR="002F4EDB">
        <w:rPr>
          <w:lang w:val="en-GB"/>
        </w:rPr>
        <w:t>[</w:t>
      </w:r>
      <w:r w:rsidRPr="002F4EDB">
        <w:rPr>
          <w:szCs w:val="20"/>
          <w:lang w:val="en-GB"/>
        </w:rPr>
        <w:t>Al LaValley (</w:t>
      </w:r>
      <w:proofErr w:type="spellStart"/>
      <w:r w:rsidRPr="002F4EDB">
        <w:rPr>
          <w:szCs w:val="20"/>
          <w:lang w:val="en-GB"/>
        </w:rPr>
        <w:t>éd</w:t>
      </w:r>
      <w:proofErr w:type="spellEnd"/>
      <w:r w:rsidRPr="002F4EDB">
        <w:rPr>
          <w:szCs w:val="20"/>
          <w:lang w:val="en-GB"/>
        </w:rPr>
        <w:t xml:space="preserve">.), </w:t>
      </w:r>
      <w:r w:rsidRPr="002F4EDB">
        <w:rPr>
          <w:i/>
          <w:szCs w:val="20"/>
          <w:lang w:val="en-GB"/>
        </w:rPr>
        <w:t>ibid.</w:t>
      </w:r>
      <w:r w:rsidR="002F4EDB">
        <w:rPr>
          <w:szCs w:val="20"/>
          <w:lang w:val="en-GB"/>
        </w:rPr>
        <w:t>, p</w:t>
      </w:r>
      <w:r w:rsidRPr="002F4EDB">
        <w:rPr>
          <w:szCs w:val="20"/>
          <w:lang w:val="en-GB"/>
        </w:rPr>
        <w:t>.</w:t>
      </w:r>
      <w:r w:rsidR="002F4EDB">
        <w:rPr>
          <w:szCs w:val="20"/>
          <w:lang w:val="en-GB"/>
        </w:rPr>
        <w:t xml:space="preserve"> </w:t>
      </w:r>
      <w:r w:rsidRPr="002F4EDB">
        <w:rPr>
          <w:szCs w:val="20"/>
          <w:lang w:val="en-GB"/>
        </w:rPr>
        <w:t>163</w:t>
      </w:r>
      <w:r w:rsidR="002F4EDB">
        <w:rPr>
          <w:szCs w:val="20"/>
          <w:lang w:val="en-GB"/>
        </w:rPr>
        <w:t>].</w:t>
      </w:r>
    </w:p>
  </w:footnote>
  <w:footnote w:id="27">
    <w:p w14:paraId="56550D15" w14:textId="68DDB6AB" w:rsidR="00E667C0" w:rsidRPr="007F03DC" w:rsidRDefault="00E667C0">
      <w:pPr>
        <w:pStyle w:val="FootnoteText"/>
        <w:rPr>
          <w:lang w:val="fr-CH"/>
        </w:rPr>
      </w:pPr>
      <w:r>
        <w:rPr>
          <w:rStyle w:val="FootnoteReference"/>
        </w:rPr>
        <w:footnoteRef/>
      </w:r>
      <w:r w:rsidRPr="007F03DC">
        <w:rPr>
          <w:lang w:val="fr-CH"/>
        </w:rPr>
        <w:t xml:space="preserve"> L’appellation </w:t>
      </w:r>
      <w:r>
        <w:rPr>
          <w:lang w:val="fr-CH"/>
        </w:rPr>
        <w:t>« film d’exploitation », fait ici référence à plusieurs facteurs</w:t>
      </w:r>
      <w:r w:rsidR="008C2D88">
        <w:rPr>
          <w:lang w:val="fr-CH"/>
        </w:rPr>
        <w:t xml:space="preserve"> </w:t>
      </w:r>
      <w:r>
        <w:rPr>
          <w:lang w:val="fr-CH"/>
        </w:rPr>
        <w:t xml:space="preserve">: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8">
    <w:p w14:paraId="23A97179" w14:textId="126A1E72"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w:t>
      </w:r>
      <w:r w:rsidR="00E12B48">
        <w:rPr>
          <w:lang w:val="en-GB"/>
        </w:rPr>
        <w:t>vol.</w:t>
      </w:r>
      <w:r w:rsidRPr="00781EA5">
        <w:rPr>
          <w:lang w:val="en-GB"/>
        </w:rPr>
        <w:t xml:space="preserve"> 6, </w:t>
      </w:r>
      <w:r w:rsidR="00837491">
        <w:rPr>
          <w:lang w:val="en-GB"/>
        </w:rPr>
        <w:t>n°</w:t>
      </w:r>
      <w:r w:rsidRPr="00781EA5">
        <w:rPr>
          <w:lang w:val="en-GB"/>
        </w:rPr>
        <w:t xml:space="preserve"> 3, </w:t>
      </w:r>
      <w:proofErr w:type="spellStart"/>
      <w:r w:rsidRPr="00781EA5">
        <w:rPr>
          <w:lang w:val="en-GB"/>
        </w:rPr>
        <w:t>été</w:t>
      </w:r>
      <w:proofErr w:type="spellEnd"/>
      <w:r w:rsidRPr="00781EA5">
        <w:rPr>
          <w:lang w:val="en-GB"/>
        </w:rPr>
        <w:t xml:space="preserve"> 1978, p. 286.</w:t>
      </w:r>
    </w:p>
  </w:footnote>
  <w:footnote w:id="29">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0">
    <w:p w14:paraId="1EE60664" w14:textId="23244908" w:rsidR="00E667C0" w:rsidRPr="004C1431" w:rsidRDefault="00E667C0">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31">
    <w:p w14:paraId="0C686DEA" w14:textId="3DBEE1B5"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w:t>
      </w:r>
      <w:r w:rsidR="002510FC">
        <w:rPr>
          <w:lang w:val="en-GB"/>
        </w:rPr>
        <w:t>L</w:t>
      </w:r>
      <w:r w:rsidR="00C61942">
        <w:rPr>
          <w:lang w:val="en-GB"/>
        </w:rPr>
        <w:t>owly science fiction status »</w:t>
      </w:r>
      <w:r w:rsidRPr="00A31857">
        <w:rPr>
          <w:lang w:val="en-GB"/>
        </w:rPr>
        <w:t xml:space="preserve"> </w:t>
      </w:r>
      <w:r w:rsidR="00C61942">
        <w:rPr>
          <w:lang w:val="en-GB"/>
        </w:rPr>
        <w:t>[</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sidR="00C61942">
        <w:rPr>
          <w:szCs w:val="20"/>
          <w:lang w:val="en-US"/>
        </w:rPr>
        <w:t>, p .161].</w:t>
      </w:r>
    </w:p>
  </w:footnote>
  <w:footnote w:id="32">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3">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w:t>
      </w:r>
      <w:proofErr w:type="spellStart"/>
      <w:r w:rsidRPr="001E288A">
        <w:rPr>
          <w:lang w:val="en-GB"/>
        </w:rPr>
        <w:t>parues</w:t>
      </w:r>
      <w:proofErr w:type="spellEnd"/>
      <w:r w:rsidRPr="001E288A">
        <w:rPr>
          <w:lang w:val="en-GB"/>
        </w:rPr>
        <w:t xml:space="preserve"> </w:t>
      </w:r>
      <w:proofErr w:type="spellStart"/>
      <w:r w:rsidRPr="001E288A">
        <w:rPr>
          <w:lang w:val="en-GB"/>
        </w:rPr>
        <w:t>dans</w:t>
      </w:r>
      <w:proofErr w:type="spellEnd"/>
      <w:r w:rsidRPr="001E288A">
        <w:rPr>
          <w:lang w:val="en-GB"/>
        </w:rPr>
        <w:t xml:space="preserve"> les revues </w:t>
      </w:r>
      <w:proofErr w:type="spellStart"/>
      <w:r w:rsidRPr="001E288A">
        <w:rPr>
          <w:lang w:val="en-GB"/>
        </w:rPr>
        <w:t>corporatives</w:t>
      </w:r>
      <w:proofErr w:type="spellEnd"/>
      <w:r w:rsidRPr="001E288A">
        <w:rPr>
          <w:lang w:val="en-GB"/>
        </w:rPr>
        <w:t xml:space="preserve">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w:t>
      </w:r>
      <w:proofErr w:type="spellStart"/>
      <w:r w:rsidRPr="001E288A">
        <w:rPr>
          <w:lang w:val="en-GB"/>
        </w:rPr>
        <w:t>étant</w:t>
      </w:r>
      <w:proofErr w:type="spellEnd"/>
      <w:r w:rsidRPr="001E288A">
        <w:rPr>
          <w:lang w:val="en-GB"/>
        </w:rPr>
        <w:t xml:space="preserve"> par </w:t>
      </w:r>
      <w:proofErr w:type="spellStart"/>
      <w:r w:rsidRPr="001E288A">
        <w:rPr>
          <w:lang w:val="en-GB"/>
        </w:rPr>
        <w:t>exemple</w:t>
      </w:r>
      <w:proofErr w:type="spellEnd"/>
      <w:r w:rsidRPr="001E288A">
        <w:rPr>
          <w:lang w:val="en-GB"/>
        </w:rPr>
        <w:t xml:space="preserve"> </w:t>
      </w:r>
      <w:proofErr w:type="spellStart"/>
      <w:r w:rsidRPr="001E288A">
        <w:rPr>
          <w:lang w:val="en-GB"/>
        </w:rPr>
        <w:t>datées</w:t>
      </w:r>
      <w:proofErr w:type="spellEnd"/>
      <w:r w:rsidRPr="001E288A">
        <w:rPr>
          <w:lang w:val="en-GB"/>
        </w:rPr>
        <w:t xml:space="preserve"> du 31 </w:t>
      </w:r>
      <w:proofErr w:type="spellStart"/>
      <w:r w:rsidRPr="001E288A">
        <w:rPr>
          <w:lang w:val="en-GB"/>
        </w:rPr>
        <w:t>décembre</w:t>
      </w:r>
      <w:proofErr w:type="spellEnd"/>
      <w:r w:rsidRPr="001E288A">
        <w:rPr>
          <w:lang w:val="en-GB"/>
        </w:rPr>
        <w:t xml:space="preserve"> 1955 et 1</w:t>
      </w:r>
      <w:r w:rsidRPr="001E288A">
        <w:rPr>
          <w:vertAlign w:val="superscript"/>
          <w:lang w:val="en-GB"/>
        </w:rPr>
        <w:t>er</w:t>
      </w:r>
      <w:r w:rsidRPr="001E288A">
        <w:rPr>
          <w:lang w:val="en-GB"/>
        </w:rPr>
        <w:t xml:space="preserve"> </w:t>
      </w:r>
      <w:proofErr w:type="spellStart"/>
      <w:r w:rsidRPr="001E288A">
        <w:rPr>
          <w:lang w:val="en-GB"/>
        </w:rPr>
        <w:t>janvier</w:t>
      </w:r>
      <w:proofErr w:type="spellEnd"/>
      <w:r w:rsidRPr="001E288A">
        <w:rPr>
          <w:lang w:val="en-GB"/>
        </w:rPr>
        <w:t xml:space="preserve"> 1956, </w:t>
      </w:r>
      <w:proofErr w:type="spellStart"/>
      <w:proofErr w:type="gramStart"/>
      <w:r w:rsidRPr="001E288A">
        <w:rPr>
          <w:lang w:val="en-GB"/>
        </w:rPr>
        <w:t>respectivement</w:t>
      </w:r>
      <w:proofErr w:type="spellEnd"/>
      <w:r w:rsidRPr="001E288A">
        <w:rPr>
          <w:lang w:val="en-GB"/>
        </w:rPr>
        <w: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34">
    <w:p w14:paraId="7C0EFE20" w14:textId="6B6BEA83" w:rsidR="00E667C0" w:rsidRPr="00781EA5" w:rsidRDefault="00E667C0">
      <w:pPr>
        <w:pStyle w:val="FootnoteText"/>
        <w:rPr>
          <w:lang w:val="en-GB"/>
        </w:rPr>
      </w:pPr>
      <w:r>
        <w:rPr>
          <w:rStyle w:val="FootnoteReference"/>
        </w:rPr>
        <w:footnoteRef/>
      </w:r>
      <w:r w:rsidRPr="00781EA5">
        <w:rPr>
          <w:lang w:val="en-GB"/>
        </w:rPr>
        <w:t xml:space="preserve"> </w:t>
      </w:r>
      <w:r w:rsidR="003A03BA">
        <w:rPr>
          <w:lang w:val="en-GB"/>
        </w:rPr>
        <w:t>« </w:t>
      </w:r>
      <w:r w:rsidR="00FC02AA">
        <w:rPr>
          <w:lang w:val="en-GB"/>
        </w:rPr>
        <w:t>E</w:t>
      </w:r>
      <w:r w:rsidR="003A03BA">
        <w:rPr>
          <w:lang w:val="en-GB"/>
        </w:rPr>
        <w:t>xcellent atmosphere »</w:t>
      </w:r>
      <w:r w:rsidRPr="00CA7081">
        <w:rPr>
          <w:lang w:val="en-GB"/>
        </w:rPr>
        <w:t xml:space="preserve"> </w:t>
      </w:r>
      <w:r w:rsidR="003A03BA">
        <w:rPr>
          <w:lang w:val="en-GB"/>
        </w:rPr>
        <w:t>[</w:t>
      </w:r>
      <w:r w:rsidRPr="00781EA5">
        <w:rPr>
          <w:lang w:val="en-GB"/>
        </w:rPr>
        <w:t xml:space="preserve">–, « A Guide to Current Films », </w:t>
      </w:r>
      <w:r w:rsidRPr="00781EA5">
        <w:rPr>
          <w:i/>
          <w:lang w:val="en-GB"/>
        </w:rPr>
        <w:t>Sight and Sound</w:t>
      </w:r>
      <w:r w:rsidRPr="00781EA5">
        <w:rPr>
          <w:lang w:val="en-GB"/>
        </w:rPr>
        <w:t xml:space="preserve">, </w:t>
      </w:r>
      <w:r w:rsidR="00E12B48">
        <w:rPr>
          <w:lang w:val="en-GB"/>
        </w:rPr>
        <w:t>vol.</w:t>
      </w:r>
      <w:r w:rsidRPr="00781EA5">
        <w:rPr>
          <w:lang w:val="en-GB"/>
        </w:rPr>
        <w:t xml:space="preserve"> </w:t>
      </w:r>
      <w:r w:rsidR="003A03BA">
        <w:rPr>
          <w:lang w:val="en-GB"/>
        </w:rPr>
        <w:t xml:space="preserve">26, </w:t>
      </w:r>
      <w:r w:rsidR="00837491">
        <w:rPr>
          <w:lang w:val="en-GB"/>
        </w:rPr>
        <w:t>n°</w:t>
      </w:r>
      <w:r w:rsidR="003A03BA">
        <w:rPr>
          <w:lang w:val="en-GB"/>
        </w:rPr>
        <w:t xml:space="preserve"> 2, </w:t>
      </w:r>
      <w:proofErr w:type="spellStart"/>
      <w:r w:rsidR="003A03BA">
        <w:rPr>
          <w:lang w:val="en-GB"/>
        </w:rPr>
        <w:t>automne</w:t>
      </w:r>
      <w:proofErr w:type="spellEnd"/>
      <w:r w:rsidR="003A03BA">
        <w:rPr>
          <w:lang w:val="en-GB"/>
        </w:rPr>
        <w:t xml:space="preserve"> 1956, p. 112].</w:t>
      </w:r>
    </w:p>
  </w:footnote>
  <w:footnote w:id="35">
    <w:p w14:paraId="3E7AD50B" w14:textId="67C1908E"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w:t>
      </w:r>
      <w:r w:rsidR="00FC02AA">
        <w:rPr>
          <w:lang w:val="en-GB"/>
        </w:rPr>
        <w:t>T</w:t>
      </w:r>
      <w:r w:rsidRPr="003F32E3">
        <w:rPr>
          <w:lang w:val="en-GB"/>
        </w:rPr>
        <w:t xml:space="preserve">he solid emotion and suspense </w:t>
      </w:r>
      <w:r>
        <w:rPr>
          <w:lang w:val="en-GB"/>
        </w:rPr>
        <w:t>»</w:t>
      </w:r>
      <w:r w:rsidR="0064154F">
        <w:rPr>
          <w:lang w:val="en-GB"/>
        </w:rPr>
        <w:t xml:space="preserve"> [</w:t>
      </w:r>
      <w:r w:rsidRPr="00781EA5">
        <w:rPr>
          <w:lang w:val="en-GB"/>
        </w:rPr>
        <w:t xml:space="preserve">Jack Moffitt, « Invasion of the Body Snatchers », </w:t>
      </w:r>
      <w:r w:rsidRPr="00781EA5">
        <w:rPr>
          <w:i/>
          <w:lang w:val="en-GB"/>
        </w:rPr>
        <w:t>The Hollywood Reporter</w:t>
      </w:r>
      <w:r w:rsidR="0064154F">
        <w:rPr>
          <w:lang w:val="en-GB"/>
        </w:rPr>
        <w:t xml:space="preserve">, 16 </w:t>
      </w:r>
      <w:proofErr w:type="spellStart"/>
      <w:r w:rsidR="0064154F">
        <w:rPr>
          <w:lang w:val="en-GB"/>
        </w:rPr>
        <w:t>février</w:t>
      </w:r>
      <w:proofErr w:type="spellEnd"/>
      <w:r w:rsidR="0064154F">
        <w:rPr>
          <w:lang w:val="en-GB"/>
        </w:rPr>
        <w:t xml:space="preserve"> 1956].</w:t>
      </w:r>
    </w:p>
  </w:footnote>
  <w:footnote w:id="36">
    <w:p w14:paraId="6178779C" w14:textId="5B9290A1" w:rsidR="00E667C0" w:rsidRPr="00781EA5" w:rsidRDefault="00E667C0">
      <w:pPr>
        <w:pStyle w:val="FootnoteText"/>
        <w:rPr>
          <w:lang w:val="en-GB"/>
        </w:rPr>
      </w:pPr>
      <w:r>
        <w:rPr>
          <w:rStyle w:val="FootnoteReference"/>
        </w:rPr>
        <w:footnoteRef/>
      </w:r>
      <w:r>
        <w:rPr>
          <w:lang w:val="en-GB"/>
        </w:rPr>
        <w:t xml:space="preserve"> </w:t>
      </w:r>
      <w:r w:rsidRPr="008C1EA7">
        <w:rPr>
          <w:lang w:val="en-GB"/>
        </w:rPr>
        <w:t>« </w:t>
      </w:r>
      <w:r w:rsidR="00FC02AA">
        <w:rPr>
          <w:lang w:val="en-GB"/>
        </w:rPr>
        <w:t>B</w:t>
      </w:r>
      <w:r w:rsidRPr="008C1EA7">
        <w:rPr>
          <w:lang w:val="en-GB"/>
        </w:rPr>
        <w:t>rillian</w:t>
      </w:r>
      <w:r w:rsidR="00A400FF">
        <w:rPr>
          <w:lang w:val="en-GB"/>
        </w:rPr>
        <w:t>t and unusual science shocker »</w:t>
      </w:r>
      <w:r w:rsidRPr="008C1EA7">
        <w:rPr>
          <w:lang w:val="en-GB"/>
        </w:rPr>
        <w:t xml:space="preserve"> </w:t>
      </w:r>
      <w:r w:rsidR="00A400FF">
        <w:rPr>
          <w:lang w:val="en-GB"/>
        </w:rPr>
        <w:t>[</w:t>
      </w:r>
      <w:r w:rsidRPr="00781EA5">
        <w:rPr>
          <w:lang w:val="en-GB"/>
        </w:rPr>
        <w:t xml:space="preserve"> F. J., « Invasion of the Body Snatchers », </w:t>
      </w:r>
      <w:r w:rsidRPr="00781EA5">
        <w:rPr>
          <w:i/>
          <w:lang w:val="en-GB"/>
        </w:rPr>
        <w:t>Daily Film Reviewer [London]</w:t>
      </w:r>
      <w:r w:rsidR="00A400FF">
        <w:rPr>
          <w:lang w:val="en-GB"/>
        </w:rPr>
        <w:t xml:space="preserve">, 23 </w:t>
      </w:r>
      <w:proofErr w:type="spellStart"/>
      <w:r w:rsidR="00A400FF">
        <w:rPr>
          <w:lang w:val="en-GB"/>
        </w:rPr>
        <w:t>août</w:t>
      </w:r>
      <w:proofErr w:type="spellEnd"/>
      <w:r w:rsidR="00A400FF">
        <w:rPr>
          <w:lang w:val="en-GB"/>
        </w:rPr>
        <w:t xml:space="preserve"> 1956].</w:t>
      </w:r>
    </w:p>
  </w:footnote>
  <w:footnote w:id="37">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38">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39">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40">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41">
    <w:p w14:paraId="7F36F225" w14:textId="350C4303" w:rsidR="00E667C0" w:rsidRPr="00DD3C95" w:rsidRDefault="00E667C0">
      <w:pPr>
        <w:pStyle w:val="FootnoteText"/>
        <w:rPr>
          <w:lang w:val="fr-CH"/>
        </w:rPr>
      </w:pPr>
      <w:r>
        <w:rPr>
          <w:rStyle w:val="FootnoteReference"/>
        </w:rPr>
        <w:footnoteRef/>
      </w:r>
      <w:r>
        <w:t xml:space="preserve"> </w:t>
      </w:r>
      <w:r w:rsidR="00773E6B">
        <w:t xml:space="preserve">Sortie </w:t>
      </w:r>
      <w:r w:rsidR="0010756D">
        <w:t xml:space="preserve">française </w:t>
      </w:r>
      <w:r w:rsidR="00773E6B">
        <w:t xml:space="preserve">différée </w:t>
      </w:r>
      <w:r w:rsidR="00773E6B">
        <w:rPr>
          <w:lang w:val="fr-CH"/>
        </w:rPr>
        <w:t>d</w:t>
      </w:r>
      <w:r>
        <w:rPr>
          <w:lang w:val="fr-CH"/>
        </w:rPr>
        <w:t>ont le détail sera discuté plus bas dans ce chapitre.</w:t>
      </w:r>
    </w:p>
  </w:footnote>
  <w:footnote w:id="42">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3">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4">
    <w:p w14:paraId="7263106A" w14:textId="70EE9487" w:rsidR="00E667C0" w:rsidRPr="00DD6C92"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45">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6">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7">
    <w:p w14:paraId="25AC74B5" w14:textId="0C34D8B1"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xml:space="preserve">« Remakes, for the most part, are a pain in the ass. At the bottom of every decision to produce (or reproduce) them lies money. Hollywood simply can’t allow success, a job well-done, to rest unmolested. As </w:t>
      </w:r>
      <w:proofErr w:type="gramStart"/>
      <w:r w:rsidRPr="00046E47">
        <w:rPr>
          <w:lang w:val="en-US"/>
        </w:rPr>
        <w:t>art</w:t>
      </w:r>
      <w:proofErr w:type="gramEnd"/>
      <w:r w:rsidRPr="00046E47">
        <w:rPr>
          <w:lang w:val="en-US"/>
        </w:rPr>
        <w:t xml:space="preserve">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00B70213">
        <w:rPr>
          <w:lang w:val="en-US"/>
        </w:rPr>
        <w:t xml:space="preserve"> film indeed »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w:t>
      </w:r>
      <w:r w:rsidR="00E12B48">
        <w:rPr>
          <w:lang w:val="en-US"/>
        </w:rPr>
        <w:t>vol.</w:t>
      </w:r>
      <w:r w:rsidRPr="00645A27">
        <w:rPr>
          <w:lang w:val="en-US"/>
        </w:rPr>
        <w:t xml:space="preserve"> </w:t>
      </w:r>
      <w:r>
        <w:rPr>
          <w:lang w:val="en-US"/>
        </w:rPr>
        <w:t xml:space="preserve">10, </w:t>
      </w:r>
      <w:r w:rsidR="00837491">
        <w:rPr>
          <w:lang w:val="en-US"/>
        </w:rPr>
        <w:t>n°</w:t>
      </w:r>
      <w:r>
        <w:rPr>
          <w:lang w:val="en-US"/>
        </w:rPr>
        <w:t xml:space="preserve"> 1, hiver 1979, p. 52</w:t>
      </w:r>
      <w:r w:rsidR="00B70213">
        <w:rPr>
          <w:lang w:val="en-US"/>
        </w:rPr>
        <w:t>]</w:t>
      </w:r>
      <w:r w:rsidRPr="00645A27">
        <w:rPr>
          <w:lang w:val="en-US"/>
        </w:rPr>
        <w:t>.</w:t>
      </w:r>
    </w:p>
  </w:footnote>
  <w:footnote w:id="48">
    <w:p w14:paraId="71A3B2BB" w14:textId="3D33F539"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t>
      </w:r>
      <w:r w:rsidR="00350DE1">
        <w:rPr>
          <w:lang w:val="en-GB"/>
        </w:rPr>
        <w:t>W</w:t>
      </w:r>
      <w:r w:rsidRPr="009B439F">
        <w:rPr>
          <w:lang w:val="en-GB"/>
        </w:rPr>
        <w:t>hy does it seem needless to say ‘needless to say</w:t>
      </w:r>
      <w:proofErr w:type="gramStart"/>
      <w:r w:rsidRPr="009B439F">
        <w:rPr>
          <w:lang w:val="en-GB"/>
        </w:rPr>
        <w:t>’ ?</w:t>
      </w:r>
      <w:proofErr w:type="gramEnd"/>
      <w:r w:rsidRPr="009B439F">
        <w:rPr>
          <w:lang w:val="en-GB"/>
        </w:rPr>
        <w:t> »</w:t>
      </w:r>
      <w:r w:rsidR="00451E4F">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00451E4F">
        <w:rPr>
          <w:lang w:val="en-US"/>
        </w:rPr>
        <w:t>, 1978].</w:t>
      </w:r>
    </w:p>
  </w:footnote>
  <w:footnote w:id="49">
    <w:p w14:paraId="4EA8E55A" w14:textId="45B8CCF5" w:rsidR="00E667C0" w:rsidRPr="00543328"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00543328">
        <w:rPr>
          <w:lang w:val="en-GB"/>
        </w:rPr>
        <w:t>[</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r w:rsidR="00543328">
        <w:rPr>
          <w:lang w:val="en-US"/>
        </w:rPr>
        <w:t>].</w:t>
      </w:r>
    </w:p>
  </w:footnote>
  <w:footnote w:id="50">
    <w:p w14:paraId="72E2E3C6" w14:textId="54265520"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w:t>
      </w:r>
      <w:r w:rsidR="00350DE1">
        <w:rPr>
          <w:lang w:val="en-GB"/>
        </w:rPr>
        <w:t>O</w:t>
      </w:r>
      <w:r w:rsidRPr="004911DA">
        <w:rPr>
          <w:lang w:val="en-GB"/>
        </w:rPr>
        <w:t xml:space="preserve">ne of the most intriguing adaptations for some time » </w:t>
      </w:r>
      <w:r w:rsidR="000D0781">
        <w:rPr>
          <w:lang w:val="en-GB"/>
        </w:rPr>
        <w:t>[</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r w:rsidR="009E01B4">
        <w:rPr>
          <w:lang w:val="en-US"/>
        </w:rPr>
        <w:t>]</w:t>
      </w:r>
      <w:r w:rsidRPr="00A00FD7">
        <w:rPr>
          <w:lang w:val="en-US"/>
        </w:rPr>
        <w:t>.</w:t>
      </w:r>
    </w:p>
  </w:footnote>
  <w:footnote w:id="51">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52">
    <w:p w14:paraId="6EE7B678" w14:textId="7D1515EA"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w:t>
      </w:r>
      <w:r w:rsidR="00B03CC9">
        <w:rPr>
          <w:lang w:val="en-GB"/>
        </w:rPr>
        <w:t>S</w:t>
      </w:r>
      <w:r w:rsidRPr="0038629F">
        <w:rPr>
          <w:lang w:val="en-GB"/>
        </w:rPr>
        <w:t xml:space="preserve">howy » </w:t>
      </w:r>
      <w:r w:rsidR="004E27F0">
        <w:rPr>
          <w:lang w:val="en-GB"/>
        </w:rPr>
        <w:t>[</w:t>
      </w:r>
      <w:r w:rsidRPr="00781EA5">
        <w:rPr>
          <w:lang w:val="en-GB"/>
        </w:rPr>
        <w:t>Janet Maslin, « Screen: ‘Body Snatchers’ Return in All Their Creepy Glory », The N</w:t>
      </w:r>
      <w:r w:rsidR="004E27F0">
        <w:rPr>
          <w:lang w:val="en-GB"/>
        </w:rPr>
        <w:t xml:space="preserve">ew York Times, 22 </w:t>
      </w:r>
      <w:proofErr w:type="spellStart"/>
      <w:r w:rsidR="004E27F0">
        <w:rPr>
          <w:lang w:val="en-GB"/>
        </w:rPr>
        <w:t>décembre</w:t>
      </w:r>
      <w:proofErr w:type="spellEnd"/>
      <w:r w:rsidR="004E27F0">
        <w:rPr>
          <w:lang w:val="en-GB"/>
        </w:rPr>
        <w:t xml:space="preserve"> 1978].</w:t>
      </w:r>
    </w:p>
  </w:footnote>
  <w:footnote w:id="53">
    <w:p w14:paraId="250C0DD9" w14:textId="102DC736" w:rsidR="00E667C0" w:rsidRPr="00272EE9" w:rsidRDefault="00E667C0">
      <w:pPr>
        <w:pStyle w:val="FootnoteText"/>
        <w:rPr>
          <w:lang w:val="en-GB"/>
        </w:rPr>
      </w:pPr>
      <w:r>
        <w:rPr>
          <w:rStyle w:val="FootnoteReference"/>
        </w:rPr>
        <w:footnoteRef/>
      </w:r>
      <w:r w:rsidRPr="0038629F">
        <w:rPr>
          <w:lang w:val="en-GB"/>
        </w:rPr>
        <w:t xml:space="preserve"> </w:t>
      </w:r>
      <w:r w:rsidRPr="0058392D">
        <w:rPr>
          <w:lang w:val="en-GB"/>
        </w:rPr>
        <w:t>« </w:t>
      </w:r>
      <w:r w:rsidR="00B03CC9">
        <w:rPr>
          <w:lang w:val="en-GB"/>
        </w:rPr>
        <w:t>S</w:t>
      </w:r>
      <w:r w:rsidR="00272EE9">
        <w:rPr>
          <w:lang w:val="en-GB"/>
        </w:rPr>
        <w:t>wift, compact and efficient » [</w:t>
      </w:r>
      <w:r w:rsidRPr="0038629F">
        <w:rPr>
          <w:lang w:val="en-GB"/>
        </w:rPr>
        <w:t xml:space="preserve">David </w:t>
      </w:r>
      <w:proofErr w:type="spellStart"/>
      <w:r w:rsidRPr="0038629F">
        <w:rPr>
          <w:lang w:val="en-GB"/>
        </w:rPr>
        <w:t>Kehr</w:t>
      </w:r>
      <w:proofErr w:type="spellEnd"/>
      <w:r w:rsidRPr="0038629F">
        <w:rPr>
          <w:lang w:val="en-GB"/>
        </w:rPr>
        <w:t xml:space="preserve">, </w:t>
      </w:r>
      <w:r w:rsidRPr="0038629F">
        <w:rPr>
          <w:i/>
          <w:lang w:val="en-GB"/>
        </w:rPr>
        <w:t>op. cit.</w:t>
      </w:r>
      <w:r w:rsidR="00272EE9">
        <w:rPr>
          <w:lang w:val="en-GB"/>
        </w:rPr>
        <w:t>].</w:t>
      </w:r>
    </w:p>
  </w:footnote>
  <w:footnote w:id="54">
    <w:p w14:paraId="0221DD52" w14:textId="553AFA10" w:rsidR="00E667C0" w:rsidRPr="00F2160E" w:rsidRDefault="00E667C0">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55">
    <w:p w14:paraId="33565727" w14:textId="0106C39C"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w:t>
      </w:r>
      <w:r w:rsidR="00B03CC9">
        <w:rPr>
          <w:lang w:val="en-GB"/>
        </w:rPr>
        <w:t>A</w:t>
      </w:r>
      <w:r w:rsidRPr="00E1634D">
        <w:rPr>
          <w:lang w:val="en-GB"/>
        </w:rPr>
        <w:t xml:space="preserve">s sheer moviemaking, is it skilled and knowing, and deserves the highest praise you can give a horror </w:t>
      </w:r>
      <w:proofErr w:type="gramStart"/>
      <w:r w:rsidRPr="00E1634D">
        <w:rPr>
          <w:lang w:val="en-GB"/>
        </w:rPr>
        <w:t>film :</w:t>
      </w:r>
      <w:proofErr w:type="gramEnd"/>
      <w:r w:rsidRPr="00E1634D">
        <w:rPr>
          <w:lang w:val="en-GB"/>
        </w:rPr>
        <w:t xml:space="preserve"> It works ! »</w:t>
      </w:r>
      <w:r>
        <w:rPr>
          <w:lang w:val="en-GB"/>
        </w:rPr>
        <w:t xml:space="preserve"> </w:t>
      </w:r>
      <w:r w:rsidR="002666D4">
        <w:rPr>
          <w:lang w:val="en-GB"/>
        </w:rPr>
        <w:t>[</w:t>
      </w:r>
      <w:r w:rsidRPr="00663724">
        <w:rPr>
          <w:szCs w:val="20"/>
          <w:lang w:val="en-US"/>
        </w:rPr>
        <w:t xml:space="preserve">Roger Ebert, « Body Snatchers », </w:t>
      </w:r>
      <w:r w:rsidRPr="00663724">
        <w:rPr>
          <w:i/>
          <w:szCs w:val="20"/>
          <w:lang w:val="en-US"/>
        </w:rPr>
        <w:t>Chicago Sun-Times</w:t>
      </w:r>
      <w:r w:rsidR="002666D4">
        <w:rPr>
          <w:szCs w:val="20"/>
          <w:lang w:val="en-US"/>
        </w:rPr>
        <w:t xml:space="preserve">, 25 </w:t>
      </w:r>
      <w:proofErr w:type="spellStart"/>
      <w:r w:rsidR="002666D4">
        <w:rPr>
          <w:szCs w:val="20"/>
          <w:lang w:val="en-US"/>
        </w:rPr>
        <w:t>février</w:t>
      </w:r>
      <w:proofErr w:type="spellEnd"/>
      <w:r w:rsidR="002666D4">
        <w:rPr>
          <w:szCs w:val="20"/>
          <w:lang w:val="en-US"/>
        </w:rPr>
        <w:t xml:space="preserve"> 1994].</w:t>
      </w:r>
    </w:p>
  </w:footnote>
  <w:footnote w:id="56">
    <w:p w14:paraId="1903778C" w14:textId="1B800193"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w:t>
      </w:r>
      <w:r w:rsidR="00B03CC9">
        <w:rPr>
          <w:lang w:val="en-GB"/>
        </w:rPr>
        <w:t>B</w:t>
      </w:r>
      <w:r w:rsidRPr="008A6AEB">
        <w:rPr>
          <w:lang w:val="en-GB"/>
        </w:rPr>
        <w:t xml:space="preserve">y </w:t>
      </w:r>
      <w:r w:rsidR="00AF3D47">
        <w:rPr>
          <w:lang w:val="en-GB"/>
        </w:rPr>
        <w:t>far the best [of the series] » [</w:t>
      </w:r>
      <w:r w:rsidRPr="00663724">
        <w:rPr>
          <w:szCs w:val="20"/>
          <w:lang w:val="en-US"/>
        </w:rPr>
        <w:t xml:space="preserve">Roger Ebert, « The Invasion », </w:t>
      </w:r>
      <w:r w:rsidRPr="00663724">
        <w:rPr>
          <w:i/>
          <w:szCs w:val="20"/>
          <w:lang w:val="en-US"/>
        </w:rPr>
        <w:t>Chicago Sun-Times</w:t>
      </w:r>
      <w:r w:rsidR="00AF3D47">
        <w:rPr>
          <w:szCs w:val="20"/>
          <w:lang w:val="en-US"/>
        </w:rPr>
        <w:t xml:space="preserve">, 16 </w:t>
      </w:r>
      <w:proofErr w:type="spellStart"/>
      <w:r w:rsidR="00AF3D47">
        <w:rPr>
          <w:szCs w:val="20"/>
          <w:lang w:val="en-US"/>
        </w:rPr>
        <w:t>août</w:t>
      </w:r>
      <w:proofErr w:type="spellEnd"/>
      <w:r w:rsidR="00AF3D47">
        <w:rPr>
          <w:szCs w:val="20"/>
          <w:lang w:val="en-US"/>
        </w:rPr>
        <w:t xml:space="preserve"> 2007].</w:t>
      </w:r>
    </w:p>
  </w:footnote>
  <w:footnote w:id="57">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8">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59">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60">
    <w:p w14:paraId="0C3F6C1E" w14:textId="78BF40B7"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w:t>
      </w:r>
      <w:r w:rsidR="00B03CC9">
        <w:rPr>
          <w:sz w:val="20"/>
          <w:szCs w:val="20"/>
          <w:lang w:val="en-GB"/>
        </w:rPr>
        <w:t>H</w:t>
      </w:r>
      <w:r w:rsidRPr="0059698F">
        <w:rPr>
          <w:sz w:val="20"/>
          <w:szCs w:val="20"/>
          <w:lang w:val="en-GB"/>
        </w:rPr>
        <w:t xml:space="preserve">ollow » </w:t>
      </w:r>
      <w:r w:rsidR="0023791A">
        <w:rPr>
          <w:sz w:val="20"/>
          <w:szCs w:val="20"/>
          <w:lang w:val="en-GB"/>
        </w:rPr>
        <w:t>[</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r w:rsidR="0023791A">
        <w:rPr>
          <w:sz w:val="20"/>
          <w:szCs w:val="20"/>
          <w:lang w:val="en-US"/>
        </w:rPr>
        <w:t>]</w:t>
      </w:r>
      <w:r w:rsidRPr="00663724">
        <w:rPr>
          <w:sz w:val="20"/>
          <w:szCs w:val="20"/>
          <w:lang w:val="en-US"/>
        </w:rPr>
        <w:t>.</w:t>
      </w:r>
    </w:p>
  </w:footnote>
  <w:footnote w:id="61">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2">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3">
    <w:p w14:paraId="2CAA1CD5" w14:textId="0B3AC622" w:rsidR="00E667C0" w:rsidRPr="007E60F5" w:rsidRDefault="00E667C0">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64">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5">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6">
    <w:p w14:paraId="06998613" w14:textId="074F07E0"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w:t>
      </w:r>
      <w:r w:rsidR="00A55F2C">
        <w:rPr>
          <w:lang w:val="en-GB"/>
        </w:rPr>
        <w:t>T</w:t>
      </w:r>
      <w:r w:rsidRPr="006D6FD9">
        <w:rPr>
          <w:lang w:val="en-GB"/>
        </w:rPr>
        <w:t>wo ve</w:t>
      </w:r>
      <w:r w:rsidR="00F005C9">
        <w:rPr>
          <w:lang w:val="en-GB"/>
        </w:rPr>
        <w:t>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00F005C9">
        <w:rPr>
          <w:lang w:val="en-US"/>
        </w:rPr>
        <w:t xml:space="preserve">, 17 </w:t>
      </w:r>
      <w:proofErr w:type="spellStart"/>
      <w:r w:rsidR="00F005C9">
        <w:rPr>
          <w:lang w:val="en-US"/>
        </w:rPr>
        <w:t>août</w:t>
      </w:r>
      <w:proofErr w:type="spellEnd"/>
      <w:r w:rsidR="00F005C9">
        <w:rPr>
          <w:lang w:val="en-US"/>
        </w:rPr>
        <w:t xml:space="preserve"> 2007].</w:t>
      </w:r>
    </w:p>
  </w:footnote>
  <w:footnote w:id="67">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8">
    <w:p w14:paraId="2A805F4B" w14:textId="265D1A9A"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w:t>
      </w:r>
      <w:r w:rsidR="00A55F2C">
        <w:rPr>
          <w:lang w:val="en-GB"/>
        </w:rPr>
        <w:t>L</w:t>
      </w:r>
      <w:r w:rsidRPr="00AF3345">
        <w:rPr>
          <w:lang w:val="en-GB"/>
        </w:rPr>
        <w:t>ooks li</w:t>
      </w:r>
      <w:r w:rsidR="00C56ECA">
        <w:rPr>
          <w:lang w:val="en-GB"/>
        </w:rPr>
        <w:t>ke the work of […] pod people »</w:t>
      </w:r>
      <w:r w:rsidRPr="00AF3345">
        <w:rPr>
          <w:lang w:val="en-GB"/>
        </w:rPr>
        <w:t xml:space="preserve"> </w:t>
      </w:r>
      <w:r w:rsidR="00C56ECA">
        <w:rPr>
          <w:lang w:val="en-GB"/>
        </w:rPr>
        <w:t>[</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r w:rsidR="00C56ECA">
        <w:rPr>
          <w:lang w:val="en-US"/>
        </w:rPr>
        <w:t>]</w:t>
      </w:r>
      <w:r w:rsidRPr="00CE51D3">
        <w:rPr>
          <w:lang w:val="en-US"/>
        </w:rPr>
        <w:t>.</w:t>
      </w:r>
    </w:p>
  </w:footnote>
  <w:footnote w:id="69">
    <w:p w14:paraId="1DB98D1B" w14:textId="6638559B" w:rsidR="00E667C0" w:rsidRPr="00E748E4" w:rsidRDefault="00E667C0">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2).</w:t>
      </w:r>
    </w:p>
  </w:footnote>
  <w:footnote w:id="70">
    <w:p w14:paraId="227D8C42" w14:textId="3DC98EC5"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 Then out of the sky came a solution. Seeds, drifting through space for years, took root in a farmer’s field. From the seeds came pods which have the power to reproduce themselves in the exact l</w:t>
      </w:r>
      <w:r w:rsidR="00A90841">
        <w:rPr>
          <w:lang w:val="en-GB"/>
        </w:rPr>
        <w:t>ikeness of any form of life. » [</w:t>
      </w:r>
      <w:r w:rsidRPr="00BA291F">
        <w:rPr>
          <w:szCs w:val="20"/>
          <w:lang w:val="en-GB"/>
        </w:rPr>
        <w:t>Al LaValley (</w:t>
      </w:r>
      <w:proofErr w:type="spellStart"/>
      <w:r w:rsidRPr="00BA291F">
        <w:rPr>
          <w:szCs w:val="20"/>
          <w:lang w:val="en-GB"/>
        </w:rPr>
        <w:t>éd</w:t>
      </w:r>
      <w:proofErr w:type="spellEnd"/>
      <w:r w:rsidRPr="00BA291F">
        <w:rPr>
          <w:szCs w:val="20"/>
          <w:lang w:val="en-GB"/>
        </w:rPr>
        <w:t xml:space="preserve">.), </w:t>
      </w:r>
      <w:r w:rsidRPr="00BA291F">
        <w:rPr>
          <w:i/>
          <w:szCs w:val="20"/>
          <w:lang w:val="en-GB"/>
        </w:rPr>
        <w:t>op. cit.</w:t>
      </w:r>
      <w:r w:rsidR="00A90841">
        <w:rPr>
          <w:szCs w:val="20"/>
          <w:lang w:val="en-GB"/>
        </w:rPr>
        <w:t>, p. 87].</w:t>
      </w:r>
    </w:p>
  </w:footnote>
  <w:footnote w:id="71">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proofErr w:type="spellStart"/>
      <w:r>
        <w:rPr>
          <w:lang w:val="en-US"/>
        </w:rPr>
        <w:t>Voir</w:t>
      </w:r>
      <w:proofErr w:type="spellEnd"/>
      <w:r>
        <w:rPr>
          <w:lang w:val="en-US"/>
        </w:rPr>
        <w:t xml:space="preserve"> </w:t>
      </w:r>
      <w:r w:rsidRPr="00BA291F">
        <w:rPr>
          <w:lang w:val="en-US"/>
        </w:rPr>
        <w:t>J. P.</w:t>
      </w:r>
      <w:r>
        <w:rPr>
          <w:lang w:val="en-US"/>
        </w:rPr>
        <w:t xml:space="preserve"> Telotte</w:t>
      </w:r>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2">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t>
      </w:r>
      <w:proofErr w:type="gramStart"/>
      <w:r w:rsidRPr="004D5066">
        <w:rPr>
          <w:lang w:val="en-GB"/>
        </w:rPr>
        <w:t>world !</w:t>
      </w:r>
      <w:proofErr w:type="gramEnd"/>
      <w:r w:rsidRPr="004D5066">
        <w:rPr>
          <w:lang w:val="en-GB"/>
        </w:rPr>
        <w:t xml:space="preserve"> ». </w:t>
      </w:r>
      <w:r w:rsidRPr="004D5066">
        <w:rPr>
          <w:lang w:val="fr-CH"/>
        </w:rPr>
        <w:t xml:space="preserve">Affiche one </w:t>
      </w:r>
      <w:proofErr w:type="spellStart"/>
      <w:r w:rsidRPr="004D5066">
        <w:rPr>
          <w:lang w:val="fr-CH"/>
        </w:rPr>
        <w:t>sheet</w:t>
      </w:r>
      <w:proofErr w:type="spellEnd"/>
      <w:r w:rsidRPr="004D5066">
        <w:rPr>
          <w:lang w:val="fr-CH"/>
        </w:rPr>
        <w:t xml:space="preserve"> du film. Voir figure 1</w:t>
      </w:r>
      <w:r>
        <w:rPr>
          <w:lang w:val="fr-CH"/>
        </w:rPr>
        <w:t>.</w:t>
      </w:r>
    </w:p>
  </w:footnote>
  <w:footnote w:id="73">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t>
      </w:r>
      <w:proofErr w:type="gramStart"/>
      <w:r w:rsidRPr="00573C9E">
        <w:rPr>
          <w:lang w:val="en-GB"/>
        </w:rPr>
        <w:t>world !</w:t>
      </w:r>
      <w:proofErr w:type="gramEnd"/>
      <w:r w:rsidRPr="00573C9E">
        <w:rPr>
          <w:lang w:val="en-GB"/>
        </w:rPr>
        <w:t xml:space="preserve"> ».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74">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Walter Wagner creates the ultimate in science-</w:t>
      </w:r>
      <w:proofErr w:type="gramStart"/>
      <w:r w:rsidRPr="00573C9E">
        <w:rPr>
          <w:lang w:val="en-GB"/>
        </w:rPr>
        <w:t>fiction !</w:t>
      </w:r>
      <w:proofErr w:type="gramEnd"/>
      <w:r w:rsidRPr="00573C9E">
        <w:rPr>
          <w:lang w:val="en-GB"/>
        </w:rPr>
        <w:t xml:space="preserve"> </w:t>
      </w:r>
      <w:r w:rsidRPr="00EB47EC">
        <w:rPr>
          <w:lang w:val="en-GB"/>
        </w:rPr>
        <w:t xml:space="preserve">». </w:t>
      </w:r>
      <w:r w:rsidRPr="00EB47EC">
        <w:rPr>
          <w:i/>
          <w:lang w:val="fr-CH"/>
        </w:rPr>
        <w:t>Poster</w:t>
      </w:r>
      <w:r w:rsidRPr="00EB47EC">
        <w:rPr>
          <w:lang w:val="fr-CH"/>
        </w:rPr>
        <w:t xml:space="preserve"> du film. Voir figure 2.</w:t>
      </w:r>
    </w:p>
  </w:footnote>
  <w:footnote w:id="75">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500738">
        <w:rPr>
          <w:i/>
          <w:lang w:val="fr-CH"/>
        </w:rPr>
        <w:t>Horror</w:t>
      </w:r>
      <w:proofErr w:type="spellEnd"/>
      <w:r w:rsidRPr="00500738">
        <w:rPr>
          <w:lang w:val="fr-CH"/>
        </w:rPr>
        <w:t xml:space="preserve"> </w:t>
      </w:r>
      <w:proofErr w:type="spellStart"/>
      <w:r w:rsidRPr="00500738">
        <w:rPr>
          <w:lang w:val="fr-CH"/>
        </w:rPr>
        <w:t>Classic</w:t>
      </w:r>
      <w:proofErr w:type="spellEnd"/>
      <w:r w:rsidRPr="00500738">
        <w:rPr>
          <w:lang w:val="fr-CH"/>
        </w:rPr>
        <w:t> ». Voir figure 3.</w:t>
      </w:r>
    </w:p>
  </w:footnote>
  <w:footnote w:id="76">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7">
    <w:p w14:paraId="374DFCF9" w14:textId="5C16A8D5" w:rsidR="00E667C0" w:rsidRPr="00C32B00" w:rsidRDefault="00E667C0">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78">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79">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0">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1">
    <w:p w14:paraId="3EA4E472" w14:textId="67EE2286"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w:t>
      </w:r>
      <w:r w:rsidR="00610458">
        <w:rPr>
          <w:lang w:val="en-GB"/>
        </w:rPr>
        <w:t>B</w:t>
      </w:r>
      <w:r w:rsidRPr="00C34898">
        <w:rPr>
          <w:lang w:val="en-GB"/>
        </w:rPr>
        <w:t>efuddled by a film that did not clearly fit into science fiction or horror genre formats »</w:t>
      </w:r>
      <w:r>
        <w:rPr>
          <w:lang w:val="en-GB"/>
        </w:rPr>
        <w:t xml:space="preserve"> </w:t>
      </w:r>
      <w:r w:rsidR="00F15C55">
        <w:rPr>
          <w:lang w:val="en-GB"/>
        </w:rPr>
        <w:t>[</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sidR="00F15C55">
        <w:rPr>
          <w:szCs w:val="20"/>
          <w:lang w:val="en-US"/>
        </w:rPr>
        <w:t>, p. 4].</w:t>
      </w:r>
    </w:p>
  </w:footnote>
  <w:footnote w:id="82">
    <w:p w14:paraId="1646B1DE" w14:textId="20EE19F3" w:rsidR="00E667C0" w:rsidRPr="008540F1" w:rsidRDefault="00E667C0">
      <w:pPr>
        <w:pStyle w:val="FootnoteText"/>
        <w:rPr>
          <w:lang w:val="en-GB"/>
        </w:rPr>
      </w:pPr>
      <w:r>
        <w:rPr>
          <w:rStyle w:val="FootnoteReference"/>
        </w:rPr>
        <w:footnoteRef/>
      </w:r>
      <w:r w:rsidRPr="008540F1">
        <w:rPr>
          <w:lang w:val="en-GB"/>
        </w:rPr>
        <w:t xml:space="preserve"> </w:t>
      </w:r>
      <w:r w:rsidR="00880A30">
        <w:rPr>
          <w:lang w:val="en-GB"/>
        </w:rPr>
        <w:t>« </w:t>
      </w:r>
      <w:r w:rsidR="00610458">
        <w:rPr>
          <w:lang w:val="en-GB"/>
        </w:rPr>
        <w:t>H</w:t>
      </w:r>
      <w:r w:rsidR="00880A30">
        <w:rPr>
          <w:lang w:val="en-GB"/>
        </w:rPr>
        <w:t>ighly unstable text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r w:rsidR="00880A30">
        <w:rPr>
          <w:szCs w:val="20"/>
          <w:lang w:val="en-US"/>
        </w:rPr>
        <w:t>]</w:t>
      </w:r>
      <w:r>
        <w:rPr>
          <w:szCs w:val="20"/>
          <w:lang w:val="en-US"/>
        </w:rPr>
        <w:t>.</w:t>
      </w:r>
    </w:p>
  </w:footnote>
  <w:footnote w:id="83">
    <w:p w14:paraId="5A93894C" w14:textId="63AD1AB6"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w:t>
      </w:r>
      <w:r w:rsidR="0063391C">
        <w:rPr>
          <w:szCs w:val="20"/>
          <w:lang w:val="fr-CH"/>
        </w:rPr>
        <w:t>n’était</w:t>
      </w:r>
      <w:r w:rsidRPr="00273D4F">
        <w:rPr>
          <w:szCs w:val="20"/>
          <w:lang w:val="fr-CH"/>
        </w:rPr>
        <w:t xml:space="preserve"> pas encore </w:t>
      </w:r>
      <w:proofErr w:type="spellStart"/>
      <w:r w:rsidR="00EC3159" w:rsidRPr="00273D4F">
        <w:rPr>
          <w:szCs w:val="20"/>
          <w:lang w:val="fr-CH"/>
        </w:rPr>
        <w:t>pr</w:t>
      </w:r>
      <w:r w:rsidR="00EC3159">
        <w:rPr>
          <w:szCs w:val="20"/>
          <w:lang w:val="fr-CH"/>
        </w:rPr>
        <w:t>é</w:t>
      </w:r>
      <w:r w:rsidR="00EC3159" w:rsidRPr="00273D4F">
        <w:rPr>
          <w:szCs w:val="20"/>
          <w:lang w:val="fr-CH"/>
        </w:rPr>
        <w:t>valant</w:t>
      </w:r>
      <w:r w:rsidR="00EC3159">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4">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85">
    <w:p w14:paraId="21BEDF0B" w14:textId="74B525C8"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w:t>
      </w:r>
      <w:r w:rsidR="00B648F4">
        <w:rPr>
          <w:lang w:val="en-GB"/>
        </w:rPr>
        <w:t>and originality of each work. »</w:t>
      </w:r>
      <w:r w:rsidRPr="00352CFA">
        <w:rPr>
          <w:lang w:val="en-GB"/>
        </w:rPr>
        <w:t xml:space="preserve"> </w:t>
      </w:r>
      <w:r w:rsidR="00B648F4" w:rsidRPr="00E17CB8">
        <w:rPr>
          <w:lang w:val="fr-CH"/>
        </w:rPr>
        <w:t>[</w:t>
      </w:r>
      <w:r w:rsidRPr="00F2160E">
        <w:rPr>
          <w:lang w:val="fr-CH"/>
        </w:rPr>
        <w:t xml:space="preserve">Kathleen Loock, </w:t>
      </w:r>
      <w:r w:rsidRPr="00F2160E">
        <w:rPr>
          <w:i/>
          <w:lang w:val="fr-CH"/>
        </w:rPr>
        <w:t>ibid</w:t>
      </w:r>
      <w:r w:rsidRPr="00F2160E">
        <w:rPr>
          <w:lang w:val="fr-CH"/>
        </w:rPr>
        <w:t>.</w:t>
      </w:r>
      <w:r w:rsidR="00B648F4">
        <w:rPr>
          <w:lang w:val="fr-CH"/>
        </w:rPr>
        <w:t>].</w:t>
      </w:r>
    </w:p>
  </w:footnote>
  <w:footnote w:id="86">
    <w:p w14:paraId="093BAA1D" w14:textId="460FA9FC" w:rsidR="00E667C0" w:rsidRPr="0039669B" w:rsidRDefault="00E667C0">
      <w:pPr>
        <w:pStyle w:val="FootnoteText"/>
        <w:rPr>
          <w:lang w:val="fr-CH"/>
        </w:rPr>
      </w:pPr>
      <w:r>
        <w:rPr>
          <w:rStyle w:val="FootnoteReference"/>
        </w:rPr>
        <w:footnoteRef/>
      </w:r>
      <w:r>
        <w:t xml:space="preserve"> </w:t>
      </w:r>
      <w:r w:rsidR="00394902">
        <w:t>Analyse effectuée en</w:t>
      </w:r>
      <w:r>
        <w:rPr>
          <w:lang w:val="fr-CH"/>
        </w:rPr>
        <w:t xml:space="preserve"> se basant </w:t>
      </w:r>
      <w:r w:rsidR="00394902">
        <w:rPr>
          <w:lang w:val="fr-CH"/>
        </w:rPr>
        <w:t xml:space="preserve">sur </w:t>
      </w:r>
      <w:r>
        <w:rPr>
          <w:lang w:val="fr-CH"/>
        </w:rPr>
        <w:t>des textes critiques et ou académiques concernant les 4 films.</w:t>
      </w:r>
    </w:p>
  </w:footnote>
  <w:footnote w:id="87">
    <w:p w14:paraId="4599E83D" w14:textId="227AEA7A" w:rsidR="00E667C0" w:rsidRPr="00572515" w:rsidRDefault="00E667C0">
      <w:pPr>
        <w:pStyle w:val="FootnoteText"/>
        <w:rPr>
          <w:lang w:val="fr-CH"/>
        </w:rPr>
      </w:pPr>
      <w:r>
        <w:rPr>
          <w:rStyle w:val="FootnoteReference"/>
        </w:rPr>
        <w:footnoteRef/>
      </w:r>
      <w:r>
        <w:t xml:space="preserve"> </w:t>
      </w:r>
      <w:r w:rsidR="0083237E">
        <w:rPr>
          <w:lang w:val="fr-CH"/>
        </w:rPr>
        <w:t>Problématique centrale</w:t>
      </w:r>
      <w:r>
        <w:rPr>
          <w:lang w:val="fr-CH"/>
        </w:rPr>
        <w:t xml:space="preserve"> </w:t>
      </w:r>
      <w:r w:rsidR="0083237E">
        <w:rPr>
          <w:lang w:val="fr-CH"/>
        </w:rPr>
        <w:t>d’un</w:t>
      </w:r>
      <w:r>
        <w:rPr>
          <w:lang w:val="fr-CH"/>
        </w:rPr>
        <w:t xml:space="preserve"> nombre important des critiques contemporaines de chacun des 3 remakes.</w:t>
      </w:r>
    </w:p>
  </w:footnote>
  <w:footnote w:id="88">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Raymond Durgnat, cité par Henry K. Miller (éd.), </w:t>
      </w:r>
      <w:r w:rsidRPr="00BA291F">
        <w:rPr>
          <w:i/>
          <w:lang w:val="fr-CH"/>
        </w:rPr>
        <w:t>The Essential Raymond Durgnat</w:t>
      </w:r>
      <w:r w:rsidRPr="00BA291F">
        <w:rPr>
          <w:lang w:val="fr-CH"/>
        </w:rPr>
        <w:t>, London, BFI/</w:t>
      </w:r>
      <w:proofErr w:type="spellStart"/>
      <w:r w:rsidRPr="00BA291F">
        <w:rPr>
          <w:lang w:val="fr-CH"/>
        </w:rPr>
        <w:t>Palgrave</w:t>
      </w:r>
      <w:proofErr w:type="spellEnd"/>
      <w:r w:rsidRPr="00BA291F">
        <w:rPr>
          <w:lang w:val="fr-CH"/>
        </w:rPr>
        <w:t xml:space="preserve"> </w:t>
      </w:r>
      <w:proofErr w:type="spellStart"/>
      <w:r w:rsidRPr="00BA291F">
        <w:rPr>
          <w:lang w:val="fr-CH"/>
        </w:rPr>
        <w:t>MacMillan</w:t>
      </w:r>
      <w:proofErr w:type="spellEnd"/>
      <w:r w:rsidRPr="00BA291F">
        <w:rPr>
          <w:lang w:val="fr-CH"/>
        </w:rPr>
        <w:t>, 2014, p. 3</w:t>
      </w:r>
    </w:p>
  </w:footnote>
  <w:footnote w:id="89">
    <w:p w14:paraId="05656A6D" w14:textId="759A7B7A" w:rsidR="00E8558E" w:rsidRPr="009764A2" w:rsidRDefault="00E8558E">
      <w:pPr>
        <w:pStyle w:val="FootnoteText"/>
      </w:pPr>
      <w:r w:rsidRPr="00C70BEF">
        <w:rPr>
          <w:rStyle w:val="FootnoteReference"/>
        </w:rPr>
        <w:footnoteRef/>
      </w:r>
      <w:r w:rsidRPr="00C70BEF">
        <w:t xml:space="preserve"> </w:t>
      </w:r>
      <w:r w:rsidR="009764A2" w:rsidRPr="00C70BEF">
        <w:t xml:space="preserve">Voir </w:t>
      </w:r>
      <w:r w:rsidR="00C87474" w:rsidRPr="00C70BEF">
        <w:t xml:space="preserve">Jean </w:t>
      </w:r>
      <w:proofErr w:type="spellStart"/>
      <w:r w:rsidR="00C87474" w:rsidRPr="00C70BEF">
        <w:t>Narboni</w:t>
      </w:r>
      <w:proofErr w:type="spellEnd"/>
      <w:r w:rsidR="00C87474" w:rsidRPr="00C70BEF">
        <w:t xml:space="preserve"> (éd.)</w:t>
      </w:r>
      <w:r w:rsidR="005D04C7" w:rsidRPr="00C70BEF">
        <w:t xml:space="preserve">, </w:t>
      </w:r>
      <w:r w:rsidR="009764A2" w:rsidRPr="00C70BEF">
        <w:rPr>
          <w:i/>
        </w:rPr>
        <w:t>La politique des auteurs : Les entretiens</w:t>
      </w:r>
      <w:r w:rsidR="009764A2" w:rsidRPr="00C70BEF">
        <w:t xml:space="preserve">, Paris, Cahiers du Cinéma, </w:t>
      </w:r>
      <w:r w:rsidR="00634FA4" w:rsidRPr="00C70BEF">
        <w:t>2001</w:t>
      </w:r>
      <w:r w:rsidR="00486602" w:rsidRPr="00C70BEF">
        <w:t xml:space="preserve"> [</w:t>
      </w:r>
      <w:r w:rsidR="00F75476" w:rsidRPr="00396B2D">
        <w:t>1972</w:t>
      </w:r>
      <w:r w:rsidR="00486602" w:rsidRPr="00396B2D">
        <w:t>]</w:t>
      </w:r>
      <w:r w:rsidR="005626BA" w:rsidRPr="00396B2D">
        <w:t>.</w:t>
      </w:r>
    </w:p>
  </w:footnote>
  <w:footnote w:id="90">
    <w:p w14:paraId="1B84F0EC" w14:textId="7C767D98" w:rsidR="00E667C0" w:rsidRPr="003812EF"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91">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92">
    <w:p w14:paraId="4A0BB0BB" w14:textId="1B587808" w:rsidR="00E667C0" w:rsidRPr="003309E8" w:rsidRDefault="00E667C0">
      <w:pPr>
        <w:pStyle w:val="FootnoteText"/>
        <w:rPr>
          <w:lang w:val="en-US"/>
        </w:rPr>
      </w:pPr>
      <w:r>
        <w:rPr>
          <w:rStyle w:val="FootnoteReference"/>
        </w:rPr>
        <w:footnoteRef/>
      </w:r>
      <w:r w:rsidRPr="001D2C04">
        <w:rPr>
          <w:lang w:val="en-GB"/>
        </w:rPr>
        <w:t xml:space="preserve"> </w:t>
      </w:r>
      <w:proofErr w:type="spellStart"/>
      <w:r w:rsidRPr="001D2C04">
        <w:rPr>
          <w:lang w:val="en-GB"/>
        </w:rPr>
        <w:t>Voir</w:t>
      </w:r>
      <w:proofErr w:type="spellEnd"/>
      <w:r w:rsidRPr="001D2C04">
        <w:rPr>
          <w:lang w:val="en-GB"/>
        </w:rPr>
        <w:t xml:space="preserve"> Theodore</w:t>
      </w:r>
      <w:r>
        <w:rPr>
          <w:lang w:val="en-GB"/>
        </w:rPr>
        <w:t xml:space="preserve"> </w:t>
      </w:r>
      <w:proofErr w:type="spellStart"/>
      <w:r>
        <w:rPr>
          <w:lang w:val="en-GB"/>
        </w:rPr>
        <w:t>Roszak</w:t>
      </w:r>
      <w:proofErr w:type="spellEnd"/>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3">
    <w:p w14:paraId="0FE71AAC" w14:textId="0EAC671E" w:rsidR="00E667C0" w:rsidRPr="00AD153C" w:rsidRDefault="00E667C0">
      <w:pPr>
        <w:pStyle w:val="FootnoteText"/>
        <w:rPr>
          <w:lang w:val="fr-CH"/>
        </w:rPr>
      </w:pPr>
      <w:r>
        <w:rPr>
          <w:rStyle w:val="FootnoteReference"/>
        </w:rPr>
        <w:footnoteRef/>
      </w:r>
      <w:r>
        <w:t xml:space="preserve"> </w:t>
      </w:r>
      <w:r w:rsidR="00912F17">
        <w:rPr>
          <w:lang w:val="fr-CH"/>
        </w:rPr>
        <w:t>Au moment</w:t>
      </w:r>
      <w:r>
        <w:rPr>
          <w:lang w:val="fr-CH"/>
        </w:rPr>
        <w:t xml:space="preserve"> de la publication de la critique en novembre 1967,</w:t>
      </w:r>
      <w:r w:rsidR="00912F17">
        <w:rPr>
          <w:lang w:val="fr-CH"/>
        </w:rPr>
        <w:t xml:space="preserve"> le journal était</w:t>
      </w:r>
      <w:r>
        <w:rPr>
          <w:lang w:val="fr-CH"/>
        </w:rPr>
        <w:t xml:space="preserve"> encore un « organe central du parti communiste français ».</w:t>
      </w:r>
    </w:p>
  </w:footnote>
  <w:footnote w:id="94">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95">
    <w:p w14:paraId="454F93BF" w14:textId="0A03D90C"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xml:space="preserve">, </w:t>
      </w:r>
      <w:r w:rsidR="00837491">
        <w:rPr>
          <w:lang w:val="fr-CH"/>
        </w:rPr>
        <w:t>n°</w:t>
      </w:r>
      <w:r w:rsidRPr="004D6815">
        <w:rPr>
          <w:lang w:val="fr-CH"/>
        </w:rPr>
        <w:t xml:space="preserve"> 320, 18 avril 1986.</w:t>
      </w:r>
    </w:p>
  </w:footnote>
  <w:footnote w:id="96">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97">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98">
    <w:p w14:paraId="00328556" w14:textId="4E1D241D"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00D97751">
        <w:rPr>
          <w:lang w:val="en-GB"/>
        </w:rPr>
        <w:t>[</w:t>
      </w:r>
      <w:r w:rsidRPr="00C5130A">
        <w:rPr>
          <w:lang w:val="en-GB"/>
        </w:rPr>
        <w:t xml:space="preserve">Susan Sontag, </w:t>
      </w:r>
      <w:r w:rsidR="004A7635">
        <w:rPr>
          <w:i/>
          <w:lang w:val="en-GB"/>
        </w:rPr>
        <w:t>op</w:t>
      </w:r>
      <w:r w:rsidRPr="00C5130A">
        <w:rPr>
          <w:i/>
          <w:lang w:val="en-GB"/>
        </w:rPr>
        <w:t>.</w:t>
      </w:r>
      <w:r w:rsidR="004A7635">
        <w:rPr>
          <w:i/>
          <w:lang w:val="en-GB"/>
        </w:rPr>
        <w:t xml:space="preserve"> cit.</w:t>
      </w:r>
      <w:r w:rsidRPr="00C5130A">
        <w:rPr>
          <w:lang w:val="en-GB"/>
        </w:rPr>
        <w:t>, p. 213</w:t>
      </w:r>
      <w:r w:rsidR="00D97751">
        <w:rPr>
          <w:lang w:val="en-GB"/>
        </w:rPr>
        <w:t>]</w:t>
      </w:r>
      <w:r w:rsidRPr="00C5130A">
        <w:rPr>
          <w:lang w:val="en-GB"/>
        </w:rPr>
        <w:t>.</w:t>
      </w:r>
    </w:p>
  </w:footnote>
  <w:footnote w:id="99">
    <w:p w14:paraId="2E28F3A0" w14:textId="5EEFEF60" w:rsidR="00E667C0" w:rsidRPr="00C5130A" w:rsidRDefault="00E667C0">
      <w:pPr>
        <w:pStyle w:val="FootnoteText"/>
        <w:rPr>
          <w:lang w:val="en-GB"/>
        </w:rPr>
      </w:pPr>
      <w:r>
        <w:rPr>
          <w:rStyle w:val="FootnoteReference"/>
        </w:rPr>
        <w:footnoteRef/>
      </w:r>
      <w:r w:rsidRPr="00C5130A">
        <w:rPr>
          <w:lang w:val="en-GB"/>
        </w:rPr>
        <w:t xml:space="preserve"> </w:t>
      </w:r>
      <w:r w:rsidR="00443562">
        <w:rPr>
          <w:lang w:val="en-GB"/>
        </w:rPr>
        <w:t>« R</w:t>
      </w:r>
      <w:r w:rsidRPr="0056084C">
        <w:rPr>
          <w:lang w:val="en-GB"/>
        </w:rPr>
        <w:t xml:space="preserve">egime of emotionlessness » </w:t>
      </w:r>
      <w:r w:rsidR="00D4620E">
        <w:rPr>
          <w:lang w:val="en-GB"/>
        </w:rPr>
        <w:t>[</w:t>
      </w:r>
      <w:r w:rsidRPr="00C5130A">
        <w:rPr>
          <w:lang w:val="en-GB"/>
        </w:rPr>
        <w:t xml:space="preserve">Susan Sontag, </w:t>
      </w:r>
      <w:r w:rsidRPr="00C5130A">
        <w:rPr>
          <w:i/>
          <w:lang w:val="en-GB"/>
        </w:rPr>
        <w:t>ibid.</w:t>
      </w:r>
      <w:r w:rsidRPr="00C5130A">
        <w:rPr>
          <w:lang w:val="en-GB"/>
        </w:rPr>
        <w:t>, p. 2</w:t>
      </w:r>
      <w:r w:rsidR="00D4620E">
        <w:rPr>
          <w:lang w:val="en-GB"/>
        </w:rPr>
        <w:t>21]</w:t>
      </w:r>
      <w:r w:rsidR="009A3269">
        <w:rPr>
          <w:lang w:val="en-GB"/>
        </w:rPr>
        <w:t>.</w:t>
      </w:r>
    </w:p>
  </w:footnote>
  <w:footnote w:id="100">
    <w:p w14:paraId="4B1E6E39" w14:textId="42055A1B" w:rsidR="00E667C0" w:rsidRPr="00700856" w:rsidRDefault="00E667C0">
      <w:pPr>
        <w:pStyle w:val="FootnoteText"/>
        <w:rPr>
          <w:lang w:val="en-GB"/>
        </w:rPr>
      </w:pPr>
      <w:r>
        <w:rPr>
          <w:rStyle w:val="FootnoteReference"/>
        </w:rPr>
        <w:footnoteRef/>
      </w:r>
      <w:r w:rsidRPr="00700856">
        <w:rPr>
          <w:lang w:val="en-GB"/>
        </w:rPr>
        <w:t xml:space="preserve"> </w:t>
      </w:r>
      <w:r w:rsidR="00443562">
        <w:rPr>
          <w:lang w:val="en-GB"/>
        </w:rPr>
        <w:t>« U</w:t>
      </w:r>
      <w:r w:rsidR="00D4620E">
        <w:rPr>
          <w:lang w:val="en-GB"/>
        </w:rPr>
        <w:t>npersons »</w:t>
      </w:r>
      <w:r w:rsidRPr="00563099">
        <w:rPr>
          <w:lang w:val="en-GB"/>
        </w:rPr>
        <w:t xml:space="preserve"> </w:t>
      </w:r>
      <w:r w:rsidR="00D4620E">
        <w:rPr>
          <w:lang w:val="en-GB"/>
        </w:rPr>
        <w:t>[</w:t>
      </w:r>
      <w:r w:rsidRPr="00C5130A">
        <w:rPr>
          <w:lang w:val="en-GB"/>
        </w:rPr>
        <w:t xml:space="preserve">Susan Sontag, </w:t>
      </w:r>
      <w:r w:rsidRPr="00C5130A">
        <w:rPr>
          <w:i/>
          <w:lang w:val="en-GB"/>
        </w:rPr>
        <w:t>ibid.</w:t>
      </w:r>
      <w:r w:rsidR="00D4620E">
        <w:rPr>
          <w:lang w:val="en-GB"/>
        </w:rPr>
        <w:t>].</w:t>
      </w:r>
    </w:p>
  </w:footnote>
  <w:footnote w:id="101">
    <w:p w14:paraId="5A435C82" w14:textId="352CB398"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w:t>
      </w:r>
      <w:r w:rsidR="00443562">
        <w:rPr>
          <w:lang w:val="en-GB"/>
        </w:rPr>
        <w:t>A</w:t>
      </w:r>
      <w:r w:rsidRPr="00563099">
        <w:rPr>
          <w:lang w:val="en-GB"/>
        </w:rPr>
        <w:t>lways</w:t>
      </w:r>
      <w:r w:rsidR="00246A08">
        <w:rPr>
          <w:lang w:val="en-GB"/>
        </w:rPr>
        <w:t xml:space="preserve"> perilously close to insanity »</w:t>
      </w:r>
      <w:r w:rsidRPr="00563099">
        <w:rPr>
          <w:lang w:val="en-GB"/>
        </w:rPr>
        <w:t xml:space="preserve"> </w:t>
      </w:r>
      <w:r w:rsidR="00246A08">
        <w:rPr>
          <w:lang w:val="en-GB"/>
        </w:rPr>
        <w:t>[</w:t>
      </w:r>
      <w:r w:rsidRPr="00C5130A">
        <w:rPr>
          <w:lang w:val="en-GB"/>
        </w:rPr>
        <w:t xml:space="preserve">Susan Sontag, </w:t>
      </w:r>
      <w:r w:rsidRPr="00C5130A">
        <w:rPr>
          <w:i/>
          <w:lang w:val="en-GB"/>
        </w:rPr>
        <w:t>ibid.</w:t>
      </w:r>
      <w:r w:rsidR="00246A08">
        <w:rPr>
          <w:lang w:val="en-GB"/>
        </w:rPr>
        <w:t>]</w:t>
      </w:r>
      <w:r>
        <w:rPr>
          <w:lang w:val="en-GB"/>
        </w:rPr>
        <w:t>.</w:t>
      </w:r>
    </w:p>
  </w:footnote>
  <w:footnote w:id="102">
    <w:p w14:paraId="369FB20A" w14:textId="0B0CBCD2"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w:t>
      </w:r>
      <w:r w:rsidR="00443562">
        <w:rPr>
          <w:lang w:val="en-GB"/>
        </w:rPr>
        <w:t>F</w:t>
      </w:r>
      <w:r w:rsidRPr="00FE0DEE">
        <w:rPr>
          <w:lang w:val="en-GB"/>
        </w:rPr>
        <w:t>rom a</w:t>
      </w:r>
      <w:r w:rsidR="00246A08">
        <w:rPr>
          <w:lang w:val="en-GB"/>
        </w:rPr>
        <w:t xml:space="preserve"> psychological point of view » [</w:t>
      </w:r>
      <w:r w:rsidRPr="00C5130A">
        <w:rPr>
          <w:lang w:val="en-GB"/>
        </w:rPr>
        <w:t xml:space="preserve">Susan Sontag, </w:t>
      </w:r>
      <w:r w:rsidR="00246A08">
        <w:rPr>
          <w:i/>
          <w:lang w:val="en-GB"/>
        </w:rPr>
        <w:t>op. cit.</w:t>
      </w:r>
      <w:r w:rsidRPr="00C5130A">
        <w:rPr>
          <w:lang w:val="en-GB"/>
        </w:rPr>
        <w:t>, p. 2</w:t>
      </w:r>
      <w:r w:rsidR="00246A08">
        <w:rPr>
          <w:lang w:val="en-GB"/>
        </w:rPr>
        <w:t>24]</w:t>
      </w:r>
    </w:p>
  </w:footnote>
  <w:footnote w:id="103">
    <w:p w14:paraId="097892D7" w14:textId="1CEC3B65" w:rsidR="00E667C0" w:rsidRPr="00E17CB8" w:rsidRDefault="00E667C0">
      <w:pPr>
        <w:pStyle w:val="FootnoteText"/>
        <w:rPr>
          <w:lang w:val="fr-CH"/>
        </w:rPr>
      </w:pPr>
      <w:r>
        <w:rPr>
          <w:rStyle w:val="FootnoteReference"/>
        </w:rPr>
        <w:footnoteRef/>
      </w:r>
      <w:r w:rsidRPr="00E17CB8">
        <w:rPr>
          <w:lang w:val="fr-CH"/>
        </w:rPr>
        <w:t xml:space="preserve"> Susan Sontag, </w:t>
      </w:r>
      <w:r w:rsidRPr="00E17CB8">
        <w:rPr>
          <w:i/>
          <w:lang w:val="fr-CH"/>
        </w:rPr>
        <w:t>ibid.</w:t>
      </w:r>
    </w:p>
  </w:footnote>
  <w:footnote w:id="104">
    <w:p w14:paraId="17AABEED" w14:textId="483B8910" w:rsidR="00E667C0" w:rsidRPr="00680AE3" w:rsidRDefault="00E667C0">
      <w:pPr>
        <w:pStyle w:val="FootnoteText"/>
        <w:rPr>
          <w:lang w:val="fr-CH"/>
        </w:rPr>
      </w:pPr>
      <w:r>
        <w:rPr>
          <w:rStyle w:val="FootnoteReference"/>
        </w:rPr>
        <w:footnoteRef/>
      </w:r>
      <w:r w:rsidRPr="00F2160E">
        <w:rPr>
          <w:lang w:val="fr-CH"/>
        </w:rPr>
        <w:t xml:space="preserve"> </w:t>
      </w:r>
      <w:r w:rsidR="00F2095B">
        <w:rPr>
          <w:lang w:val="fr-CH"/>
        </w:rPr>
        <w:t>L’essai de Sontag</w:t>
      </w:r>
      <w:r w:rsidRPr="00F2160E">
        <w:rPr>
          <w:lang w:val="fr-CH"/>
        </w:rPr>
        <w:t xml:space="preserve"> traite de la scie</w:t>
      </w:r>
      <w:r>
        <w:rPr>
          <w:lang w:val="fr-CH"/>
        </w:rPr>
        <w:t>nce-fiction comme d’un genre cinématographique très clairement défini thématiquement et délimité périodiquement, ce qui est un parti pris difficilement défendable.</w:t>
      </w:r>
    </w:p>
  </w:footnote>
  <w:footnote w:id="105">
    <w:p w14:paraId="75209DDC" w14:textId="09F1A689" w:rsidR="00E667C0" w:rsidRPr="00FC6DD0" w:rsidRDefault="00E667C0">
      <w:pPr>
        <w:pStyle w:val="FootnoteText"/>
        <w:rPr>
          <w:lang w:val="fr-CH"/>
        </w:rPr>
      </w:pPr>
      <w:r>
        <w:rPr>
          <w:rStyle w:val="FootnoteReference"/>
        </w:rPr>
        <w:footnoteRef/>
      </w:r>
      <w:r>
        <w:t xml:space="preserve"> </w:t>
      </w:r>
      <w:r>
        <w:rPr>
          <w:lang w:val="fr-CH"/>
        </w:rPr>
        <w:t xml:space="preserve">Dans </w:t>
      </w:r>
      <w:r w:rsidR="00F2095B">
        <w:rPr>
          <w:lang w:val="fr-CH"/>
        </w:rPr>
        <w:t>sa</w:t>
      </w:r>
      <w:r>
        <w:rPr>
          <w:lang w:val="fr-CH"/>
        </w:rPr>
        <w:t xml:space="preserve"> définition </w:t>
      </w:r>
      <w:r w:rsidR="00F2095B">
        <w:rPr>
          <w:lang w:val="fr-CH"/>
        </w:rPr>
        <w:t xml:space="preserve">la </w:t>
      </w:r>
      <w:r>
        <w:rPr>
          <w:lang w:val="fr-CH"/>
        </w:rPr>
        <w:t>plus large, puisqu’un certain nombre d’études sont également consacrées à d’autres genres comme le western ou le film noir.</w:t>
      </w:r>
    </w:p>
  </w:footnote>
  <w:footnote w:id="106">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7">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08">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09">
    <w:p w14:paraId="60142359" w14:textId="06D23D89" w:rsidR="00E667C0" w:rsidRPr="00D02990" w:rsidRDefault="00E667C0">
      <w:pPr>
        <w:pStyle w:val="FootnoteText"/>
        <w:rPr>
          <w:lang w:val="fr-CH"/>
        </w:rPr>
      </w:pPr>
      <w:r>
        <w:rPr>
          <w:rStyle w:val="FootnoteReference"/>
        </w:rPr>
        <w:footnoteRef/>
      </w:r>
      <w:r>
        <w:t xml:space="preserve"> </w:t>
      </w:r>
      <w:r w:rsidR="00242A8B">
        <w:rPr>
          <w:lang w:val="fr-CH"/>
        </w:rPr>
        <w:t>La MPA est</w:t>
      </w:r>
      <w:r>
        <w:rPr>
          <w:lang w:val="fr-CH"/>
        </w:rPr>
        <w:t xml:space="preserve"> groupe de pression de droite militant fondé en 1944.</w:t>
      </w:r>
    </w:p>
  </w:footnote>
  <w:footnote w:id="110">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1">
    <w:p w14:paraId="6EEE0D47" w14:textId="25964EFF" w:rsidR="009933D5" w:rsidRPr="00D34D1A" w:rsidRDefault="009933D5">
      <w:pPr>
        <w:pStyle w:val="FootnoteText"/>
        <w:rPr>
          <w:lang w:val="en-US"/>
        </w:rPr>
      </w:pPr>
      <w:r>
        <w:rPr>
          <w:rStyle w:val="FootnoteReference"/>
        </w:rPr>
        <w:footnoteRef/>
      </w:r>
      <w:r w:rsidRPr="009933D5">
        <w:rPr>
          <w:lang w:val="en-GB"/>
        </w:rPr>
        <w:t xml:space="preserve"> « </w:t>
      </w:r>
      <w:r w:rsidR="00EC1FAF">
        <w:rPr>
          <w:lang w:val="en-GB"/>
        </w:rPr>
        <w:t>A</w:t>
      </w:r>
      <w:r w:rsidRPr="009933D5">
        <w:rPr>
          <w:lang w:val="en-GB"/>
        </w:rPr>
        <w:t xml:space="preserve">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sidR="00D34D1A">
        <w:rPr>
          <w:lang w:val="en-GB"/>
        </w:rPr>
        <w:t xml:space="preserve"> </w:t>
      </w:r>
      <w:r w:rsidR="00CE21BA">
        <w:rPr>
          <w:lang w:val="en-GB"/>
        </w:rPr>
        <w:t>[</w:t>
      </w:r>
      <w:r w:rsidR="00D34D1A" w:rsidRPr="00D34D1A">
        <w:rPr>
          <w:lang w:val="en-US"/>
        </w:rPr>
        <w:t>Alan</w:t>
      </w:r>
      <w:r w:rsidR="00D34D1A">
        <w:rPr>
          <w:lang w:val="en-US"/>
        </w:rPr>
        <w:t xml:space="preserve"> Nadel</w:t>
      </w:r>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r w:rsidR="00CE21BA">
        <w:rPr>
          <w:lang w:val="en-US"/>
        </w:rPr>
        <w:t>]</w:t>
      </w:r>
      <w:r w:rsidR="00D34D1A">
        <w:rPr>
          <w:lang w:val="en-US"/>
        </w:rPr>
        <w:t>.</w:t>
      </w:r>
    </w:p>
  </w:footnote>
  <w:footnote w:id="112">
    <w:p w14:paraId="2D097EF3" w14:textId="2225EF52"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r w:rsidR="00CE21BA">
        <w:rPr>
          <w:lang w:val="en-US"/>
        </w:rPr>
        <w:t>(</w:t>
      </w:r>
      <w:proofErr w:type="spellStart"/>
      <w:r>
        <w:rPr>
          <w:lang w:val="en-US"/>
        </w:rPr>
        <w:t>consulté</w:t>
      </w:r>
      <w:proofErr w:type="spellEnd"/>
      <w:r>
        <w:rPr>
          <w:lang w:val="en-US"/>
        </w:rPr>
        <w:t xml:space="preserve"> le 04.12.2016</w:t>
      </w:r>
      <w:r w:rsidR="00CE21BA">
        <w:rPr>
          <w:lang w:val="en-US"/>
        </w:rPr>
        <w:t>).</w:t>
      </w:r>
    </w:p>
  </w:footnote>
  <w:footnote w:id="113">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4">
    <w:p w14:paraId="4244A06A" w14:textId="15C65EC5" w:rsidR="00E667C0" w:rsidRPr="00345022" w:rsidRDefault="00E667C0">
      <w:pPr>
        <w:pStyle w:val="FootnoteText"/>
        <w:rPr>
          <w:lang w:val="en-GB"/>
        </w:rPr>
      </w:pPr>
      <w:r>
        <w:rPr>
          <w:rStyle w:val="FootnoteReference"/>
        </w:rPr>
        <w:footnoteRef/>
      </w:r>
      <w:r>
        <w:t xml:space="preserve"> </w:t>
      </w:r>
      <w:r w:rsidR="00EA488A">
        <w:t xml:space="preserve">Le sénateur </w:t>
      </w:r>
      <w:r w:rsidR="00EA488A">
        <w:rPr>
          <w:lang w:val="fr-CH"/>
        </w:rPr>
        <w:t>McCarthy</w:t>
      </w:r>
      <w:r>
        <w:rPr>
          <w:lang w:val="fr-CH"/>
        </w:rPr>
        <w:t xml:space="preserve">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007B41E3">
        <w:rPr>
          <w:lang w:val="fr-CH"/>
        </w:rPr>
        <w:t xml:space="preserve">ffaires </w:t>
      </w:r>
      <w:r w:rsidRPr="000034B8">
        <w:rPr>
          <w:lang w:val="fr-CH"/>
        </w:rPr>
        <w:t>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5">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6">
    <w:p w14:paraId="4B705E77" w14:textId="606DD328"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003000A9">
        <w:rPr>
          <w:lang w:val="en-US"/>
        </w:rPr>
        <w:t xml:space="preserve"> (</w:t>
      </w:r>
      <w:proofErr w:type="spellStart"/>
      <w:r w:rsidR="003000A9">
        <w:rPr>
          <w:lang w:val="en-US"/>
        </w:rPr>
        <w:t>éd</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7">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18">
    <w:p w14:paraId="01256B1A" w14:textId="76A5FE6E"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003000A9">
        <w:rPr>
          <w:lang w:val="en-US"/>
        </w:rPr>
        <w:t xml:space="preserve"> (</w:t>
      </w:r>
      <w:proofErr w:type="spellStart"/>
      <w:r w:rsidR="003000A9">
        <w:rPr>
          <w:lang w:val="en-US"/>
        </w:rPr>
        <w:t>éd</w:t>
      </w:r>
      <w:proofErr w:type="spellEnd"/>
      <w:r w:rsidRPr="00FC7F90">
        <w:rPr>
          <w:lang w:val="en-US"/>
        </w:rPr>
        <w:t xml:space="preserve">.), </w:t>
      </w:r>
      <w:r>
        <w:rPr>
          <w:i/>
          <w:lang w:val="en-US"/>
        </w:rPr>
        <w:t>op. cit.</w:t>
      </w:r>
      <w:r>
        <w:rPr>
          <w:lang w:val="en-US"/>
        </w:rPr>
        <w:t>, p. 103.</w:t>
      </w:r>
    </w:p>
  </w:footnote>
  <w:footnote w:id="119">
    <w:p w14:paraId="1B72C16B" w14:textId="65241189" w:rsidR="00E667C0" w:rsidRPr="007F3A27" w:rsidRDefault="00E667C0">
      <w:pPr>
        <w:pStyle w:val="FootnoteText"/>
      </w:pPr>
      <w:r>
        <w:rPr>
          <w:rStyle w:val="FootnoteReference"/>
        </w:rPr>
        <w:footnoteRef/>
      </w:r>
      <w:r w:rsidR="002A4111">
        <w:t xml:space="preserve"> Le</w:t>
      </w:r>
      <w:r>
        <w:t xml:space="preserve"> phénomène de contournement des règles</w:t>
      </w:r>
      <w:r w:rsidR="002A4111">
        <w:t xml:space="preserve"> est</w:t>
      </w:r>
      <w:r>
        <w:t xml:space="preserve">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20">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1">
    <w:p w14:paraId="17C33A35" w14:textId="5D000D41" w:rsidR="00E667C0" w:rsidRPr="00C12297" w:rsidRDefault="00E667C0">
      <w:pPr>
        <w:pStyle w:val="FootnoteText"/>
        <w:rPr>
          <w:lang w:val="fr-CH"/>
        </w:rPr>
      </w:pPr>
      <w:r>
        <w:rPr>
          <w:rStyle w:val="FootnoteReference"/>
        </w:rPr>
        <w:footnoteRef/>
      </w:r>
      <w:r>
        <w:t xml:space="preserve"> </w:t>
      </w:r>
      <w:r w:rsidR="00F55836">
        <w:t>La blacklist est également absente</w:t>
      </w:r>
      <w:r>
        <w:t xml:space="preserve"> </w:t>
      </w:r>
      <w:r w:rsidR="00F55836">
        <w:t>des</w:t>
      </w:r>
      <w:r>
        <w:t xml:space="preserve"> critiques publiées à partir des années 1970 dans le cadre de ressorties du film sur divers supports.</w:t>
      </w:r>
    </w:p>
  </w:footnote>
  <w:footnote w:id="122">
    <w:p w14:paraId="0C6FCE79" w14:textId="6CBEB221"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w:t>
      </w:r>
      <w:r w:rsidR="007B41E3">
        <w:rPr>
          <w:lang w:val="en-GB"/>
        </w:rPr>
        <w:t>S</w:t>
      </w:r>
      <w:r w:rsidRPr="00D54413">
        <w:rPr>
          <w:lang w:val="en-GB"/>
        </w:rPr>
        <w:t xml:space="preserve">uffered because of the blacklist » </w:t>
      </w:r>
      <w:r w:rsidR="00267694">
        <w:rPr>
          <w:lang w:val="en-GB"/>
        </w:rPr>
        <w:t>[</w:t>
      </w:r>
      <w:r w:rsidRPr="00781EA5">
        <w:rPr>
          <w:szCs w:val="20"/>
          <w:lang w:val="en-GB"/>
        </w:rPr>
        <w:t xml:space="preserve">Barry Keith Grant, </w:t>
      </w:r>
      <w:r w:rsidRPr="00781EA5">
        <w:rPr>
          <w:i/>
          <w:szCs w:val="20"/>
          <w:lang w:val="en-GB"/>
        </w:rPr>
        <w:t>op. cit.</w:t>
      </w:r>
      <w:r>
        <w:rPr>
          <w:szCs w:val="20"/>
          <w:lang w:val="en-GB"/>
        </w:rPr>
        <w:t>, p. 33</w:t>
      </w:r>
      <w:r w:rsidR="00267694">
        <w:rPr>
          <w:szCs w:val="20"/>
          <w:lang w:val="en-GB"/>
        </w:rPr>
        <w:t>]</w:t>
      </w:r>
      <w:r>
        <w:rPr>
          <w:szCs w:val="20"/>
          <w:lang w:val="en-GB"/>
        </w:rPr>
        <w:t>.</w:t>
      </w:r>
    </w:p>
  </w:footnote>
  <w:footnote w:id="123">
    <w:p w14:paraId="48593CE8" w14:textId="13135C47"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w:t>
      </w:r>
      <w:r w:rsidR="007B41E3">
        <w:rPr>
          <w:lang w:val="en-GB"/>
        </w:rPr>
        <w:t>C</w:t>
      </w:r>
      <w:r w:rsidRPr="00B623F9">
        <w:rPr>
          <w:lang w:val="en-GB"/>
        </w:rPr>
        <w:t>ollege-level educated intellectual of liberal politics </w:t>
      </w:r>
      <w:proofErr w:type="gramStart"/>
      <w:r>
        <w:rPr>
          <w:lang w:val="en-GB"/>
        </w:rPr>
        <w:t>» ;</w:t>
      </w:r>
      <w:proofErr w:type="gramEnd"/>
      <w:r w:rsidRPr="00B623F9">
        <w:rPr>
          <w:lang w:val="en-GB"/>
        </w:rPr>
        <w:t xml:space="preserve"> « genre films with a message »</w:t>
      </w:r>
      <w:r>
        <w:rPr>
          <w:lang w:val="en-GB"/>
        </w:rPr>
        <w:t xml:space="preserve">. </w:t>
      </w:r>
      <w:r w:rsidR="00267694">
        <w:rPr>
          <w:lang w:val="en-GB"/>
        </w:rPr>
        <w:t>[</w:t>
      </w:r>
      <w:r w:rsidRPr="00781EA5">
        <w:rPr>
          <w:szCs w:val="20"/>
          <w:lang w:val="en-GB"/>
        </w:rPr>
        <w:t xml:space="preserve">Barry Keith Grant, </w:t>
      </w:r>
      <w:r>
        <w:rPr>
          <w:i/>
          <w:szCs w:val="20"/>
          <w:lang w:val="en-GB"/>
        </w:rPr>
        <w:t>ibid.</w:t>
      </w:r>
      <w:r>
        <w:rPr>
          <w:szCs w:val="20"/>
          <w:lang w:val="en-GB"/>
        </w:rPr>
        <w:t>, p. 30</w:t>
      </w:r>
      <w:r w:rsidR="00267694">
        <w:rPr>
          <w:szCs w:val="20"/>
          <w:lang w:val="en-GB"/>
        </w:rPr>
        <w:t>]</w:t>
      </w:r>
      <w:r>
        <w:rPr>
          <w:szCs w:val="20"/>
          <w:lang w:val="en-GB"/>
        </w:rPr>
        <w:t>.</w:t>
      </w:r>
    </w:p>
  </w:footnote>
  <w:footnote w:id="124">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25">
    <w:p w14:paraId="4DD63384" w14:textId="51368FC6" w:rsidR="00E667C0" w:rsidRPr="001E1138" w:rsidRDefault="00E667C0">
      <w:pPr>
        <w:pStyle w:val="FootnoteText"/>
        <w:rPr>
          <w:lang w:val="en-GB"/>
        </w:rPr>
      </w:pPr>
      <w:r>
        <w:rPr>
          <w:rStyle w:val="FootnoteReference"/>
        </w:rPr>
        <w:footnoteRef/>
      </w:r>
      <w:r w:rsidRPr="0041367A">
        <w:rPr>
          <w:lang w:val="en-GB"/>
        </w:rPr>
        <w:t xml:space="preserve"> « </w:t>
      </w:r>
      <w:r w:rsidR="007B41E3">
        <w:rPr>
          <w:lang w:val="en-GB"/>
        </w:rPr>
        <w:t>M</w:t>
      </w:r>
      <w:r w:rsidRPr="0041367A">
        <w:rPr>
          <w:lang w:val="en-GB"/>
        </w:rPr>
        <w:t>ay have been</w:t>
      </w:r>
      <w:r w:rsidR="001A2A17">
        <w:rPr>
          <w:lang w:val="en-GB"/>
        </w:rPr>
        <w:t xml:space="preserve"> a communist in the thirties » [</w:t>
      </w:r>
      <w:r w:rsidRPr="001E1138">
        <w:rPr>
          <w:szCs w:val="20"/>
          <w:lang w:val="en-GB"/>
        </w:rPr>
        <w:t>Al LaValley (</w:t>
      </w:r>
      <w:proofErr w:type="spellStart"/>
      <w:r w:rsidRPr="001E1138">
        <w:rPr>
          <w:szCs w:val="20"/>
          <w:lang w:val="en-GB"/>
        </w:rPr>
        <w:t>éd</w:t>
      </w:r>
      <w:proofErr w:type="spellEnd"/>
      <w:r w:rsidRPr="001E1138">
        <w:rPr>
          <w:szCs w:val="20"/>
          <w:lang w:val="en-GB"/>
        </w:rPr>
        <w:t xml:space="preserve">.), </w:t>
      </w:r>
      <w:r w:rsidRPr="001E1138">
        <w:rPr>
          <w:i/>
          <w:szCs w:val="20"/>
          <w:lang w:val="en-GB"/>
        </w:rPr>
        <w:t>op. cit.</w:t>
      </w:r>
      <w:r w:rsidR="001A2A17">
        <w:rPr>
          <w:szCs w:val="20"/>
          <w:lang w:val="en-GB"/>
        </w:rPr>
        <w:t>, p. 7]</w:t>
      </w:r>
    </w:p>
  </w:footnote>
  <w:footnote w:id="126">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7">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28">
    <w:p w14:paraId="516C3FA0" w14:textId="4C6F2C7C"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w:t>
      </w:r>
      <w:r w:rsidR="00E528E5">
        <w:rPr>
          <w:lang w:val="en-GB"/>
        </w:rPr>
        <w:t>O</w:t>
      </w:r>
      <w:r w:rsidRPr="00731FA3">
        <w:rPr>
          <w:lang w:val="en-GB"/>
        </w:rPr>
        <w:t>utsid</w:t>
      </w:r>
      <w:r w:rsidR="00753E38">
        <w:rPr>
          <w:lang w:val="en-GB"/>
        </w:rPr>
        <w:t>er and politically unaligned »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r w:rsidR="00753E38">
        <w:rPr>
          <w:szCs w:val="20"/>
          <w:lang w:val="en-US"/>
        </w:rPr>
        <w:t>]</w:t>
      </w:r>
      <w:r>
        <w:rPr>
          <w:szCs w:val="20"/>
          <w:lang w:val="en-US"/>
        </w:rPr>
        <w:t>.</w:t>
      </w:r>
    </w:p>
  </w:footnote>
  <w:footnote w:id="129">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30">
    <w:p w14:paraId="6753F754" w14:textId="21B97E78" w:rsidR="00E667C0" w:rsidRPr="00B2269C" w:rsidRDefault="00E667C0">
      <w:pPr>
        <w:pStyle w:val="FootnoteText"/>
        <w:rPr>
          <w:szCs w:val="20"/>
          <w:lang w:val="fr-CH"/>
        </w:rPr>
      </w:pPr>
      <w:r>
        <w:rPr>
          <w:rStyle w:val="FootnoteReference"/>
        </w:rPr>
        <w:footnoteRef/>
      </w:r>
      <w:r w:rsidRPr="0025350A">
        <w:rPr>
          <w:lang w:val="fr-CH"/>
        </w:rPr>
        <w:t xml:space="preserve"> </w:t>
      </w:r>
      <w:r w:rsidR="003E077A">
        <w:rPr>
          <w:szCs w:val="20"/>
          <w:lang w:val="fr-CH"/>
        </w:rPr>
        <w:t>Le SIDA est</w:t>
      </w:r>
      <w:r w:rsidRPr="0025350A">
        <w:rPr>
          <w:szCs w:val="20"/>
          <w:lang w:val="fr-CH"/>
        </w:rPr>
        <w:t xml:space="preserv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1">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2">
    <w:p w14:paraId="603E11C0" w14:textId="53F42292" w:rsidR="00B13451" w:rsidRPr="00B13451" w:rsidRDefault="00B13451">
      <w:pPr>
        <w:pStyle w:val="FootnoteText"/>
        <w:rPr>
          <w:lang w:val="fr-CH"/>
        </w:rPr>
      </w:pPr>
      <w:r>
        <w:rPr>
          <w:rStyle w:val="FootnoteReference"/>
        </w:rPr>
        <w:footnoteRef/>
      </w:r>
      <w:r w:rsidRPr="00B13451">
        <w:rPr>
          <w:lang w:val="fr-CH"/>
        </w:rPr>
        <w:t xml:space="preserve"> Le cas du SIDA pour le film de Ferrara est un exemple intéressant d’une interprétation </w:t>
      </w:r>
      <w:r w:rsidRPr="00E135D2">
        <w:rPr>
          <w:i/>
          <w:lang w:val="fr-CH"/>
        </w:rPr>
        <w:t>moins évidente</w:t>
      </w:r>
      <w:r w:rsidR="008C2D88">
        <w:rPr>
          <w:i/>
          <w:lang w:val="fr-CH"/>
        </w:rPr>
        <w:t xml:space="preserve"> </w:t>
      </w:r>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3">
    <w:p w14:paraId="234121AB" w14:textId="103AE802"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001F5B07">
        <w:rPr>
          <w:lang w:val="en-US"/>
        </w:rPr>
        <w:t xml:space="preserve">, </w:t>
      </w:r>
      <w:r w:rsidR="00837491">
        <w:rPr>
          <w:lang w:val="en-US"/>
        </w:rPr>
        <w:t>vol.</w:t>
      </w:r>
      <w:r w:rsidRPr="00CA345C">
        <w:rPr>
          <w:lang w:val="en-US"/>
        </w:rPr>
        <w:t xml:space="preserve"> 11, </w:t>
      </w:r>
      <w:r w:rsidR="001F5B07" w:rsidRPr="00837491">
        <w:rPr>
          <w:lang w:val="en-GB"/>
        </w:rPr>
        <w:t xml:space="preserve">n° </w:t>
      </w:r>
      <w:r w:rsidRPr="00CA345C">
        <w:rPr>
          <w:lang w:val="en-US"/>
        </w:rPr>
        <w:t xml:space="preserve">2, </w:t>
      </w:r>
      <w:proofErr w:type="spellStart"/>
      <w:r w:rsidRPr="00CA345C">
        <w:rPr>
          <w:lang w:val="en-US"/>
        </w:rPr>
        <w:t>juillet</w:t>
      </w:r>
      <w:proofErr w:type="spellEnd"/>
      <w:r w:rsidRPr="00CA345C">
        <w:rPr>
          <w:lang w:val="en-US"/>
        </w:rPr>
        <w:t xml:space="preserve"> 1984, pp. 139-153.</w:t>
      </w:r>
    </w:p>
  </w:footnote>
  <w:footnote w:id="134">
    <w:p w14:paraId="32FC9573" w14:textId="768D6F05" w:rsidR="00E667C0" w:rsidRPr="00744219" w:rsidRDefault="00E667C0">
      <w:pPr>
        <w:pStyle w:val="FootnoteText"/>
        <w:rPr>
          <w:lang w:val="en-GB"/>
        </w:rPr>
      </w:pPr>
      <w:r>
        <w:rPr>
          <w:rStyle w:val="FootnoteReference"/>
        </w:rPr>
        <w:footnoteRef/>
      </w:r>
      <w:r w:rsidRPr="00744219">
        <w:rPr>
          <w:lang w:val="en-GB"/>
        </w:rPr>
        <w:t xml:space="preserve"> </w:t>
      </w:r>
      <w:r w:rsidR="00E71AA6">
        <w:rPr>
          <w:lang w:val="en-GB"/>
        </w:rPr>
        <w:t>« </w:t>
      </w:r>
      <w:r w:rsidR="003E077A">
        <w:rPr>
          <w:lang w:val="en-GB"/>
        </w:rPr>
        <w:t>B</w:t>
      </w:r>
      <w:r w:rsidR="00E71AA6">
        <w:rPr>
          <w:lang w:val="en-GB"/>
        </w:rPr>
        <w:t>urgeoning intimacy »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sidR="00E71AA6">
        <w:rPr>
          <w:lang w:val="en-US"/>
        </w:rPr>
        <w:t>, p. 140].</w:t>
      </w:r>
    </w:p>
  </w:footnote>
  <w:footnote w:id="135">
    <w:p w14:paraId="20CBB3A5" w14:textId="6F3523BD"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sidR="00877E75">
        <w:rPr>
          <w:i/>
          <w:lang w:val="en-US"/>
        </w:rPr>
        <w:t>op. cit</w:t>
      </w:r>
      <w:r>
        <w:rPr>
          <w:i/>
          <w:lang w:val="en-US"/>
        </w:rPr>
        <w:t>.</w:t>
      </w:r>
      <w:r>
        <w:rPr>
          <w:lang w:val="en-US"/>
        </w:rPr>
        <w:t>, p. 143.</w:t>
      </w:r>
    </w:p>
  </w:footnote>
  <w:footnote w:id="136">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7">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38">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39">
    <w:p w14:paraId="7AE40483" w14:textId="02E82E11"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xml:space="preserve">, </w:t>
      </w:r>
      <w:r w:rsidR="00837491">
        <w:rPr>
          <w:lang w:val="fr-CH"/>
        </w:rPr>
        <w:t>n°</w:t>
      </w:r>
      <w:r w:rsidRPr="002B6C9D">
        <w:rPr>
          <w:lang w:val="fr-CH"/>
        </w:rPr>
        <w:t xml:space="preserve"> 11, 1923, pp. 6-16.</w:t>
      </w:r>
    </w:p>
  </w:footnote>
  <w:footnote w:id="140">
    <w:p w14:paraId="07F7A35E" w14:textId="504C04E7" w:rsidR="00E667C0" w:rsidRPr="006D4B9D" w:rsidRDefault="00E667C0">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41">
    <w:p w14:paraId="7C7B6B5F" w14:textId="693296FF" w:rsidR="00E667C0" w:rsidRPr="00122FEA" w:rsidRDefault="00E667C0">
      <w:pPr>
        <w:pStyle w:val="FootnoteText"/>
        <w:rPr>
          <w:i/>
          <w:lang w:val="fr-CH"/>
        </w:rPr>
      </w:pPr>
      <w:r>
        <w:rPr>
          <w:rStyle w:val="FootnoteReference"/>
        </w:rPr>
        <w:footnoteRef/>
      </w:r>
      <w:r>
        <w:t xml:space="preserve"> </w:t>
      </w:r>
      <w:r w:rsidRPr="006D4B9D">
        <w:rPr>
          <w:lang w:val="fr-CH"/>
        </w:rPr>
        <w:t xml:space="preserve">J. Hoberman, </w:t>
      </w:r>
      <w:r w:rsidR="00FE1DAA">
        <w:rPr>
          <w:i/>
          <w:lang w:val="fr-CH"/>
        </w:rPr>
        <w:t xml:space="preserve">op. </w:t>
      </w:r>
      <w:proofErr w:type="gramStart"/>
      <w:r w:rsidR="00FE1DAA">
        <w:rPr>
          <w:i/>
          <w:lang w:val="fr-CH"/>
        </w:rPr>
        <w:t>cit</w:t>
      </w:r>
      <w:proofErr w:type="gramEnd"/>
      <w:r w:rsidRPr="006D4B9D">
        <w:rPr>
          <w:i/>
          <w:lang w:val="fr-CH"/>
        </w:rPr>
        <w:t>.</w:t>
      </w:r>
      <w:r w:rsidRPr="006D4B9D">
        <w:rPr>
          <w:lang w:val="fr-CH"/>
        </w:rPr>
        <w:t>, p. 216.</w:t>
      </w:r>
    </w:p>
  </w:footnote>
  <w:footnote w:id="142">
    <w:p w14:paraId="617F6FD6" w14:textId="03BD412D" w:rsidR="00E667C0" w:rsidRPr="005D5F9D" w:rsidRDefault="00E667C0">
      <w:pPr>
        <w:pStyle w:val="FootnoteText"/>
        <w:rPr>
          <w:lang w:val="en-US"/>
        </w:rPr>
      </w:pPr>
      <w:r>
        <w:rPr>
          <w:rStyle w:val="FootnoteReference"/>
        </w:rPr>
        <w:footnoteRef/>
      </w:r>
      <w:r w:rsidRPr="00F1538B">
        <w:rPr>
          <w:lang w:val="fr-CH"/>
        </w:rPr>
        <w:t xml:space="preserve"> </w:t>
      </w:r>
      <w:r w:rsidR="008A1475">
        <w:rPr>
          <w:lang w:val="fr-CH"/>
        </w:rPr>
        <w:t>Les films</w:t>
      </w:r>
      <w:r w:rsidRPr="00F1538B">
        <w:rPr>
          <w:lang w:val="fr-CH"/>
        </w:rPr>
        <w:t xml:space="preserve"> de 1956 et 1978</w:t>
      </w:r>
      <w:r w:rsidR="008A1475">
        <w:rPr>
          <w:lang w:val="fr-CH"/>
        </w:rPr>
        <w:t xml:space="preserve"> sont utilisés, par exemple, dans un article académique</w:t>
      </w:r>
      <w:r w:rsidRPr="00F1538B">
        <w:rPr>
          <w:lang w:val="fr-CH"/>
        </w:rPr>
        <w:t xml:space="preserve"> </w:t>
      </w:r>
      <w:r w:rsidR="008A1475">
        <w:rPr>
          <w:lang w:val="fr-CH"/>
        </w:rPr>
        <w:t>afin de</w:t>
      </w:r>
      <w:r w:rsidRPr="00F1538B">
        <w:rPr>
          <w:lang w:val="fr-CH"/>
        </w:rPr>
        <w:t xml:space="preserve"> parler d’écologie</w:t>
      </w:r>
      <w:r w:rsidR="00A03758">
        <w:rPr>
          <w:lang w:val="fr-CH"/>
        </w:rPr>
        <w:t xml:space="preserve"> et d’hégémonie des plantes</w:t>
      </w:r>
      <w:r w:rsidRPr="00F1538B">
        <w:rPr>
          <w:lang w:val="fr-CH"/>
        </w:rPr>
        <w:t xml:space="preserv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xml:space="preserve">, </w:t>
      </w:r>
      <w:r w:rsidR="00E12B48">
        <w:rPr>
          <w:lang w:val="en-US"/>
        </w:rPr>
        <w:t>vol.</w:t>
      </w:r>
      <w:r w:rsidRPr="005D5F9D">
        <w:rPr>
          <w:lang w:val="en-US"/>
        </w:rPr>
        <w:t xml:space="preserve"> 34, </w:t>
      </w:r>
      <w:r w:rsidR="00837491">
        <w:rPr>
          <w:lang w:val="en-US"/>
        </w:rPr>
        <w:t>n°</w:t>
      </w:r>
      <w:r w:rsidRPr="005D5F9D">
        <w:rPr>
          <w:lang w:val="en-US"/>
        </w:rPr>
        <w:t xml:space="preserve"> 1, hiver 2002, pp. 32-58.</w:t>
      </w:r>
    </w:p>
  </w:footnote>
  <w:footnote w:id="143">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4">
    <w:p w14:paraId="0319DC27" w14:textId="05F24F21"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xml:space="preserve">, </w:t>
      </w:r>
      <w:r w:rsidR="00E12B48">
        <w:rPr>
          <w:lang w:val="en-US"/>
        </w:rPr>
        <w:t>vol.</w:t>
      </w:r>
      <w:r w:rsidRPr="0037689C">
        <w:rPr>
          <w:lang w:val="en-US"/>
        </w:rPr>
        <w:t xml:space="preserve"> 1, </w:t>
      </w:r>
      <w:r w:rsidR="00837491">
        <w:rPr>
          <w:lang w:val="en-US"/>
        </w:rPr>
        <w:t>n°</w:t>
      </w:r>
      <w:r w:rsidRPr="0037689C">
        <w:rPr>
          <w:lang w:val="en-US"/>
        </w:rPr>
        <w:t xml:space="preserve"> 1, hiver 1972, pp. 2-14.</w:t>
      </w:r>
    </w:p>
  </w:footnote>
  <w:footnote w:id="145">
    <w:p w14:paraId="6A17BA6F" w14:textId="07BEF79F" w:rsidR="00E667C0" w:rsidRPr="00373BBC" w:rsidRDefault="00E667C0">
      <w:pPr>
        <w:pStyle w:val="FootnoteText"/>
        <w:rPr>
          <w:lang w:val="fr-CH"/>
        </w:rPr>
      </w:pPr>
      <w:r>
        <w:rPr>
          <w:rStyle w:val="FootnoteReference"/>
        </w:rPr>
        <w:footnoteRef/>
      </w:r>
      <w:r>
        <w:t xml:space="preserve"> </w:t>
      </w:r>
      <w:r w:rsidR="00687F34">
        <w:rPr>
          <w:lang w:val="fr-CH"/>
        </w:rPr>
        <w:t>Le biais le</w:t>
      </w:r>
      <w:r>
        <w:rPr>
          <w:lang w:val="fr-CH"/>
        </w:rPr>
        <w:t xml:space="preserve"> plus </w:t>
      </w:r>
      <w:r>
        <w:rPr>
          <w:lang w:val="fr-CH"/>
        </w:rPr>
        <w:t>évident</w:t>
      </w:r>
      <w:bookmarkStart w:id="0" w:name="_GoBack"/>
      <w:bookmarkEnd w:id="0"/>
      <w:r>
        <w:rPr>
          <w:lang w:val="fr-CH"/>
        </w:rPr>
        <w:t xml:space="preserv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5089"/>
    <w:rsid w:val="00096406"/>
    <w:rsid w:val="000A0EDA"/>
    <w:rsid w:val="000A3163"/>
    <w:rsid w:val="000A4269"/>
    <w:rsid w:val="000A5C53"/>
    <w:rsid w:val="000A6B2B"/>
    <w:rsid w:val="000B0F6C"/>
    <w:rsid w:val="000B5190"/>
    <w:rsid w:val="000B6314"/>
    <w:rsid w:val="000C15E8"/>
    <w:rsid w:val="000C46C3"/>
    <w:rsid w:val="000C6D71"/>
    <w:rsid w:val="000D04D2"/>
    <w:rsid w:val="000D0781"/>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0756D"/>
    <w:rsid w:val="00111A20"/>
    <w:rsid w:val="00111C76"/>
    <w:rsid w:val="00122FEA"/>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5AD2"/>
    <w:rsid w:val="001877C1"/>
    <w:rsid w:val="001937F5"/>
    <w:rsid w:val="00195D85"/>
    <w:rsid w:val="001A1430"/>
    <w:rsid w:val="001A2A17"/>
    <w:rsid w:val="001A4A1A"/>
    <w:rsid w:val="001A4F60"/>
    <w:rsid w:val="001A5E57"/>
    <w:rsid w:val="001A6504"/>
    <w:rsid w:val="001A7AD0"/>
    <w:rsid w:val="001B2667"/>
    <w:rsid w:val="001B422A"/>
    <w:rsid w:val="001B7687"/>
    <w:rsid w:val="001C7833"/>
    <w:rsid w:val="001D2C04"/>
    <w:rsid w:val="001D3B62"/>
    <w:rsid w:val="001D41D5"/>
    <w:rsid w:val="001D7A6B"/>
    <w:rsid w:val="001E1138"/>
    <w:rsid w:val="001E134D"/>
    <w:rsid w:val="001E288A"/>
    <w:rsid w:val="001E2B3D"/>
    <w:rsid w:val="001E2D11"/>
    <w:rsid w:val="001E302D"/>
    <w:rsid w:val="001E328D"/>
    <w:rsid w:val="001E4E2A"/>
    <w:rsid w:val="001E7675"/>
    <w:rsid w:val="001F1FAF"/>
    <w:rsid w:val="001F52E4"/>
    <w:rsid w:val="001F5B07"/>
    <w:rsid w:val="001F698E"/>
    <w:rsid w:val="001F756A"/>
    <w:rsid w:val="00207263"/>
    <w:rsid w:val="00211C03"/>
    <w:rsid w:val="00213372"/>
    <w:rsid w:val="00213BA4"/>
    <w:rsid w:val="00216E79"/>
    <w:rsid w:val="00217331"/>
    <w:rsid w:val="00220532"/>
    <w:rsid w:val="00220A78"/>
    <w:rsid w:val="002210A4"/>
    <w:rsid w:val="002235F1"/>
    <w:rsid w:val="0022552E"/>
    <w:rsid w:val="00230823"/>
    <w:rsid w:val="0023791A"/>
    <w:rsid w:val="00237C1E"/>
    <w:rsid w:val="00242A8B"/>
    <w:rsid w:val="00246A08"/>
    <w:rsid w:val="002510FC"/>
    <w:rsid w:val="002516D8"/>
    <w:rsid w:val="0025350A"/>
    <w:rsid w:val="00253E7E"/>
    <w:rsid w:val="00255238"/>
    <w:rsid w:val="00255C94"/>
    <w:rsid w:val="0025611E"/>
    <w:rsid w:val="00257664"/>
    <w:rsid w:val="00265315"/>
    <w:rsid w:val="00265CB5"/>
    <w:rsid w:val="00266588"/>
    <w:rsid w:val="002666D4"/>
    <w:rsid w:val="00267694"/>
    <w:rsid w:val="00272EE9"/>
    <w:rsid w:val="00273D4F"/>
    <w:rsid w:val="0027598F"/>
    <w:rsid w:val="00276CFF"/>
    <w:rsid w:val="00277F79"/>
    <w:rsid w:val="00283880"/>
    <w:rsid w:val="00283CF4"/>
    <w:rsid w:val="00284731"/>
    <w:rsid w:val="002871B9"/>
    <w:rsid w:val="00291917"/>
    <w:rsid w:val="00293BA0"/>
    <w:rsid w:val="00297CD8"/>
    <w:rsid w:val="002A08B2"/>
    <w:rsid w:val="002A4111"/>
    <w:rsid w:val="002A445A"/>
    <w:rsid w:val="002B23B5"/>
    <w:rsid w:val="002B2C78"/>
    <w:rsid w:val="002B63BA"/>
    <w:rsid w:val="002B6C9D"/>
    <w:rsid w:val="002C40D4"/>
    <w:rsid w:val="002C6A7A"/>
    <w:rsid w:val="002C6FEC"/>
    <w:rsid w:val="002D4827"/>
    <w:rsid w:val="002D513A"/>
    <w:rsid w:val="002D772A"/>
    <w:rsid w:val="002D7B33"/>
    <w:rsid w:val="002E05E0"/>
    <w:rsid w:val="002E235F"/>
    <w:rsid w:val="002E2A84"/>
    <w:rsid w:val="002E34D5"/>
    <w:rsid w:val="002E40FA"/>
    <w:rsid w:val="002F2CAC"/>
    <w:rsid w:val="002F3ABB"/>
    <w:rsid w:val="002F4EDB"/>
    <w:rsid w:val="003000A9"/>
    <w:rsid w:val="00300B5B"/>
    <w:rsid w:val="00300FAE"/>
    <w:rsid w:val="0030216F"/>
    <w:rsid w:val="00303770"/>
    <w:rsid w:val="00313F77"/>
    <w:rsid w:val="00317A04"/>
    <w:rsid w:val="003211FA"/>
    <w:rsid w:val="003227A4"/>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0A5E"/>
    <w:rsid w:val="00350DE1"/>
    <w:rsid w:val="00351E6A"/>
    <w:rsid w:val="00352CFA"/>
    <w:rsid w:val="00352D35"/>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902"/>
    <w:rsid w:val="00394A61"/>
    <w:rsid w:val="00395DE3"/>
    <w:rsid w:val="0039669B"/>
    <w:rsid w:val="00396B2D"/>
    <w:rsid w:val="003A03BA"/>
    <w:rsid w:val="003B03B9"/>
    <w:rsid w:val="003B0A6F"/>
    <w:rsid w:val="003B35CD"/>
    <w:rsid w:val="003C3264"/>
    <w:rsid w:val="003C3706"/>
    <w:rsid w:val="003C5211"/>
    <w:rsid w:val="003D14B4"/>
    <w:rsid w:val="003D1B8D"/>
    <w:rsid w:val="003D7817"/>
    <w:rsid w:val="003E077A"/>
    <w:rsid w:val="003E168C"/>
    <w:rsid w:val="003E2638"/>
    <w:rsid w:val="003E2F89"/>
    <w:rsid w:val="003E611C"/>
    <w:rsid w:val="003E64C0"/>
    <w:rsid w:val="003E71E3"/>
    <w:rsid w:val="003F0E4A"/>
    <w:rsid w:val="003F32E3"/>
    <w:rsid w:val="003F38BA"/>
    <w:rsid w:val="003F4566"/>
    <w:rsid w:val="003F4757"/>
    <w:rsid w:val="003F50E3"/>
    <w:rsid w:val="003F5E9F"/>
    <w:rsid w:val="003F6DD2"/>
    <w:rsid w:val="00400178"/>
    <w:rsid w:val="004025E2"/>
    <w:rsid w:val="00411460"/>
    <w:rsid w:val="004117E7"/>
    <w:rsid w:val="0041367A"/>
    <w:rsid w:val="00417F55"/>
    <w:rsid w:val="0042068A"/>
    <w:rsid w:val="00421E95"/>
    <w:rsid w:val="00423903"/>
    <w:rsid w:val="00425192"/>
    <w:rsid w:val="0042563E"/>
    <w:rsid w:val="004263C6"/>
    <w:rsid w:val="004279CD"/>
    <w:rsid w:val="0043397D"/>
    <w:rsid w:val="00434C06"/>
    <w:rsid w:val="0043503F"/>
    <w:rsid w:val="00443326"/>
    <w:rsid w:val="00443562"/>
    <w:rsid w:val="004438C6"/>
    <w:rsid w:val="00443F6E"/>
    <w:rsid w:val="00444D30"/>
    <w:rsid w:val="004477DB"/>
    <w:rsid w:val="00451E4F"/>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A7635"/>
    <w:rsid w:val="004B17C9"/>
    <w:rsid w:val="004B4016"/>
    <w:rsid w:val="004B4329"/>
    <w:rsid w:val="004C1431"/>
    <w:rsid w:val="004C14F4"/>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27F0"/>
    <w:rsid w:val="004E548E"/>
    <w:rsid w:val="004E62A3"/>
    <w:rsid w:val="004E747B"/>
    <w:rsid w:val="004F0870"/>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50FC"/>
    <w:rsid w:val="005368DD"/>
    <w:rsid w:val="00541737"/>
    <w:rsid w:val="005418E9"/>
    <w:rsid w:val="00541F81"/>
    <w:rsid w:val="00543328"/>
    <w:rsid w:val="00543A54"/>
    <w:rsid w:val="00544F10"/>
    <w:rsid w:val="00545EF0"/>
    <w:rsid w:val="00551212"/>
    <w:rsid w:val="0055265F"/>
    <w:rsid w:val="00554477"/>
    <w:rsid w:val="00555796"/>
    <w:rsid w:val="00555B6A"/>
    <w:rsid w:val="00557EDB"/>
    <w:rsid w:val="0056084C"/>
    <w:rsid w:val="005626BA"/>
    <w:rsid w:val="00563099"/>
    <w:rsid w:val="00566458"/>
    <w:rsid w:val="00572515"/>
    <w:rsid w:val="00573326"/>
    <w:rsid w:val="00573C9E"/>
    <w:rsid w:val="005766B1"/>
    <w:rsid w:val="00581670"/>
    <w:rsid w:val="00581E90"/>
    <w:rsid w:val="0058392D"/>
    <w:rsid w:val="00584A63"/>
    <w:rsid w:val="005857FD"/>
    <w:rsid w:val="00585A9D"/>
    <w:rsid w:val="00587686"/>
    <w:rsid w:val="00593B27"/>
    <w:rsid w:val="005967C7"/>
    <w:rsid w:val="0059698F"/>
    <w:rsid w:val="00596CCC"/>
    <w:rsid w:val="005A0C4C"/>
    <w:rsid w:val="005A15B6"/>
    <w:rsid w:val="005C54DA"/>
    <w:rsid w:val="005C6BF4"/>
    <w:rsid w:val="005D04C7"/>
    <w:rsid w:val="005D52ED"/>
    <w:rsid w:val="005D5F9D"/>
    <w:rsid w:val="005D714F"/>
    <w:rsid w:val="005E19B7"/>
    <w:rsid w:val="005E65B7"/>
    <w:rsid w:val="005F3B74"/>
    <w:rsid w:val="005F3C37"/>
    <w:rsid w:val="005F3CBC"/>
    <w:rsid w:val="005F7050"/>
    <w:rsid w:val="00601392"/>
    <w:rsid w:val="00610458"/>
    <w:rsid w:val="00611886"/>
    <w:rsid w:val="006127A9"/>
    <w:rsid w:val="0061419D"/>
    <w:rsid w:val="0061477F"/>
    <w:rsid w:val="0061689F"/>
    <w:rsid w:val="00616A19"/>
    <w:rsid w:val="00617F30"/>
    <w:rsid w:val="00623FA5"/>
    <w:rsid w:val="00626266"/>
    <w:rsid w:val="00630B9F"/>
    <w:rsid w:val="006314A2"/>
    <w:rsid w:val="0063391C"/>
    <w:rsid w:val="00634FA4"/>
    <w:rsid w:val="00640D6E"/>
    <w:rsid w:val="0064154F"/>
    <w:rsid w:val="00645A27"/>
    <w:rsid w:val="00651CAA"/>
    <w:rsid w:val="00653733"/>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87F34"/>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03C"/>
    <w:rsid w:val="00703DA6"/>
    <w:rsid w:val="00717BE1"/>
    <w:rsid w:val="00722301"/>
    <w:rsid w:val="00723A13"/>
    <w:rsid w:val="0072634C"/>
    <w:rsid w:val="00730D57"/>
    <w:rsid w:val="00731FA3"/>
    <w:rsid w:val="00732974"/>
    <w:rsid w:val="00732B2C"/>
    <w:rsid w:val="00734435"/>
    <w:rsid w:val="007344B8"/>
    <w:rsid w:val="00734C51"/>
    <w:rsid w:val="0073541F"/>
    <w:rsid w:val="0074138E"/>
    <w:rsid w:val="00742AC0"/>
    <w:rsid w:val="00744170"/>
    <w:rsid w:val="00744219"/>
    <w:rsid w:val="0074692C"/>
    <w:rsid w:val="007504B3"/>
    <w:rsid w:val="00753E38"/>
    <w:rsid w:val="0075586A"/>
    <w:rsid w:val="0075652B"/>
    <w:rsid w:val="0075790B"/>
    <w:rsid w:val="00766D6F"/>
    <w:rsid w:val="00767450"/>
    <w:rsid w:val="00771C29"/>
    <w:rsid w:val="00773E6B"/>
    <w:rsid w:val="007765CA"/>
    <w:rsid w:val="0078186D"/>
    <w:rsid w:val="00781EA5"/>
    <w:rsid w:val="00781FC7"/>
    <w:rsid w:val="00782CBD"/>
    <w:rsid w:val="0078373E"/>
    <w:rsid w:val="007848F3"/>
    <w:rsid w:val="007914D6"/>
    <w:rsid w:val="00792E36"/>
    <w:rsid w:val="00793ABC"/>
    <w:rsid w:val="0079569E"/>
    <w:rsid w:val="007A0071"/>
    <w:rsid w:val="007A068A"/>
    <w:rsid w:val="007A2E40"/>
    <w:rsid w:val="007A3A39"/>
    <w:rsid w:val="007A49FA"/>
    <w:rsid w:val="007A5E03"/>
    <w:rsid w:val="007A67A9"/>
    <w:rsid w:val="007A6E1D"/>
    <w:rsid w:val="007B41E3"/>
    <w:rsid w:val="007D19AF"/>
    <w:rsid w:val="007D4311"/>
    <w:rsid w:val="007D593E"/>
    <w:rsid w:val="007D7652"/>
    <w:rsid w:val="007D7BD1"/>
    <w:rsid w:val="007E1A3C"/>
    <w:rsid w:val="007E33E5"/>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D67"/>
    <w:rsid w:val="00810F16"/>
    <w:rsid w:val="008120E2"/>
    <w:rsid w:val="008138ED"/>
    <w:rsid w:val="0081693C"/>
    <w:rsid w:val="00821CAB"/>
    <w:rsid w:val="008256DE"/>
    <w:rsid w:val="0082622B"/>
    <w:rsid w:val="00826DEA"/>
    <w:rsid w:val="0082726C"/>
    <w:rsid w:val="0083111B"/>
    <w:rsid w:val="0083237E"/>
    <w:rsid w:val="008349BE"/>
    <w:rsid w:val="00835BE5"/>
    <w:rsid w:val="00835E7F"/>
    <w:rsid w:val="00835F3D"/>
    <w:rsid w:val="008364AE"/>
    <w:rsid w:val="00837491"/>
    <w:rsid w:val="0084708F"/>
    <w:rsid w:val="008540F1"/>
    <w:rsid w:val="0085797C"/>
    <w:rsid w:val="00860295"/>
    <w:rsid w:val="008605A2"/>
    <w:rsid w:val="00865532"/>
    <w:rsid w:val="00865909"/>
    <w:rsid w:val="00873ED6"/>
    <w:rsid w:val="00875463"/>
    <w:rsid w:val="00875C1B"/>
    <w:rsid w:val="00876848"/>
    <w:rsid w:val="00877E75"/>
    <w:rsid w:val="008806D3"/>
    <w:rsid w:val="0088071E"/>
    <w:rsid w:val="00880A30"/>
    <w:rsid w:val="008840AF"/>
    <w:rsid w:val="008865F3"/>
    <w:rsid w:val="00891450"/>
    <w:rsid w:val="008915E7"/>
    <w:rsid w:val="008929E4"/>
    <w:rsid w:val="00894B06"/>
    <w:rsid w:val="00897A27"/>
    <w:rsid w:val="008A1475"/>
    <w:rsid w:val="008A323A"/>
    <w:rsid w:val="008A4436"/>
    <w:rsid w:val="008A6AEB"/>
    <w:rsid w:val="008A7494"/>
    <w:rsid w:val="008B2A9C"/>
    <w:rsid w:val="008B6918"/>
    <w:rsid w:val="008C08B5"/>
    <w:rsid w:val="008C0A6A"/>
    <w:rsid w:val="008C1EA7"/>
    <w:rsid w:val="008C2D88"/>
    <w:rsid w:val="008C600F"/>
    <w:rsid w:val="008C71F8"/>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2F17"/>
    <w:rsid w:val="00914BF5"/>
    <w:rsid w:val="00916765"/>
    <w:rsid w:val="00917414"/>
    <w:rsid w:val="0092189B"/>
    <w:rsid w:val="0092365D"/>
    <w:rsid w:val="00923E14"/>
    <w:rsid w:val="00924223"/>
    <w:rsid w:val="00925377"/>
    <w:rsid w:val="00930981"/>
    <w:rsid w:val="00930F29"/>
    <w:rsid w:val="00932BA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87B9C"/>
    <w:rsid w:val="0099055C"/>
    <w:rsid w:val="00991F6F"/>
    <w:rsid w:val="009933D5"/>
    <w:rsid w:val="009943DF"/>
    <w:rsid w:val="009954E4"/>
    <w:rsid w:val="009A09E3"/>
    <w:rsid w:val="009A3269"/>
    <w:rsid w:val="009A3715"/>
    <w:rsid w:val="009A7696"/>
    <w:rsid w:val="009B1242"/>
    <w:rsid w:val="009B1CA9"/>
    <w:rsid w:val="009B439F"/>
    <w:rsid w:val="009B43D7"/>
    <w:rsid w:val="009B799E"/>
    <w:rsid w:val="009C3FD3"/>
    <w:rsid w:val="009C43E8"/>
    <w:rsid w:val="009C57A5"/>
    <w:rsid w:val="009C692E"/>
    <w:rsid w:val="009E01B4"/>
    <w:rsid w:val="009E0F5B"/>
    <w:rsid w:val="009E2528"/>
    <w:rsid w:val="009E498B"/>
    <w:rsid w:val="009E53C9"/>
    <w:rsid w:val="009E67C3"/>
    <w:rsid w:val="009F3C8F"/>
    <w:rsid w:val="009F4499"/>
    <w:rsid w:val="009F4648"/>
    <w:rsid w:val="009F46C5"/>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400FF"/>
    <w:rsid w:val="00A50EFA"/>
    <w:rsid w:val="00A5532D"/>
    <w:rsid w:val="00A55F2C"/>
    <w:rsid w:val="00A60B3A"/>
    <w:rsid w:val="00A63218"/>
    <w:rsid w:val="00A63B49"/>
    <w:rsid w:val="00A64F2C"/>
    <w:rsid w:val="00A71144"/>
    <w:rsid w:val="00A72841"/>
    <w:rsid w:val="00A73B56"/>
    <w:rsid w:val="00A73D15"/>
    <w:rsid w:val="00A82504"/>
    <w:rsid w:val="00A84498"/>
    <w:rsid w:val="00A85356"/>
    <w:rsid w:val="00A90841"/>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3D47"/>
    <w:rsid w:val="00AF7E88"/>
    <w:rsid w:val="00B00158"/>
    <w:rsid w:val="00B02260"/>
    <w:rsid w:val="00B032DC"/>
    <w:rsid w:val="00B03CC9"/>
    <w:rsid w:val="00B04B9C"/>
    <w:rsid w:val="00B100B1"/>
    <w:rsid w:val="00B11DA2"/>
    <w:rsid w:val="00B13451"/>
    <w:rsid w:val="00B148A9"/>
    <w:rsid w:val="00B16D37"/>
    <w:rsid w:val="00B2269C"/>
    <w:rsid w:val="00B22705"/>
    <w:rsid w:val="00B22B0C"/>
    <w:rsid w:val="00B23C6B"/>
    <w:rsid w:val="00B31E7A"/>
    <w:rsid w:val="00B3335C"/>
    <w:rsid w:val="00B359C1"/>
    <w:rsid w:val="00B36CA6"/>
    <w:rsid w:val="00B457F7"/>
    <w:rsid w:val="00B50D87"/>
    <w:rsid w:val="00B51AD5"/>
    <w:rsid w:val="00B54A97"/>
    <w:rsid w:val="00B60790"/>
    <w:rsid w:val="00B623F9"/>
    <w:rsid w:val="00B626A0"/>
    <w:rsid w:val="00B648F4"/>
    <w:rsid w:val="00B6547E"/>
    <w:rsid w:val="00B65CFE"/>
    <w:rsid w:val="00B70213"/>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56ECA"/>
    <w:rsid w:val="00C61942"/>
    <w:rsid w:val="00C65644"/>
    <w:rsid w:val="00C66032"/>
    <w:rsid w:val="00C66B8C"/>
    <w:rsid w:val="00C70B5B"/>
    <w:rsid w:val="00C70BEF"/>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21BA"/>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0E"/>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87554"/>
    <w:rsid w:val="00D9060A"/>
    <w:rsid w:val="00D97751"/>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DF6CE4"/>
    <w:rsid w:val="00E027DF"/>
    <w:rsid w:val="00E0442D"/>
    <w:rsid w:val="00E05543"/>
    <w:rsid w:val="00E12B48"/>
    <w:rsid w:val="00E135D2"/>
    <w:rsid w:val="00E1598A"/>
    <w:rsid w:val="00E15CFE"/>
    <w:rsid w:val="00E1634D"/>
    <w:rsid w:val="00E16E4E"/>
    <w:rsid w:val="00E17CB8"/>
    <w:rsid w:val="00E215E6"/>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28E5"/>
    <w:rsid w:val="00E57157"/>
    <w:rsid w:val="00E620BF"/>
    <w:rsid w:val="00E6478A"/>
    <w:rsid w:val="00E667C0"/>
    <w:rsid w:val="00E67520"/>
    <w:rsid w:val="00E71AA6"/>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A488A"/>
    <w:rsid w:val="00EB361E"/>
    <w:rsid w:val="00EB47EC"/>
    <w:rsid w:val="00EB4BF5"/>
    <w:rsid w:val="00EB6212"/>
    <w:rsid w:val="00EC1FAF"/>
    <w:rsid w:val="00EC3159"/>
    <w:rsid w:val="00EC6127"/>
    <w:rsid w:val="00ED1829"/>
    <w:rsid w:val="00ED3A88"/>
    <w:rsid w:val="00ED47B2"/>
    <w:rsid w:val="00EE1CBE"/>
    <w:rsid w:val="00EE65BC"/>
    <w:rsid w:val="00EF4070"/>
    <w:rsid w:val="00EF52AF"/>
    <w:rsid w:val="00EF640A"/>
    <w:rsid w:val="00EF6438"/>
    <w:rsid w:val="00EF71ED"/>
    <w:rsid w:val="00EF75DF"/>
    <w:rsid w:val="00F005C9"/>
    <w:rsid w:val="00F00C0C"/>
    <w:rsid w:val="00F04FE8"/>
    <w:rsid w:val="00F07F92"/>
    <w:rsid w:val="00F10E98"/>
    <w:rsid w:val="00F11331"/>
    <w:rsid w:val="00F11DD1"/>
    <w:rsid w:val="00F128C9"/>
    <w:rsid w:val="00F1538B"/>
    <w:rsid w:val="00F15C55"/>
    <w:rsid w:val="00F16449"/>
    <w:rsid w:val="00F1669A"/>
    <w:rsid w:val="00F2095B"/>
    <w:rsid w:val="00F2160E"/>
    <w:rsid w:val="00F2193B"/>
    <w:rsid w:val="00F24C6F"/>
    <w:rsid w:val="00F2549A"/>
    <w:rsid w:val="00F27A1D"/>
    <w:rsid w:val="00F31256"/>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5836"/>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2AA"/>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1DAA"/>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FCE200C-8843-8145-BD58-E438DAD8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5567</Words>
  <Characters>28841</Characters>
  <Application>Microsoft Macintosh Word</Application>
  <DocSecurity>0</DocSecurity>
  <Lines>457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47</cp:revision>
  <dcterms:created xsi:type="dcterms:W3CDTF">2016-12-22T09:26:00Z</dcterms:created>
  <dcterms:modified xsi:type="dcterms:W3CDTF">2016-12-22T20:30:00Z</dcterms:modified>
</cp:coreProperties>
</file>