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0E19" w14:textId="77777777" w:rsidR="00C117F3" w:rsidRDefault="00C117F3">
      <w:pPr>
        <w:rPr>
          <w:color w:val="000000"/>
          <w:lang w:val="en-US"/>
        </w:rPr>
      </w:pPr>
    </w:p>
    <w:p w14:paraId="0120CA33" w14:textId="1BA1C69E" w:rsidR="00C117F3" w:rsidRPr="00921F55" w:rsidRDefault="00C117F3">
      <w:pPr>
        <w:pStyle w:val="Heading1"/>
        <w:rPr>
          <w:b/>
          <w:lang w:val="fr-CH"/>
        </w:rPr>
      </w:pPr>
      <w:r>
        <w:rPr>
          <w:b/>
          <w:lang w:val="fr-CH"/>
        </w:rPr>
        <w:t>Mauvaises graines</w:t>
      </w:r>
      <w:r w:rsidR="008D45C4">
        <w:rPr>
          <w:b/>
          <w:lang w:val="fr-CH"/>
        </w:rPr>
        <w:t xml:space="preserve"> : </w:t>
      </w:r>
      <w:r>
        <w:rPr>
          <w:b/>
          <w:lang w:val="fr-CH"/>
        </w:rPr>
        <w:t>de la nouvelle sérialisée au film</w:t>
      </w:r>
    </w:p>
    <w:p w14:paraId="61F9B654" w14:textId="1796C69D" w:rsidR="00C117F3" w:rsidRPr="00FD1552" w:rsidRDefault="00C117F3">
      <w:pPr>
        <w:pStyle w:val="Mmoire"/>
        <w:rPr>
          <w:i/>
          <w:lang w:val="fr-CH"/>
        </w:rPr>
      </w:pPr>
      <w:r>
        <w:rPr>
          <w:lang w:val="fr-CH"/>
        </w:rPr>
        <w:t>Ce</w:t>
      </w:r>
      <w:r w:rsidR="00D17866">
        <w:rPr>
          <w:lang w:val="fr-CH"/>
        </w:rPr>
        <w:t>tte</w:t>
      </w:r>
      <w:r>
        <w:rPr>
          <w:lang w:val="fr-CH"/>
        </w:rPr>
        <w:t xml:space="preserve"> </w:t>
      </w:r>
      <w:r w:rsidR="00D17866">
        <w:rPr>
          <w:lang w:val="fr-CH"/>
        </w:rPr>
        <w:t>partie</w:t>
      </w:r>
      <w:r>
        <w:rPr>
          <w:lang w:val="fr-CH"/>
        </w:rPr>
        <w:t xml:space="preserv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w:t>
      </w:r>
      <w:r w:rsidR="008E1FEE">
        <w:rPr>
          <w:lang w:val="fr-CH"/>
        </w:rPr>
        <w:t xml:space="preserve"> L</w:t>
      </w:r>
      <w:r w:rsidR="0016060E">
        <w:rPr>
          <w:lang w:val="fr-CH"/>
        </w:rPr>
        <w:t>a théorie de l’adaptation étant un champ d’étude académique à part entière – bien que au moins indirectement lié à celui du remake – il est difficile d’en offrir un compte rendu complet. Il convient quand-même d’envisager certaines propositions et de considérer leur place dans l’</w:t>
      </w:r>
      <w:r w:rsidR="00751675">
        <w:rPr>
          <w:lang w:val="fr-CH"/>
        </w:rPr>
        <w:t xml:space="preserve">étude de notre objet : </w:t>
      </w:r>
      <w:r w:rsidR="00987188">
        <w:rPr>
          <w:lang w:val="fr-CH"/>
        </w:rPr>
        <w:t>Linda H</w:t>
      </w:r>
      <w:r w:rsidR="00280AD4">
        <w:rPr>
          <w:lang w:val="fr-CH"/>
        </w:rPr>
        <w:t>utcheon</w:t>
      </w:r>
      <w:r w:rsidR="00751675">
        <w:rPr>
          <w:lang w:val="fr-CH"/>
        </w:rPr>
        <w:t xml:space="preserve"> </w:t>
      </w:r>
      <w:r w:rsidR="00280AD4">
        <w:rPr>
          <w:lang w:val="fr-CH"/>
        </w:rPr>
        <w:t>construit sa réflexion autour de la théorie de l’adaptation en structurant son discours</w:t>
      </w:r>
      <w:r w:rsidR="00280AD4">
        <w:rPr>
          <w:rStyle w:val="FootnoteReference"/>
          <w:lang w:val="fr-CH"/>
        </w:rPr>
        <w:footnoteReference w:id="2"/>
      </w:r>
      <w:r w:rsidR="00280AD4">
        <w:rPr>
          <w:lang w:val="fr-CH"/>
        </w:rPr>
        <w:t xml:space="preserve"> autour des questions journalistiques (quoi, qui, pourquoi, comment, où et quand)</w:t>
      </w:r>
      <w:r w:rsidR="00923491">
        <w:rPr>
          <w:lang w:val="fr-CH"/>
        </w:rPr>
        <w:t>.</w:t>
      </w:r>
      <w:r w:rsidR="00927FF7">
        <w:rPr>
          <w:lang w:val="fr-CH"/>
        </w:rPr>
        <w:t xml:space="preserve"> </w:t>
      </w:r>
      <w:r w:rsidR="006203C6">
        <w:rPr>
          <w:lang w:val="fr-CH"/>
        </w:rPr>
        <w:t>Cette approche a pour avantage de considérer aussi bien l</w:t>
      </w:r>
      <w:r w:rsidR="00766685">
        <w:rPr>
          <w:lang w:val="fr-CH"/>
        </w:rPr>
        <w:t xml:space="preserve">’adaptation en tant que forme, que processus créatif et que dans les aspects de sa </w:t>
      </w:r>
      <w:r w:rsidR="005C0322">
        <w:rPr>
          <w:lang w:val="fr-CH"/>
        </w:rPr>
        <w:t>réception</w:t>
      </w:r>
      <w:r w:rsidR="00766685">
        <w:rPr>
          <w:lang w:val="fr-CH"/>
        </w:rPr>
        <w:t>.</w:t>
      </w:r>
      <w:r w:rsidR="005C0322">
        <w:rPr>
          <w:lang w:val="fr-CH"/>
        </w:rPr>
        <w:t xml:space="preserve"> </w:t>
      </w:r>
      <w:r w:rsidR="002B1411">
        <w:rPr>
          <w:lang w:val="fr-CH"/>
        </w:rPr>
        <w:t>Toutefois, l’auteure propose en guise de conclusion de se demander « qu’est-ce qui n’est pas une adaptation ? »</w:t>
      </w:r>
      <w:r w:rsidR="002B1411">
        <w:rPr>
          <w:rStyle w:val="FootnoteReference"/>
          <w:lang w:val="fr-CH"/>
        </w:rPr>
        <w:footnoteReference w:id="3"/>
      </w:r>
      <w:r w:rsidR="002B1411">
        <w:rPr>
          <w:lang w:val="fr-CH"/>
        </w:rPr>
        <w:t> ; sa réponse inclut le remake en postulant que « </w:t>
      </w:r>
      <w:r w:rsidR="00D3697D">
        <w:rPr>
          <w:lang w:val="fr-CH"/>
        </w:rPr>
        <w:t xml:space="preserve">les remakes sont invariablement des adaptations de par leur changement de contexte </w:t>
      </w:r>
      <w:r w:rsidR="002B1411">
        <w:rPr>
          <w:lang w:val="fr-CH"/>
        </w:rPr>
        <w:t>»</w:t>
      </w:r>
      <w:r w:rsidR="00D3697D">
        <w:rPr>
          <w:rStyle w:val="FootnoteReference"/>
          <w:lang w:val="fr-CH"/>
        </w:rPr>
        <w:footnoteReference w:id="4"/>
      </w:r>
      <w:r w:rsidR="0046241E">
        <w:rPr>
          <w:lang w:val="fr-CH"/>
        </w:rPr>
        <w:t xml:space="preserve"> en précisant que « </w:t>
      </w:r>
      <w:r w:rsidR="00AC2F57">
        <w:rPr>
          <w:lang w:val="fr-CH"/>
        </w:rPr>
        <w:t xml:space="preserve">pas toutes les adaptations n’invoquent nécessairement un changement de médium </w:t>
      </w:r>
      <w:r w:rsidR="0046241E">
        <w:rPr>
          <w:lang w:val="fr-CH"/>
        </w:rPr>
        <w:t>»</w:t>
      </w:r>
      <w:r w:rsidR="0046241E">
        <w:rPr>
          <w:rStyle w:val="FootnoteReference"/>
          <w:lang w:val="fr-CH"/>
        </w:rPr>
        <w:footnoteReference w:id="5"/>
      </w:r>
      <w:r w:rsidR="0046241E">
        <w:rPr>
          <w:lang w:val="fr-CH"/>
        </w:rPr>
        <w:t> </w:t>
      </w:r>
      <w:r w:rsidR="00D3697D">
        <w:rPr>
          <w:lang w:val="fr-CH"/>
        </w:rPr>
        <w:t>.</w:t>
      </w:r>
      <w:r w:rsidR="00AC2F57">
        <w:rPr>
          <w:lang w:val="fr-CH"/>
        </w:rPr>
        <w:t xml:space="preserve"> D</w:t>
      </w:r>
      <w:r w:rsidR="00751675">
        <w:rPr>
          <w:lang w:val="fr-CH"/>
        </w:rPr>
        <w:t xml:space="preserve">ans le cas de </w:t>
      </w:r>
      <w:r w:rsidR="00751675">
        <w:rPr>
          <w:i/>
          <w:lang w:val="fr-CH"/>
        </w:rPr>
        <w:t>Invasion of the Body Snatchers</w:t>
      </w:r>
      <w:r w:rsidR="00751675">
        <w:rPr>
          <w:lang w:val="fr-CH"/>
        </w:rPr>
        <w:t xml:space="preserve">, </w:t>
      </w:r>
      <w:r w:rsidR="00AC2F57">
        <w:rPr>
          <w:lang w:val="fr-CH"/>
        </w:rPr>
        <w:t xml:space="preserve">la première remarque perd une partie de son sens </w:t>
      </w:r>
      <w:r w:rsidR="00751675">
        <w:rPr>
          <w:lang w:val="fr-CH"/>
        </w:rPr>
        <w:t>: la quasi simultanéité entre le temps de publication du feuilleton et l’écriture – et tournage – du film de Siege</w:t>
      </w:r>
      <w:r w:rsidR="005864AB">
        <w:rPr>
          <w:lang w:val="fr-CH"/>
        </w:rPr>
        <w:t>l</w:t>
      </w:r>
      <w:r w:rsidR="00751675">
        <w:rPr>
          <w:lang w:val="fr-CH"/>
        </w:rPr>
        <w:t xml:space="preserve">, </w:t>
      </w:r>
      <w:r w:rsidR="007352B6">
        <w:rPr>
          <w:lang w:val="fr-CH"/>
        </w:rPr>
        <w:t>permet difficilement de parler de changement de contexte.</w:t>
      </w:r>
      <w:r w:rsidR="008C6A92">
        <w:rPr>
          <w:lang w:val="fr-CH"/>
        </w:rPr>
        <w:t xml:space="preserve"> Cette définition très inclusive de l’adaptation n’est donc pas </w:t>
      </w:r>
      <w:r w:rsidR="008C6A92">
        <w:rPr>
          <w:lang w:val="fr-CH"/>
        </w:rPr>
        <w:lastRenderedPageBreak/>
        <w:t xml:space="preserve">productive vis-à-vis de notre objet d’étude. Il convient par contre de préciser que </w:t>
      </w:r>
      <w:r w:rsidR="000F68A5">
        <w:rPr>
          <w:lang w:val="fr-CH"/>
        </w:rPr>
        <w:t>les outils</w:t>
      </w:r>
      <w:r w:rsidR="008C6A92">
        <w:rPr>
          <w:lang w:val="fr-CH"/>
        </w:rPr>
        <w:t xml:space="preserve"> d’analyses déployés dans ces théories de l’adaptation (intertextualité, </w:t>
      </w:r>
      <w:r w:rsidR="00230521">
        <w:rPr>
          <w:lang w:val="fr-CH"/>
        </w:rPr>
        <w:t>analyse des discours aut</w:t>
      </w:r>
      <w:r w:rsidR="000F68A5">
        <w:rPr>
          <w:lang w:val="fr-CH"/>
        </w:rPr>
        <w:t xml:space="preserve">our du processus et questions de réception à travers les modes d’engagement) </w:t>
      </w:r>
      <w:r w:rsidR="00541B47">
        <w:rPr>
          <w:lang w:val="fr-CH"/>
        </w:rPr>
        <w:t>partagent beaucoup de similarités avec ceux utilisés dans la cadre des remakes – et, de surcroit, dans le présent travail.</w:t>
      </w:r>
      <w:r w:rsidR="00FD1552">
        <w:rPr>
          <w:lang w:val="fr-CH"/>
        </w:rPr>
        <w:t xml:space="preserve"> Plutôt que de se limiter à l’approche de l’adaptation traitant des liens entre une œuvre source et son œuvre adapté, cette partie propose de dresser une </w:t>
      </w:r>
      <w:r>
        <w:rPr>
          <w:i/>
          <w:lang w:val="fr-CH"/>
        </w:rPr>
        <w:t>généalogie</w:t>
      </w:r>
      <w:r>
        <w:rPr>
          <w:lang w:val="fr-CH"/>
        </w:rPr>
        <w:t xml:space="preserve"> du film de Siegel </w:t>
      </w:r>
      <w:r w:rsidR="00FD1552">
        <w:rPr>
          <w:lang w:val="fr-CH"/>
        </w:rPr>
        <w:t>en</w:t>
      </w:r>
      <w:r>
        <w:rPr>
          <w:lang w:val="fr-CH"/>
        </w:rPr>
        <w:t xml:space="preserve"> discut</w:t>
      </w:r>
      <w:r w:rsidR="00FD1552">
        <w:rPr>
          <w:lang w:val="fr-CH"/>
        </w:rPr>
        <w:t>ant</w:t>
      </w:r>
      <w:r>
        <w:rPr>
          <w:lang w:val="fr-CH"/>
        </w:rPr>
        <w:t xml:space="preserve"> les points essentiels qui rassemblent et </w:t>
      </w:r>
      <w:r w:rsidR="00FD1552">
        <w:rPr>
          <w:lang w:val="fr-CH"/>
        </w:rPr>
        <w:t xml:space="preserve">différencient le film de 1956, le roman publié parallèlement et </w:t>
      </w:r>
      <w:r>
        <w:rPr>
          <w:lang w:val="fr-CH"/>
        </w:rPr>
        <w:t>son œuvre source.</w:t>
      </w:r>
    </w:p>
    <w:p w14:paraId="1039A5CA" w14:textId="0CF37CE8" w:rsidR="008539B7" w:rsidRPr="008539B7" w:rsidRDefault="008539B7" w:rsidP="008A2FD9">
      <w:pPr>
        <w:pStyle w:val="Mmoire"/>
        <w:ind w:firstLine="720"/>
        <w:rPr>
          <w:lang w:val="fr-CH"/>
        </w:rPr>
      </w:pPr>
      <w:r>
        <w:t>En effet</w:t>
      </w:r>
      <w:r w:rsidRPr="008539B7">
        <w:t xml:space="preserve">, et probablement à cause du processus expéditif de l’adaptation filmique de </w:t>
      </w:r>
      <w:r w:rsidRPr="008539B7">
        <w:rPr>
          <w:i/>
        </w:rPr>
        <w:t>Invasion of the Body Snatchers</w:t>
      </w:r>
      <w:r w:rsidR="00BB2FF0">
        <w:t xml:space="preserve"> qui sera détaillé plus bas,</w:t>
      </w:r>
      <w:r w:rsidRPr="008539B7">
        <w:t xml:space="preserve"> aucune étude ne se concentre sur les différences textuelles entre le film et son œuvre source. Il est pourtant difficile d’imaginer que le désaccord entre les parties impliquées n’ait pas trouvé racine dès l’écriture du scénario par Mainwaring. Cette partie propose donc, en acceptant le problème posé par certaines pièces manquantes</w:t>
      </w:r>
      <w:r w:rsidRPr="008539B7">
        <w:rPr>
          <w:vertAlign w:val="superscript"/>
        </w:rPr>
        <w:footnoteReference w:id="6"/>
      </w:r>
      <w:r w:rsidRPr="008539B7">
        <w:t xml:space="preserve">, d’effectuer une comparaison entre le feuilleton publié dans </w:t>
      </w:r>
      <w:r w:rsidRPr="008539B7">
        <w:rPr>
          <w:i/>
        </w:rPr>
        <w:t>Collider’s</w:t>
      </w:r>
      <w:r w:rsidRPr="008539B7">
        <w:t xml:space="preserve"> et le film dans sa version finale (tout en prenant compte, si possible, des changements apportés à cette dernière sur la base des notes de Siegel</w:t>
      </w:r>
      <w:r w:rsidRPr="008539B7">
        <w:rPr>
          <w:vertAlign w:val="superscript"/>
        </w:rPr>
        <w:footnoteReference w:id="7"/>
      </w:r>
      <w:r w:rsidRPr="008539B7">
        <w:t xml:space="preserve"> et Wagner</w:t>
      </w:r>
      <w:r w:rsidRPr="008539B7">
        <w:rPr>
          <w:vertAlign w:val="superscript"/>
        </w:rPr>
        <w:footnoteReference w:id="8"/>
      </w:r>
      <w:r w:rsidRPr="008539B7">
        <w:t>).</w:t>
      </w:r>
    </w:p>
    <w:p w14:paraId="43D4B060" w14:textId="77777777" w:rsidR="00C117F3" w:rsidRDefault="00C117F3">
      <w:pPr>
        <w:pStyle w:val="Heading2"/>
        <w:rPr>
          <w:b/>
        </w:rPr>
      </w:pPr>
    </w:p>
    <w:p w14:paraId="517F1B7B" w14:textId="77777777" w:rsidR="00C117F3" w:rsidRDefault="00C117F3">
      <w:pPr>
        <w:pStyle w:val="Heading2"/>
        <w:rPr>
          <w:b/>
        </w:rPr>
      </w:pPr>
      <w:r>
        <w:rPr>
          <w:b/>
        </w:rPr>
        <w:t>Adaptation : du feuilleton à la série B</w:t>
      </w:r>
    </w:p>
    <w:p w14:paraId="144E17E6" w14:textId="286CFBBD" w:rsidR="00C117F3" w:rsidRDefault="00C117F3">
      <w:pPr>
        <w:pStyle w:val="Mmoire"/>
      </w:pPr>
      <w:r>
        <w:t>C’est dans le magazine bi-hebdomadaire</w:t>
      </w:r>
      <w:r>
        <w:rPr>
          <w:rStyle w:val="FootnoteReference"/>
        </w:rPr>
        <w:footnoteReference w:id="9"/>
      </w:r>
      <w:r>
        <w:t xml:space="preserve"> </w:t>
      </w:r>
      <w:r>
        <w:rPr>
          <w:i/>
        </w:rPr>
        <w:t>Collider’s</w:t>
      </w:r>
      <w:r>
        <w:t xml:space="preserve">, entre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10"/>
      </w:r>
      <w:r>
        <w:t>. Dans une réponse à une lettre à Arthur LeGacy, l’auteur affirme « Tous mes livres sont écrits de cette manière [avec un film en tête] »</w:t>
      </w:r>
      <w:r>
        <w:rPr>
          <w:rStyle w:val="FootnoteReference"/>
        </w:rPr>
        <w:footnoteReference w:id="11"/>
      </w:r>
      <w:r>
        <w:t>, « j’ai toujours affirmé que je n’écris pas réellement des romans, j’écris des films –le roman étant une bonne manière de rendre les producteurs attentifs à mes idées de films »</w:t>
      </w:r>
      <w:r>
        <w:rPr>
          <w:rStyle w:val="FootnoteReference"/>
        </w:rPr>
        <w:footnoteReference w:id="12"/>
      </w:r>
      <w:r>
        <w:t xml:space="preserve">. Si ces propos </w:t>
      </w:r>
      <w:r>
        <w:rPr>
          <w:i/>
        </w:rPr>
        <w:t>a posteriori</w:t>
      </w:r>
      <w:r>
        <w:t xml:space="preserve"> (la correspondance entre LeGacy et Finney ayant eu lieu entre janvier et mai 1975</w:t>
      </w:r>
      <w:r>
        <w:rPr>
          <w:rStyle w:val="FootnoteReference"/>
        </w:rPr>
        <w:footnoteReference w:id="13"/>
      </w:r>
      <w:r>
        <w:t xml:space="preserve">) sont à considérer avec un certain recul, une majorité des dialogues originaux du feuilleton sont présents dans le film, parfois reproduits de manière exacte. Barry Keith Grand relève que certaines descriptions évoquent le style du </w:t>
      </w:r>
      <w:r w:rsidRPr="00F6053A">
        <w:t>film noir</w:t>
      </w:r>
      <w:r>
        <w:t xml:space="preserve"> qui influencera l’aspect visuel de l’adaptation de Siegel</w:t>
      </w:r>
      <w:r>
        <w:rPr>
          <w:rStyle w:val="FootnoteReference"/>
        </w:rPr>
        <w:footnoteReference w:id="14"/>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15"/>
      </w:r>
      <w:r>
        <w:t xml:space="preserve"> en donnant à cette lampe un mouvement et créant ainsi un jeu d’ombre dynamiques (« </w:t>
      </w:r>
      <w:r w:rsidR="008D45C4">
        <w:t>l</w:t>
      </w:r>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16"/>
      </w:r>
      <w:r>
        <w:t xml:space="preserve">) qui n’est pas sans rappeler l’esthétique </w:t>
      </w:r>
      <w:r>
        <w:rPr>
          <w:i/>
        </w:rPr>
        <w:t>low key</w:t>
      </w:r>
      <w:r>
        <w:t xml:space="preserve"> associée au film noir.</w:t>
      </w:r>
    </w:p>
    <w:p w14:paraId="12F7A0B5" w14:textId="73188F2D" w:rsidR="00C117F3" w:rsidRDefault="00C117F3">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7"/>
      </w:r>
      <w:r>
        <w:t>. Ces négociations aboutissent durant le mois de janvier 1955 et donnent lieu à un premier jet du scénario par Daniel Mainwaring le 10 février</w:t>
      </w:r>
      <w:r>
        <w:rPr>
          <w:rStyle w:val="FootnoteReference"/>
        </w:rPr>
        <w:footnoteReference w:id="18"/>
      </w:r>
      <w:r>
        <w:t>, et à un tournage bouclé en 23 jours entre mars et avril de la même année</w:t>
      </w:r>
      <w:r>
        <w:rPr>
          <w:rStyle w:val="FootnoteReference"/>
        </w:rPr>
        <w:footnoteReference w:id="19"/>
      </w:r>
      <w:r>
        <w:t>. Mais cet élan considérable</w:t>
      </w:r>
      <w:r>
        <w:rPr>
          <w:rStyle w:val="FootnoteReference"/>
        </w:rPr>
        <w:footnoteReference w:id="20"/>
      </w:r>
      <w:r>
        <w:t xml:space="preserve"> dans l’écriture et la production du film va rencontrer un frein une fois le montage t</w:t>
      </w:r>
      <w:r w:rsidR="004B23FA">
        <w:t>erminé : les quatre projections-</w:t>
      </w:r>
      <w:r>
        <w:t>test organisées par Wagner entre juin et aout 1955</w:t>
      </w:r>
      <w:r>
        <w:rPr>
          <w:rStyle w:val="FootnoteReference"/>
        </w:rPr>
        <w:footnoteReference w:id="21"/>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22"/>
      </w:r>
      <w:r>
        <w:t xml:space="preserve"> des modifications relatives au montage du film. En réalité, les incertitudes de Wagner par rapport au film avaient déjà commencé avant les premières </w:t>
      </w:r>
      <w:r w:rsidRPr="00ED6D15">
        <w:t>projections</w:t>
      </w:r>
      <w:r w:rsidR="00F6053A" w:rsidRPr="00ED6D15">
        <w:t>-</w:t>
      </w:r>
      <w:r w:rsidRPr="00ED6D15">
        <w:t>test</w:t>
      </w:r>
      <w:r>
        <w:rPr>
          <w:rStyle w:val="FootnoteReference"/>
        </w:rPr>
        <w:footnoteReference w:id="23"/>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24"/>
      </w:r>
      <w:r>
        <w:t xml:space="preserve">. Le 8 juillet, après trois des </w:t>
      </w:r>
      <w:r w:rsidRPr="00ED6D15">
        <w:t>projections-test</w:t>
      </w:r>
      <w:r>
        <w:t>, Wagner rédige un mémorandum adressé au studio suggérant – entre autres – un monologue d’ouverture prononcé par Orson Welles</w:t>
      </w:r>
      <w:r>
        <w:rPr>
          <w:rStyle w:val="FootnoteReference"/>
        </w:rPr>
        <w:footnoteReference w:id="25"/>
      </w:r>
      <w:r>
        <w:t> : une autre manifestation de l’insatisfaction du producteur envers l’ouverture de son film dans son état actuel. Grant attribue ces changements</w:t>
      </w:r>
      <w:r>
        <w:rPr>
          <w:rStyle w:val="FootnoteReference"/>
        </w:rPr>
        <w:footnoteReference w:id="26"/>
      </w:r>
      <w:r>
        <w:t xml:space="preserve"> à une volonté de « rendre le message du film plus explicite »</w:t>
      </w:r>
      <w:r>
        <w:rPr>
          <w:rStyle w:val="FootnoteReference"/>
        </w:rPr>
        <w:footnoteReference w:id="27"/>
      </w:r>
      <w:r>
        <w:t xml:space="preserve"> et « d’aider les spectateurs à suivre l’histoire »</w:t>
      </w:r>
      <w:r>
        <w:rPr>
          <w:rStyle w:val="FootnoteReference"/>
        </w:rPr>
        <w:footnoteReference w:id="28"/>
      </w:r>
      <w:r>
        <w:t>, LaValley et McGee s’accordent à dire que ces changements indiquent une volonté de la part du producteur « d’élever le thème »</w:t>
      </w:r>
      <w:r>
        <w:rPr>
          <w:rStyle w:val="FootnoteReference"/>
        </w:rPr>
        <w:footnoteReference w:id="29"/>
      </w:r>
      <w:r>
        <w:t xml:space="preserve"> du film en lui accordant une note de « respectabilité »</w:t>
      </w:r>
      <w:r>
        <w:rPr>
          <w:rStyle w:val="FootnoteReference"/>
        </w:rPr>
        <w:footnoteReference w:id="30"/>
      </w:r>
      <w:r>
        <w:t>. Une lecture attentive du feuilleton original fait pourtant remarquer que Churchill n’était pas absent du récit source : le discours « </w:t>
      </w:r>
      <w:r>
        <w:rPr>
          <w:lang w:val="fr-CH"/>
        </w:rPr>
        <w:t>We shall fight them in the fields… </w:t>
      </w:r>
      <w:r>
        <w:t>» est cité dans les derniers paragraphes du feuilleton</w:t>
      </w:r>
      <w:r>
        <w:rPr>
          <w:rStyle w:val="FootnoteReference"/>
        </w:rPr>
        <w:footnoteReference w:id="31"/>
      </w:r>
      <w:r>
        <w:t>, la citation étant nominativement attribuée à l’homme d’état britannique</w:t>
      </w:r>
      <w:r>
        <w:rPr>
          <w:rStyle w:val="FootnoteReference"/>
        </w:rPr>
        <w:footnoteReference w:id="32"/>
      </w:r>
      <w:r>
        <w:t>. Ces désaccords entre producteur, réalisateur et studio</w:t>
      </w:r>
      <w:r>
        <w:rPr>
          <w:rStyle w:val="FootnoteReference"/>
        </w:rPr>
        <w:footnoteReference w:id="33"/>
      </w:r>
      <w:r>
        <w:t xml:space="preserve"> résonnent avec l’« instabilité »</w:t>
      </w:r>
      <w:r>
        <w:rPr>
          <w:rStyle w:val="FootnoteReference"/>
        </w:rPr>
        <w:footnoteReference w:id="34"/>
      </w:r>
      <w:r>
        <w:t xml:space="preserve"> du texte dans sa forme filmique, que les monographies dédiées au film ne manquent pas de souligner – à travers le contexte politique, </w:t>
      </w:r>
      <w:r>
        <w:rPr>
          <w:i/>
        </w:rPr>
        <w:t>la blacklist</w:t>
      </w:r>
      <w:r>
        <w:t>, le contexte de production et les aspirations individuelles des professionnels impliqués.</w:t>
      </w:r>
    </w:p>
    <w:p w14:paraId="40DD048A" w14:textId="6CEA2888"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5"/>
      </w:r>
      <w:r>
        <w:t xml:space="preserve"> du danger imminent. Cette scène, tournée par Siegel le 16 septembre</w:t>
      </w:r>
      <w:r>
        <w:rPr>
          <w:rStyle w:val="FootnoteReference"/>
        </w:rPr>
        <w:footnoteReference w:id="36"/>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7"/>
      </w:r>
      <w:r>
        <w:t xml:space="preserve"> ou « moins puissante »</w:t>
      </w:r>
      <w:r>
        <w:rPr>
          <w:rStyle w:val="FootnoteReference"/>
        </w:rPr>
        <w:footnoteReference w:id="38"/>
      </w:r>
      <w:r>
        <w:t>, et, d’autre part, elle confère à l’autorité fédérale</w:t>
      </w:r>
      <w:r>
        <w:rPr>
          <w:rStyle w:val="FootnoteReference"/>
        </w:rPr>
        <w:footnoteReference w:id="39"/>
      </w:r>
      <w:r>
        <w:t xml:space="preserve"> la mission de remédier à la situation</w:t>
      </w:r>
      <w:r>
        <w:rPr>
          <w:rStyle w:val="FootnoteReference"/>
        </w:rPr>
        <w:footnoteReference w:id="40"/>
      </w:r>
      <w:r>
        <w:t xml:space="preserve"> (bien que, comme le fait remarquer M. Keith Booker, « la possibilité que le FBI, la police et l’armée soit déjà contrôlées par les </w:t>
      </w:r>
      <w:r>
        <w:rPr>
          <w:i/>
        </w:rPr>
        <w:t>pod people</w:t>
      </w:r>
      <w:r>
        <w:t xml:space="preserve"> existe. »</w:t>
      </w:r>
      <w:r>
        <w:rPr>
          <w:rStyle w:val="FootnoteReference"/>
        </w:rPr>
        <w:footnoteReference w:id="41"/>
      </w:r>
      <w:r w:rsidR="008D45C4">
        <w:t>)</w:t>
      </w:r>
      <w:r>
        <w:t xml:space="preserve"> Pourtant aucun lien n’est établi entre la fin présentée par le film et celle du feuilleton. Dans le chapitre pénultième du feuilleton, Miles utilise ses dernières forces</w:t>
      </w:r>
      <w:r>
        <w:rPr>
          <w:rStyle w:val="FootnoteReference"/>
        </w:rPr>
        <w:footnoteReference w:id="42"/>
      </w:r>
      <w:r>
        <w:t xml:space="preserve"> pour rassembler assez d’essence afin de démarrer un incendie dans un champ de culture dans un geste de dernier recours</w:t>
      </w:r>
      <w:r>
        <w:rPr>
          <w:rStyle w:val="FootnoteReference"/>
        </w:rPr>
        <w:footnoteReference w:id="43"/>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4"/>
      </w:r>
      <w:r>
        <w:t>, ces derniers ayant également « intercepté les personnes tentant de transporter des pods vers d’autres villes »</w:t>
      </w:r>
      <w:r>
        <w:rPr>
          <w:rStyle w:val="FootnoteReference"/>
        </w:rPr>
        <w:footnoteReference w:id="45"/>
      </w:r>
      <w:r>
        <w:t xml:space="preserve">. Le feuilleton et le film, contrairement à la version originalement tournée et voulue par le réalisateur, partagent donc le motif du recours final à l’autorité qu’incarne le FBI et la 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6"/>
      </w:r>
      <w:r>
        <w:t xml:space="preserve"> et que celui-ci avoue que les ajouts apportés auraient aidé le film</w:t>
      </w:r>
      <w:r>
        <w:rPr>
          <w:rStyle w:val="FootnoteReference"/>
        </w:rPr>
        <w:footnoteReference w:id="47"/>
      </w:r>
      <w:r>
        <w:t>. Le désaveu de Siegel par rapport au récit cadre émane d’une entrevue accordée à Stuart M. Kaminsky en 1976</w:t>
      </w:r>
      <w:r>
        <w:rPr>
          <w:rStyle w:val="FootnoteReference"/>
        </w:rPr>
        <w:footnoteReference w:id="48"/>
      </w:r>
      <w:r>
        <w:t xml:space="preserve"> et semble avoir largement influencé la lecture négative du récit cadre</w:t>
      </w:r>
      <w:r>
        <w:rPr>
          <w:rStyle w:val="FootnoteReference"/>
        </w:rPr>
        <w:footnoteReference w:id="49"/>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50"/>
      </w:r>
      <w:r>
        <w:t xml:space="preserve"> et, d’autre part, sur les tensions existantes entre le texte </w:t>
      </w:r>
      <w:r>
        <w:rPr>
          <w:i/>
        </w:rPr>
        <w:t>à priori</w:t>
      </w:r>
      <w:r>
        <w:t xml:space="preserve"> figé</w:t>
      </w:r>
      <w:r>
        <w:rPr>
          <w:rStyle w:val="FootnoteReference"/>
        </w:rPr>
        <w:footnoteReference w:id="51"/>
      </w:r>
      <w:r>
        <w:t xml:space="preserve"> de Finney et un texte </w:t>
      </w:r>
      <w:r>
        <w:rPr>
          <w:i/>
        </w:rPr>
        <w:t>en devenir</w:t>
      </w:r>
      <w:r>
        <w:t xml:space="preserve"> de Mainwaring/Wagner/Siegel/Allied Artists. Mais l’ajout du récit cadre est loin d’être le seul changement apporté au feuilleton dans le cadre de son adaptation au grand écran : un certain nombre de passages sont modifiés ou supprimés, et un certain nombre de scènes sont ajoutées ; il s’agit à présent de s’intéresser à quelques-unes d’entre elles afin d’interpréter leur implication pour le texte filmique.</w:t>
      </w:r>
    </w:p>
    <w:p w14:paraId="30AC1007" w14:textId="0B850886" w:rsidR="0004710B" w:rsidRDefault="00C117F3">
      <w:pPr>
        <w:pStyle w:val="Mmoire"/>
      </w:pPr>
      <w:r>
        <w:tab/>
        <w:t>Un des changements importants a lieu dans la scène d’</w:t>
      </w:r>
      <w:r>
        <w:rPr>
          <w:i/>
        </w:rPr>
        <w:t>explication</w:t>
      </w:r>
      <w:r>
        <w:t xml:space="preserve">, prenant la forme d’un dialogue entre Miles et un porte-parole des </w:t>
      </w:r>
      <w:r>
        <w:rPr>
          <w:i/>
        </w:rPr>
        <w:t>pod people</w:t>
      </w:r>
      <w:r>
        <w:t>. Dans les deux textes, cette scène a pour fonction principale d’expliquer au lecteur/spectateur les intentions des envahisseurs</w:t>
      </w:r>
      <w:r>
        <w:rPr>
          <w:rStyle w:val="FootnoteReference"/>
        </w:rPr>
        <w:footnoteReference w:id="52"/>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 transformés de se soumettre à leur destinée apparente. Pourtant, cette scène-clé est articulée différemment dans les deux versions des textes, aussi bien dans sa « durée »</w:t>
      </w:r>
      <w:r>
        <w:rPr>
          <w:rStyle w:val="FootnoteReference"/>
        </w:rPr>
        <w:footnoteReference w:id="53"/>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4"/>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5"/>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6"/>
      </w:r>
      <w:r>
        <w:t>, sous forme d’un dialogue a lieu entre les deux personnages</w:t>
      </w:r>
      <w:r>
        <w:rPr>
          <w:rStyle w:val="FootnoteReference"/>
        </w:rPr>
        <w:footnoteReference w:id="57"/>
      </w:r>
      <w:r>
        <w:t xml:space="preserve"> dans lequel le professeur commence par réfuter le contenu de l’article (il affirme que le « journaliste l’a piégé »</w:t>
      </w:r>
      <w:r>
        <w:rPr>
          <w:rStyle w:val="FootnoteReference"/>
        </w:rPr>
        <w:footnoteReference w:id="58"/>
      </w:r>
      <w:r>
        <w:t xml:space="preserve"> et a déformé ses dires</w:t>
      </w:r>
      <w:r>
        <w:rPr>
          <w:rStyle w:val="FootnoteReference"/>
        </w:rPr>
        <w:footnoteReference w:id="59"/>
      </w:r>
      <w:r>
        <w:t>). Cependant, au moment de partir, Miles se positionne en enquêteur</w:t>
      </w:r>
      <w:r>
        <w:rPr>
          <w:rStyle w:val="FootnoteReference"/>
        </w:rPr>
        <w:footnoteReference w:id="60"/>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61"/>
      </w:r>
      <w:r>
        <w:t xml:space="preserve"> du Prof. Budlong. Or, dans le film, le personnage du Prof. Budlong est absent : le rôle de porte-parole est laissé</w:t>
      </w:r>
      <w:r w:rsidR="002F0DCD">
        <w:t xml:space="preserve"> uniquement</w:t>
      </w:r>
      <w:r>
        <w:t xml:space="preserve"> au Dr. Danny Kaufman</w:t>
      </w:r>
      <w:r>
        <w:rPr>
          <w:rStyle w:val="FootnoteReference"/>
        </w:rPr>
        <w:footnoteReference w:id="62"/>
      </w:r>
      <w:r>
        <w:t xml:space="preserve">, ami de Miles et psychiatre de profession. Ce premier changement a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63"/>
      </w:r>
      <w:r>
        <w:t xml:space="preserve"> avec Miles rend son discours et ton détaché d’autant plus troublant. Son explication et le plaidoyer qu’il offre en faveur des </w:t>
      </w:r>
      <w:r>
        <w:rPr>
          <w:i/>
        </w:rPr>
        <w:t>pods</w:t>
      </w:r>
      <w:r>
        <w:t xml:space="preserve"> est bien moins scientifique en teneur que celle du Prof. Budlong. Danny insert des émotions</w:t>
      </w:r>
      <w:r>
        <w:rPr>
          <w:rStyle w:val="FootnoteReference"/>
        </w:rPr>
        <w:footnoteReference w:id="64"/>
      </w:r>
      <w:r>
        <w:t xml:space="preserve"> au cœur de son argumentation, au défaut de l’explication scientifique</w:t>
      </w:r>
      <w:r>
        <w:rPr>
          <w:rStyle w:val="FootnoteReference"/>
        </w:rPr>
        <w:footnoteReference w:id="65"/>
      </w:r>
      <w:r>
        <w:t>. Cette première différence diminue donc l’importance du cadre science-fictionnel du texte en privilégiant l’aspect émotionnel</w:t>
      </w:r>
      <w:r>
        <w:rPr>
          <w:rStyle w:val="FootnoteReference"/>
        </w:rPr>
        <w:footnoteReference w:id="66"/>
      </w:r>
      <w:r>
        <w:t xml:space="preserve"> sur l’explication rationnelle</w:t>
      </w:r>
      <w:r>
        <w:rPr>
          <w:rStyle w:val="FootnoteReference"/>
        </w:rPr>
        <w:footnoteReference w:id="67"/>
      </w:r>
      <w:r w:rsidR="0004710B">
        <w:t>. Si ce changement n’est pas</w:t>
      </w:r>
      <w:r w:rsidR="00AF53CF">
        <w:t xml:space="preserve"> directement</w:t>
      </w:r>
      <w:r w:rsidR="0004710B">
        <w:t xml:space="preserve"> discuté par les auteurs ou dans la littérature secondaire, </w:t>
      </w:r>
      <w:r w:rsidR="00F30EF5">
        <w:t>il implique toutefois u</w:t>
      </w:r>
      <w:r w:rsidR="00C9606B">
        <w:t xml:space="preserve">n changement important quant au genre du film : Telotte </w:t>
      </w:r>
      <w:r w:rsidR="00A86B5D">
        <w:t>explique que cette « tendance à loger un sens de notre humanité dans les sentiments, la passion et le désir – et non dans l’atmosphère de raison et de science qui dominerait le monde de la science-fiction »</w:t>
      </w:r>
      <w:r w:rsidR="00A86B5D">
        <w:rPr>
          <w:rStyle w:val="FootnoteReference"/>
        </w:rPr>
        <w:footnoteReference w:id="68"/>
      </w:r>
      <w:r w:rsidR="008A2B70">
        <w:t xml:space="preserve"> est propre à certains films de science-fiction</w:t>
      </w:r>
      <w:r w:rsidR="008A2B70">
        <w:rPr>
          <w:rStyle w:val="FootnoteReference"/>
        </w:rPr>
        <w:footnoteReference w:id="69"/>
      </w:r>
      <w:r w:rsidR="00A86B5D">
        <w:t xml:space="preserve">. </w:t>
      </w:r>
      <w:r w:rsidR="00BB7BDF">
        <w:t>Selon Telotte, cette tendance a pour effet de révéler les « liens très forts [de ces films] avec le genre de l’horreur »</w:t>
      </w:r>
      <w:r w:rsidR="00BB7BDF">
        <w:rPr>
          <w:rStyle w:val="FootnoteReference"/>
        </w:rPr>
        <w:footnoteReference w:id="70"/>
      </w:r>
      <w:r w:rsidR="004033F7">
        <w:t> ; une affirmation horrifique amplifiée dans le film de Siegel par la réduction –ou même suppression – de certains aspects science-fictionnels du roman de Finney.</w:t>
      </w:r>
      <w:r w:rsidR="0008181D">
        <w:t xml:space="preserve"> Une affirmation qui, il sera discutée plus tard, est expliquée par le réalisateur et terme de choix</w:t>
      </w:r>
      <w:r w:rsidR="001A447F">
        <w:t xml:space="preserve"> face à la volonté de partager une peur personnelle liée à son insomnie.</w:t>
      </w:r>
    </w:p>
    <w:p w14:paraId="7A03F23A" w14:textId="30EB3792" w:rsidR="00C117F3" w:rsidRPr="0004710B" w:rsidRDefault="00C117F3">
      <w:pPr>
        <w:pStyle w:val="Mmoire"/>
      </w:pPr>
      <w:r>
        <w:t xml:space="preserve">Le deuxième changement réside dans la manière dont cette confrontation à lieu : dans le feuilleton, c’est Miles (et Becky) qui se rendent volontairement au domicile du </w:t>
      </w:r>
      <w:r>
        <w:rPr>
          <w:i/>
        </w:rPr>
        <w:t>porte-parole </w:t>
      </w:r>
      <w:r>
        <w:t xml:space="preserve">; dans le film, Danny (accompagné de Jack et d’un officier de police) fait irruption dans le cabinet de Miles, alors que ce dernier et Becky tentent de se cacher pour éviter d’être capturés. Ce changement de dynamique, de la visite cordiale à la prise au piège – d’autant plus accentué par un représentant des forces de l’ordre –, confère </w:t>
      </w:r>
      <w:r>
        <w:rPr>
          <w:i/>
        </w:rPr>
        <w:t xml:space="preserve">dans </w:t>
      </w:r>
      <w:r>
        <w:t>le</w:t>
      </w:r>
      <w:r>
        <w:rPr>
          <w:i/>
        </w:rPr>
        <w:t xml:space="preserve"> </w:t>
      </w:r>
      <w:r>
        <w:t>texte à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71"/>
      </w:r>
      <w:r>
        <w:t xml:space="preserve"> et un baiser entre les deux protagonistes est inclut, Becky affirmant </w:t>
      </w:r>
      <w:r>
        <w:rPr>
          <w:lang w:val="fr-CH"/>
        </w:rPr>
        <w:t>« je veux aimer et être aimée. Je veux tes enfants. Je ne veux pas vivre dans un monde sans amour, sans peine ou sans beauté. Je préfère mourir »</w:t>
      </w:r>
      <w:r>
        <w:rPr>
          <w:rStyle w:val="FootnoteReference"/>
          <w:lang w:val="en-GB"/>
        </w:rPr>
        <w:footnoteReference w:id="72"/>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mariés, mais aucun des deux n’a réussi à faire fonctionner leur mariage [respectif] »</w:t>
      </w:r>
      <w:r>
        <w:rPr>
          <w:rStyle w:val="FootnoteReference"/>
          <w:lang w:val="fr-CH"/>
        </w:rPr>
        <w:footnoteReference w:id="73"/>
      </w:r>
      <w:r>
        <w:rPr>
          <w:lang w:val="fr-CH"/>
        </w:rPr>
        <w:t xml:space="preserve"> et précise </w:t>
      </w:r>
      <w:r w:rsidRPr="00A86C89">
        <w:rPr>
          <w:lang w:val="fr-CH"/>
        </w:rPr>
        <w:t>le divorce dans</w:t>
      </w:r>
      <w:r>
        <w:rPr>
          <w:lang w:val="fr-CH"/>
        </w:rPr>
        <w:t xml:space="preserve"> un dialogue où chaque personnage s’excuse pour l</w:t>
      </w:r>
      <w:r w:rsidR="00795D0F">
        <w:rPr>
          <w:lang w:val="fr-CH"/>
        </w:rPr>
        <w:t xml:space="preserve">’infortune </w:t>
      </w:r>
      <w:r>
        <w:rPr>
          <w:lang w:val="fr-CH"/>
        </w:rPr>
        <w:t>de l’autre. Dans le film, la question est également abordée à travers un dialogue :</w:t>
      </w:r>
    </w:p>
    <w:p w14:paraId="552E13E1"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w:t>
      </w:r>
      <w:r w:rsidRPr="00E3559A">
        <w:rPr>
          <w:rFonts w:asciiTheme="minorHAnsi" w:hAnsiTheme="minorHAnsi"/>
          <w:i/>
          <w:lang w:val="fr-CH"/>
        </w:rPr>
        <w:t>la regardant d’un regard romantique</w:t>
      </w:r>
      <w:r w:rsidRPr="00E3559A">
        <w:rPr>
          <w:rFonts w:asciiTheme="minorHAnsi" w:hAnsiTheme="minorHAnsi"/>
          <w:lang w:val="fr-CH"/>
        </w:rPr>
        <w:t>) Depuis quand est-tu de retour?</w:t>
      </w:r>
    </w:p>
    <w:p w14:paraId="63BD8384"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Je suis revenue de Londres il y’a deux mois. J’ai été à Reno</w:t>
      </w:r>
    </w:p>
    <w:p w14:paraId="786B448E"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Reno?</w:t>
      </w:r>
    </w:p>
    <w:p w14:paraId="4631E11D" w14:textId="5B1D145A" w:rsidR="001337AF" w:rsidRPr="00E3559A" w:rsidRDefault="001337AF" w:rsidP="00BF64C5">
      <w:pPr>
        <w:ind w:left="2160" w:hanging="144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Re</w:t>
      </w:r>
      <w:r w:rsidR="00530575">
        <w:rPr>
          <w:rFonts w:asciiTheme="minorHAnsi" w:hAnsiTheme="minorHAnsi"/>
          <w:lang w:val="fr-CH"/>
        </w:rPr>
        <w:t>n°</w:t>
      </w:r>
      <w:r w:rsidRPr="00E3559A">
        <w:rPr>
          <w:rFonts w:asciiTheme="minorHAnsi" w:hAnsiTheme="minorHAnsi"/>
          <w:lang w:val="fr-CH"/>
        </w:rPr>
        <w:t xml:space="preserve"> (</w:t>
      </w:r>
      <w:r w:rsidRPr="00E3559A">
        <w:rPr>
          <w:rFonts w:asciiTheme="minorHAnsi" w:hAnsiTheme="minorHAnsi"/>
          <w:i/>
          <w:lang w:val="fr-CH"/>
        </w:rPr>
        <w:t>Elle laisse d’échapper un petit rire ironique</w:t>
      </w:r>
      <w:r w:rsidRPr="00E3559A">
        <w:rPr>
          <w:rFonts w:asciiTheme="minorHAnsi" w:hAnsiTheme="minorHAnsi"/>
          <w:lang w:val="fr-CH"/>
        </w:rPr>
        <w:t>) Papa m’a dit que tu y étais aussi.</w:t>
      </w:r>
    </w:p>
    <w:p w14:paraId="0295F42C" w14:textId="77777777" w:rsidR="001337AF" w:rsidRPr="00E3559A" w:rsidRDefault="001337AF" w:rsidP="001337AF">
      <w:pPr>
        <w:spacing w:after="120"/>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Il y’a cinq mois.</w:t>
      </w:r>
      <w:r w:rsidRPr="00E3559A">
        <w:rPr>
          <w:rStyle w:val="FootnoteReference"/>
          <w:rFonts w:asciiTheme="minorHAnsi" w:hAnsiTheme="minorHAnsi"/>
          <w:lang w:val="fr-CH"/>
        </w:rPr>
        <w:footnoteReference w:id="74"/>
      </w:r>
    </w:p>
    <w:p w14:paraId="03514A45" w14:textId="12A4B6E5"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sidRPr="00E57DCF">
        <w:rPr>
          <w:rStyle w:val="FootnoteReference"/>
          <w:lang w:val="fr-CH"/>
        </w:rPr>
        <w:footnoteReference w:id="75"/>
      </w:r>
      <w:r w:rsidRPr="00E57DCF">
        <w:rPr>
          <w:lang w:val="fr-CH"/>
        </w:rPr>
        <w:t>. Bien que le code Hays, en vigueur au moment de la production du film, ne se soucie plus de l’institution du mariage</w:t>
      </w:r>
      <w:r w:rsidR="00917A32" w:rsidRPr="00E57DCF">
        <w:rPr>
          <w:rStyle w:val="FootnoteReference"/>
          <w:lang w:val="fr-CH"/>
        </w:rPr>
        <w:footnoteReference w:id="76"/>
      </w:r>
      <w:r w:rsidRPr="00E57DCF">
        <w:rPr>
          <w:lang w:val="fr-CH"/>
        </w:rPr>
        <w:t>, ce changement informe l’entièreté du traitement de la relation entre les deux personnages dans le film.</w:t>
      </w:r>
      <w:r>
        <w:rPr>
          <w:lang w:val="fr-CH"/>
        </w:rPr>
        <w:t xml:space="preserve"> Les moments romantiques, rares dans le feuilleton</w:t>
      </w:r>
      <w:r>
        <w:rPr>
          <w:rStyle w:val="FootnoteReference"/>
          <w:lang w:val="fr-CH"/>
        </w:rPr>
        <w:footnoteReference w:id="77"/>
      </w:r>
      <w:r>
        <w:rPr>
          <w:lang w:val="fr-CH"/>
        </w:rPr>
        <w:t xml:space="preserve">, sont multipliés dans le film, les plus prévalantes étant une scène de baiser dans une armoire, laquelle se termine sur un fondu au noir et ouvre sur un cendrier rempli de cigarettes et les deux </w:t>
      </w:r>
      <w:r w:rsidR="005E40F9">
        <w:rPr>
          <w:lang w:val="fr-CH"/>
        </w:rPr>
        <w:t>personnages</w:t>
      </w:r>
      <w:r>
        <w:rPr>
          <w:lang w:val="fr-CH"/>
        </w:rPr>
        <w:t xml:space="preserve"> assis l’un </w:t>
      </w:r>
      <w:r w:rsidR="005E40F9">
        <w:rPr>
          <w:lang w:val="fr-CH"/>
        </w:rPr>
        <w:t xml:space="preserve">à côté </w:t>
      </w:r>
      <w:r>
        <w:rPr>
          <w:lang w:val="fr-CH"/>
        </w:rPr>
        <w:t xml:space="preserve">de l’autre. Katrina Mann </w:t>
      </w:r>
      <w:r w:rsidR="00F6782D">
        <w:rPr>
          <w:lang w:val="fr-CH"/>
        </w:rPr>
        <w:t>présente ce plan comme une</w:t>
      </w:r>
      <w:r>
        <w:rPr>
          <w:lang w:val="fr-CH"/>
        </w:rPr>
        <w:t xml:space="preserve"> « commémoration post coïtale avec une tournure macabre »</w:t>
      </w:r>
      <w:r>
        <w:rPr>
          <w:rStyle w:val="FootnoteReference"/>
          <w:lang w:val="fr-CH"/>
        </w:rPr>
        <w:footnoteReference w:id="78"/>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propre au film, largement l’objet de commentaires dans les articles de Mann</w:t>
      </w:r>
      <w:r>
        <w:rPr>
          <w:rStyle w:val="FootnoteReference"/>
          <w:lang w:val="fr-CH"/>
        </w:rPr>
        <w:footnoteReference w:id="79"/>
      </w:r>
      <w:r>
        <w:rPr>
          <w:lang w:val="fr-CH"/>
        </w:rPr>
        <w:t>, Nancy Steffen-Fluhr</w:t>
      </w:r>
      <w:r>
        <w:rPr>
          <w:rStyle w:val="FootnoteReference"/>
          <w:lang w:val="fr-CH"/>
        </w:rPr>
        <w:footnoteReference w:id="80"/>
      </w:r>
      <w:r>
        <w:rPr>
          <w:lang w:val="fr-CH"/>
        </w:rPr>
        <w:t xml:space="preserve"> et Michael Rogin</w:t>
      </w:r>
      <w:r>
        <w:rPr>
          <w:rStyle w:val="FootnoteReference"/>
          <w:lang w:val="fr-CH"/>
        </w:rPr>
        <w:footnoteReference w:id="81"/>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82"/>
      </w:r>
      <w:r>
        <w:rPr>
          <w:lang w:val="fr-CH"/>
        </w:rPr>
        <w:t xml:space="preserve"> durant la période de la Guerre Froide.</w:t>
      </w:r>
      <w:r w:rsidR="00CA6284">
        <w:rPr>
          <w:lang w:val="fr-CH"/>
        </w:rPr>
        <w:t xml:space="preserve"> Cette interprétation</w:t>
      </w:r>
      <w:r w:rsidR="001B171B">
        <w:rPr>
          <w:lang w:val="fr-CH"/>
        </w:rPr>
        <w:t>, qui s’inscrit dans une réflexion plus large sur les rôles genrés dans les productions ciné</w:t>
      </w:r>
      <w:r w:rsidR="0092741A">
        <w:rPr>
          <w:lang w:val="fr-CH"/>
        </w:rPr>
        <w:t>matographiques durant les années 1950</w:t>
      </w:r>
      <w:r w:rsidR="001B171B">
        <w:rPr>
          <w:lang w:val="fr-CH"/>
        </w:rPr>
        <w:t>,</w:t>
      </w:r>
      <w:r w:rsidR="00CA6284">
        <w:rPr>
          <w:lang w:val="fr-CH"/>
        </w:rPr>
        <w:t xml:space="preserve"> </w:t>
      </w:r>
      <w:r w:rsidR="00192783">
        <w:rPr>
          <w:lang w:val="fr-CH"/>
        </w:rPr>
        <w:t>a pour effet d’</w:t>
      </w:r>
      <w:r w:rsidR="001B171B">
        <w:rPr>
          <w:lang w:val="fr-CH"/>
        </w:rPr>
        <w:t>accorde</w:t>
      </w:r>
      <w:r w:rsidR="00192783">
        <w:rPr>
          <w:lang w:val="fr-CH"/>
        </w:rPr>
        <w:t>r</w:t>
      </w:r>
      <w:r w:rsidR="001B171B">
        <w:rPr>
          <w:lang w:val="fr-CH"/>
        </w:rPr>
        <w:t xml:space="preserve"> au film une couche supplémentaire d’horreur</w:t>
      </w:r>
      <w:r w:rsidR="00192783">
        <w:rPr>
          <w:lang w:val="fr-CH"/>
        </w:rPr>
        <w:t>.</w:t>
      </w:r>
      <w:r>
        <w:rPr>
          <w:lang w:val="fr-CH"/>
        </w:rPr>
        <w:t xml:space="preserve"> Elle articule également une forme de </w:t>
      </w:r>
      <w:r>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xml:space="preserve">. En effet, selon Steffen-Fluhr, </w:t>
      </w:r>
      <w:r w:rsidR="001A1617">
        <w:rPr>
          <w:lang w:val="fr-CH"/>
        </w:rPr>
        <w:t>c</w:t>
      </w:r>
      <w:r>
        <w:rPr>
          <w:lang w:val="fr-CH"/>
        </w:rPr>
        <w:t xml:space="preserve">e sont les émotions de Miles </w:t>
      </w:r>
      <w:r w:rsidR="008A734F">
        <w:rPr>
          <w:lang w:val="fr-CH"/>
        </w:rPr>
        <w:t>vis-à-vis de</w:t>
      </w:r>
      <w:r>
        <w:rPr>
          <w:lang w:val="fr-CH"/>
        </w:rPr>
        <w:t xml:space="preserve"> Becky qui </w:t>
      </w:r>
      <w:r w:rsidR="00F34646">
        <w:rPr>
          <w:lang w:val="fr-CH"/>
        </w:rPr>
        <w:t>constituent</w:t>
      </w:r>
      <w:r>
        <w:rPr>
          <w:lang w:val="fr-CH"/>
        </w:rPr>
        <w:t xml:space="preserve"> le « battement de cœur »</w:t>
      </w:r>
      <w:r>
        <w:rPr>
          <w:rStyle w:val="FootnoteReference"/>
          <w:lang w:val="fr-CH"/>
        </w:rPr>
        <w:footnoteReference w:id="83"/>
      </w:r>
      <w:r>
        <w:rPr>
          <w:lang w:val="fr-CH"/>
        </w:rPr>
        <w:t xml:space="preserve"> du film ; celui-ci se construisant en partie autour de l’acceptation/refus de Miles envers Becky</w:t>
      </w:r>
      <w:r>
        <w:rPr>
          <w:rStyle w:val="FootnoteReference"/>
          <w:lang w:val="fr-CH"/>
        </w:rPr>
        <w:footnoteReference w:id="84"/>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l’épilogue du feuilleton affirme que les deux amants sont ensemble et sous-entends qu’ils sont mariés</w:t>
      </w:r>
      <w:r>
        <w:rPr>
          <w:rStyle w:val="FootnoteReference"/>
          <w:lang w:val="fr-CH"/>
        </w:rPr>
        <w:footnoteReference w:id="85"/>
      </w:r>
      <w:r>
        <w:rPr>
          <w:lang w:val="fr-CH"/>
        </w:rPr>
        <w:t>, offrant ainsi un tout autre dénouement à cet arc narratif.</w:t>
      </w:r>
    </w:p>
    <w:p w14:paraId="73450A83" w14:textId="749F03BF" w:rsidR="00E83242" w:rsidRPr="00E83242" w:rsidRDefault="00C117F3" w:rsidP="00E83242">
      <w:pPr>
        <w:pStyle w:val="Mmoire"/>
        <w:ind w:firstLine="720"/>
        <w:rPr>
          <w:lang w:val="fr-CH"/>
        </w:rPr>
      </w:pPr>
      <w:r>
        <w:rPr>
          <w:lang w:val="fr-CH"/>
        </w:rPr>
        <w:t>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du texte opérés par l’adaptation renforcent l’aliénation du personnage principal.</w:t>
      </w:r>
      <w:r w:rsidR="007E3C04">
        <w:rPr>
          <w:lang w:val="fr-CH"/>
        </w:rPr>
        <w:t xml:space="preserve"> Ces changements sont attribuables à la volonté de Siegel de faire du film une œuvre à message personnel retranscrivant ses peurs</w:t>
      </w:r>
      <w:r w:rsidR="00FA203D">
        <w:rPr>
          <w:lang w:val="fr-CH"/>
        </w:rPr>
        <w:t xml:space="preserve"> individuelles</w:t>
      </w:r>
      <w:r w:rsidR="00FA203D">
        <w:rPr>
          <w:rStyle w:val="FootnoteReference"/>
          <w:lang w:val="fr-CH"/>
        </w:rPr>
        <w:footnoteReference w:id="86"/>
      </w:r>
      <w:r w:rsidR="007E3C04">
        <w:rPr>
          <w:lang w:val="fr-CH"/>
        </w:rPr>
        <w:t xml:space="preserve"> mais ont surtout pour effet de créer </w:t>
      </w:r>
      <w:r w:rsidR="00F64E7F">
        <w:rPr>
          <w:lang w:val="fr-CH"/>
        </w:rPr>
        <w:t>un</w:t>
      </w:r>
      <w:r w:rsidR="007E3C04">
        <w:rPr>
          <w:lang w:val="fr-CH"/>
        </w:rPr>
        <w:t xml:space="preserve"> film hybride science-fiction/horreur</w:t>
      </w:r>
      <w:r w:rsidR="00F64E7F">
        <w:rPr>
          <w:lang w:val="fr-CH"/>
        </w:rPr>
        <w:t xml:space="preserve"> ; un mélange mal perçu par Allied Artists et qui se manifeste dans la campagne publicitaire du film </w:t>
      </w:r>
      <w:r w:rsidR="001E4821">
        <w:rPr>
          <w:lang w:val="fr-CH"/>
        </w:rPr>
        <w:t>accentuant tour-à-tour les aspects science-fic</w:t>
      </w:r>
      <w:r w:rsidR="00AD207B">
        <w:rPr>
          <w:lang w:val="fr-CH"/>
        </w:rPr>
        <w:t>tionnels et horrifiques.</w:t>
      </w:r>
      <w:r w:rsidR="00F64E7F">
        <w:rPr>
          <w:lang w:val="fr-CH"/>
        </w:rPr>
        <w:t xml:space="preserve"> </w:t>
      </w:r>
      <w:r w:rsidR="007E3C04">
        <w:rPr>
          <w:lang w:val="fr-CH"/>
        </w:rPr>
        <w:t xml:space="preserve"> </w:t>
      </w:r>
      <w:r>
        <w:rPr>
          <w:lang w:val="fr-CH"/>
        </w:rPr>
        <w:t xml:space="preserve">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r w:rsidR="00FF6274">
        <w:rPr>
          <w:lang w:val="fr-CH"/>
        </w:rPr>
        <w:t xml:space="preserve"> </w:t>
      </w:r>
      <w:r w:rsidR="00234D94">
        <w:rPr>
          <w:lang w:val="fr-CH"/>
        </w:rPr>
        <w:t>Ce changement de statut du héros trouve, au moins en partie, sa source dans le récit cadre </w:t>
      </w:r>
      <w:r w:rsidR="00C12024">
        <w:rPr>
          <w:lang w:val="fr-CH"/>
        </w:rPr>
        <w:t xml:space="preserve">du film </w:t>
      </w:r>
      <w:r w:rsidR="00234D94">
        <w:rPr>
          <w:lang w:val="fr-CH"/>
        </w:rPr>
        <w:t xml:space="preserve">: ce dernier montrant Miles dans ses moments les plus vulnérables et confronté à l’autorité médicale d’un psychiatre mais </w:t>
      </w:r>
      <w:r w:rsidR="005D7AE0">
        <w:rPr>
          <w:lang w:val="fr-CH"/>
        </w:rPr>
        <w:t>également</w:t>
      </w:r>
      <w:r w:rsidR="00234D94">
        <w:rPr>
          <w:lang w:val="fr-CH"/>
        </w:rPr>
        <w:t xml:space="preserve"> physique de la police.</w:t>
      </w:r>
      <w:r w:rsidR="00C12024">
        <w:rPr>
          <w:lang w:val="fr-CH"/>
        </w:rPr>
        <w:t xml:space="preserve"> La </w:t>
      </w:r>
      <w:r w:rsidR="00E83242">
        <w:rPr>
          <w:lang w:val="fr-CH"/>
        </w:rPr>
        <w:t>décision de faire échouer la relation entre Miles et Becky à travers la scène de baiser n’est jamais évoquée directement par Wagner ou Siegel, cette décision a pourtant comme effet d’amplifier l’ambiguïté de la résolution du récit : bien qu’il parvienne à avertir les autorités compétentes</w:t>
      </w:r>
      <w:r w:rsidR="003C7D3D">
        <w:rPr>
          <w:lang w:val="fr-CH"/>
        </w:rPr>
        <w:t xml:space="preserve">, </w:t>
      </w:r>
      <w:r w:rsidR="006F75D6">
        <w:rPr>
          <w:lang w:val="fr-CH"/>
        </w:rPr>
        <w:t>sa volonté – affirmée verbalement à plusieurs reprises – de former un couple avec Becky est vouée à l’échec.</w:t>
      </w:r>
      <w:r w:rsidR="00A2075B">
        <w:rPr>
          <w:lang w:val="fr-CH"/>
        </w:rPr>
        <w:t xml:space="preserve"> Cette résolution ambiguë du film n’est pas commune dans le cinéma hollywoodien pré-</w:t>
      </w:r>
      <w:r w:rsidR="00A2075B" w:rsidRPr="004D744F">
        <w:rPr>
          <w:i/>
          <w:lang w:val="fr-CH"/>
        </w:rPr>
        <w:t>New Hollywood</w:t>
      </w:r>
      <w:r w:rsidR="00A2075B">
        <w:rPr>
          <w:lang w:val="fr-CH"/>
        </w:rPr>
        <w:t xml:space="preserve"> </w:t>
      </w:r>
      <w:r w:rsidR="004D744F">
        <w:rPr>
          <w:lang w:val="fr-CH"/>
        </w:rPr>
        <w:t>qui privilégie les résolutions claires, et très généralement positives.</w:t>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0B105F35" w:rsidR="00C117F3" w:rsidRDefault="00C117F3">
      <w:pPr>
        <w:pStyle w:val="Mmoire"/>
      </w:pPr>
      <w:r>
        <w:t>Comme mentionné plus haut, l’écriture du premier jet du scénario a eu lieu dans les quarante premiers jours de l’année 1955. La première publication de l’histoire de Finney sous forme de roman a eu lieu en 1955 chez Dell Publishing aux Etats-Unis et Eyre &amp; Spottiswoode en Angleterre. Bien que la première édition publiée chez Dell mentionne une date de première impression en avril 1955, il est impossible de déterminer si la rédaction du roman est ultérieure à l’écriture de scénario par Mainwaring</w:t>
      </w:r>
      <w:r>
        <w:rPr>
          <w:rStyle w:val="FootnoteReference"/>
        </w:rPr>
        <w:footnoteReference w:id="87"/>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88"/>
      </w:r>
      <w:r>
        <w:t>. Ce</w:t>
      </w:r>
      <w:r w:rsidR="00BB244B">
        <w:t>tte</w:t>
      </w:r>
      <w:r>
        <w:t xml:space="preserve"> </w:t>
      </w:r>
      <w:r w:rsidR="00BB244B">
        <w:t>partie</w:t>
      </w:r>
      <w:r>
        <w:t xml:space="preserve"> se propose toutefois de comparer l’histoire dans sa version </w:t>
      </w:r>
      <w:r w:rsidR="0068682B" w:rsidRPr="00F228EC">
        <w:t>feuilltonante</w:t>
      </w:r>
      <w:r w:rsidR="00F228EC" w:rsidRPr="00F228EC">
        <w:t xml:space="preserve"> </w:t>
      </w:r>
      <w:r>
        <w:t>et romanesque, avec l’objectif d’évaluer si ces changements sont imputables à l’adaptation filmique de Mainwaring.</w:t>
      </w:r>
      <w:r w:rsidR="0068682B">
        <w:t xml:space="preserve"> Si il s’avère que certains de ces changements sont imputables au scénario du film de Siegel, la filiation des deux versions de Finney s’avérerait être plus complexe qu’une simple transposition d’un médium écrit à l’autre</w:t>
      </w:r>
      <w:r w:rsidR="001945C1">
        <w:t> : le film se verrait intégré dans la lignée de la version écrite du récit</w:t>
      </w:r>
      <w:r w:rsidR="00C321D7">
        <w:rPr>
          <w:rStyle w:val="FootnoteReference"/>
        </w:rPr>
        <w:footnoteReference w:id="89"/>
      </w:r>
      <w:r w:rsidR="001945C1">
        <w:t>.</w:t>
      </w:r>
      <w:r>
        <w:t xml:space="preserve"> En effet, </w:t>
      </w:r>
      <w:r w:rsidR="006B0770">
        <w:t xml:space="preserve">comment </w:t>
      </w:r>
      <w:r>
        <w:t>le film transforme-t-il le roman, et pour quel effet ?</w:t>
      </w:r>
    </w:p>
    <w:p w14:paraId="4FB60B0E" w14:textId="77777777" w:rsidR="00C117F3" w:rsidRDefault="00C117F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90"/>
      </w:r>
      <w:r>
        <w:t> est symbolique à cet égard, particulièrement lorsque l’on prend en compte les débats autour de la post-production du film :</w:t>
      </w:r>
    </w:p>
    <w:p w14:paraId="45D84CC3" w14:textId="77777777" w:rsidR="00974C39" w:rsidRDefault="00974C39" w:rsidP="00974C39">
      <w:pPr>
        <w:spacing w:after="120"/>
        <w:ind w:left="720"/>
      </w:pPr>
      <w:r w:rsidRPr="009079E7">
        <w:t xml:space="preserve">Je vous avertis que ce que vous commencez à lire est plein de </w:t>
      </w:r>
      <w:r>
        <w:t xml:space="preserve">détails inexpliqués </w:t>
      </w:r>
      <w:r w:rsidRPr="009079E7">
        <w:t xml:space="preserve">et de </w:t>
      </w:r>
      <w:r>
        <w:t>questions sans réponses. Tout ne sera pas résolu et expliqué de manière satisfaisante à la fin. En tout pas par moi. Parce que je ne peux affirmer savoir ce qui c’est vraiment passé, ou pourquoi, ou comment cette histoire a commencée, s’est terminée, ou si elle est vraiment terminée; et pourtant j’étais en plein cœur de l’action. Maintenant si vous n’aimez pas ce genre d’histoire, je m’en excuse, et vous ne feriez mieux de ne pas la lire. Tout ce que je peux vous dire est ce que je sais</w:t>
      </w:r>
      <w:r w:rsidRPr="000C7E88">
        <w:rPr>
          <w:lang w:val="fr-CH"/>
        </w:rPr>
        <w:t>.</w:t>
      </w:r>
      <w:r>
        <w:rPr>
          <w:rStyle w:val="FootnoteReference"/>
        </w:rPr>
        <w:footnoteReference w:id="91"/>
      </w:r>
    </w:p>
    <w:p w14:paraId="586704F8" w14:textId="6425C13C" w:rsidR="00C117F3" w:rsidRDefault="00C117F3">
      <w:pPr>
        <w:pStyle w:val="Mmoire"/>
      </w:pPr>
      <w:r>
        <w:t>Cette ouverture, bien qu’elle ne corresponde en rien à celle introduite par le récit-cadre du film, a toutefois pour conséquence de nous livrer également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92"/>
      </w:r>
      <w:r>
        <w:t xml:space="preserve">, le roman opte – tout comme le film –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Miles/Becky : le roman ajoute, par des dialogues supplémentaires, des détails sur leur passé (« Tu te rappelles quand tu m’as appelée, une fois ? »</w:t>
      </w:r>
      <w:r>
        <w:rPr>
          <w:rStyle w:val="FootnoteReference"/>
        </w:rPr>
        <w:footnoteReference w:id="9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94"/>
      </w:r>
      <w:r>
        <w:t>, contre une unique phrase dans le feuilleton</w:t>
      </w:r>
      <w:r>
        <w:rPr>
          <w:rStyle w:val="FootnoteReference"/>
        </w:rPr>
        <w:footnoteReference w:id="9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96"/>
      </w:r>
      <w:r>
        <w:t>, descriptions se calquant à la coupe de cheveux de Dana Wynter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9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9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15D7EE81" w14:textId="77777777" w:rsidR="000E26EA" w:rsidRPr="004A73E3" w:rsidRDefault="000E26EA" w:rsidP="000E26EA">
      <w:pPr>
        <w:spacing w:after="120"/>
        <w:ind w:left="720"/>
        <w:rPr>
          <w:lang w:val="fr-CH"/>
        </w:rPr>
      </w:pPr>
      <w:r w:rsidRPr="00D47C5A">
        <w:rPr>
          <w:lang w:val="fr-CH"/>
        </w:rPr>
        <w:t>Nous étions endormis en moins de cinq minutes, je suppose. J</w:t>
      </w:r>
      <w:r>
        <w:rPr>
          <w:lang w:val="fr-CH"/>
        </w:rPr>
        <w:t>’étais couché, sans toucher Becky si ce n’est mon bras autours de sa taille, et elle avait ses deux mains serrées entre les miennes, comme un enfant. Et nous avons dormi, juste dormi, pour le reste de la nuit. Nous étions fatigués; je n’avais pas dormi depuis trois heures du matin de la nuit précédente. Bref, il y’a un moment et un lieu pour tout, et bien que ce fût peut-être le lieu, ce n’était en tout cas pas le moment pour un million de raisons. Nous avons dormi.</w:t>
      </w:r>
      <w:r>
        <w:rPr>
          <w:rStyle w:val="FootnoteReference"/>
          <w:lang w:val="en-GB"/>
        </w:rPr>
        <w:footnoteReference w:id="99"/>
      </w:r>
    </w:p>
    <w:p w14:paraId="4C53DEEA" w14:textId="280FDF0C"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100"/>
      </w:r>
      <w:r>
        <w:rPr>
          <w:lang w:val="fr-CH"/>
        </w:rPr>
        <w:t>. S’il se peut que le narrateur soit absolument sincère dans sa description des événements, il est aussi envisageable que, à la manière des fondus au noir dans le film, ces passages soient une façon de suggérer une relation sexuelle entre les deux protagonistes.</w:t>
      </w:r>
    </w:p>
    <w:p w14:paraId="489B9F02" w14:textId="416DB043" w:rsidR="00C117F3" w:rsidRDefault="00C117F3">
      <w:pPr>
        <w:pStyle w:val="Mmoire"/>
        <w:rPr>
          <w:lang w:val="fr-CH"/>
        </w:rPr>
      </w:pPr>
      <w:r>
        <w:rPr>
          <w:lang w:val="fr-CH"/>
        </w:rPr>
        <w:tab/>
        <w:t xml:space="preserve">La scène d’explication est le site d’un autre changement important, cette fois-ci au niveau éditorial, et rapproche structurellement le roman du film : comme abordé plus haut, la scène d’explication du feuilleton et celle du film varient par leur contenu mais aussi par leur place dans le récit. Dans le roman, la scène d’explication chez le Prof. Budlong est transposée de manière presque exacte, mais une deuxième scène d’explication – cette fois-ci, axée sur le </w:t>
      </w:r>
      <w:r>
        <w:rPr>
          <w:i/>
          <w:lang w:val="fr-CH"/>
        </w:rPr>
        <w:t>plaidoyer</w:t>
      </w:r>
      <w:r>
        <w:rPr>
          <w:lang w:val="fr-CH"/>
        </w:rPr>
        <w:t xml:space="preserve"> en faveur des </w:t>
      </w:r>
      <w:r>
        <w:rPr>
          <w:i/>
          <w:lang w:val="fr-CH"/>
        </w:rPr>
        <w:t xml:space="preserve">pod people </w:t>
      </w:r>
      <w:r>
        <w:rPr>
          <w:lang w:val="fr-CH"/>
        </w:rPr>
        <w:t>– est ajoutée et a lieu dans le bureau de Miles. La dynamique de la scène du film se retrouve donc dans le roman : l’irruption de plusieurs individus dans le bureau et une longue discussion</w:t>
      </w:r>
      <w:r>
        <w:rPr>
          <w:rStyle w:val="FootnoteReference"/>
          <w:lang w:val="fr-CH"/>
        </w:rPr>
        <w:footnoteReference w:id="101"/>
      </w:r>
      <w:r>
        <w:rPr>
          <w:lang w:val="fr-CH"/>
        </w:rPr>
        <w:t xml:space="preserve"> sur le </w:t>
      </w:r>
      <w:r>
        <w:rPr>
          <w:i/>
          <w:lang w:val="fr-CH"/>
        </w:rPr>
        <w:t>pourquoi</w:t>
      </w:r>
      <w:r>
        <w:rPr>
          <w:lang w:val="fr-CH"/>
        </w:rPr>
        <w:t xml:space="preserve"> de l’invasion qui se conclut avec une lutte entre Miles et les intrus. Ce déplacement et ajout sont la trace la plus significative de l’influence du texte filmique sur le roman, puisqu’il reproduit une des scènes pour l’inclure à nouveau plus tard dans le récit.</w:t>
      </w:r>
    </w:p>
    <w:p w14:paraId="152FEE10" w14:textId="29B3FA84"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102"/>
      </w:r>
      <w:r>
        <w:rPr>
          <w:lang w:val="fr-CH"/>
        </w:rPr>
        <w:t>. Critique à peine déguisée des conséquences de la modernité sur le mode de vie traditionnel américain</w:t>
      </w:r>
      <w:r>
        <w:rPr>
          <w:rStyle w:val="FootnoteReference"/>
          <w:lang w:val="fr-CH"/>
        </w:rPr>
        <w:footnoteReference w:id="10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10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 a moins d’un mois, c’était le magasin le plus propre et le plus visité au bord de la route »</w:t>
      </w:r>
      <w:r>
        <w:rPr>
          <w:rStyle w:val="FootnoteReference"/>
          <w:lang w:val="fr-CH"/>
        </w:rPr>
        <w:footnoteReference w:id="105"/>
      </w:r>
      <w:r>
        <w:rPr>
          <w:lang w:val="fr-CH"/>
        </w:rPr>
        <w:t>. Cette scène contribue à renforcer le ton mystérieux du film, mais évoque aussi une certaine nostalgie de la part du narrateur.</w:t>
      </w:r>
    </w:p>
    <w:p w14:paraId="6ACCA996" w14:textId="65D1A52C" w:rsidR="00C117F3" w:rsidRDefault="00C117F3">
      <w:pPr>
        <w:pStyle w:val="Mmoire"/>
        <w:rPr>
          <w:lang w:val="fr-CH"/>
        </w:rPr>
      </w:pPr>
      <w:r>
        <w:rPr>
          <w:lang w:val="fr-CH"/>
        </w:rPr>
        <w:tab/>
        <w:t xml:space="preserve">Difficile de donner ici une réponse définitive quant à l’influence du film dans la conversion du feuilleton au roman, mais certains éléments permettent au moins d’imaginer une certaine porosité entre les différentes versions. Dans tous les cas, cette comparaison montre que les changements apportés par Finney à son histoire lors de l’édition du roman ne sont pas uniquement imputables au changement de </w:t>
      </w:r>
      <w:r>
        <w:rPr>
          <w:i/>
          <w:lang w:val="fr-CH"/>
        </w:rPr>
        <w:t>format</w:t>
      </w:r>
      <w:r>
        <w:rPr>
          <w:lang w:val="fr-CH"/>
        </w:rPr>
        <w:t xml:space="preserve"> de publication : ils trahissent une volonté de l’auteur </w:t>
      </w:r>
      <w:r w:rsidR="009C1D3E">
        <w:rPr>
          <w:lang w:val="fr-CH"/>
        </w:rPr>
        <w:t xml:space="preserve">de retravailler </w:t>
      </w:r>
      <w:r>
        <w:rPr>
          <w:lang w:val="fr-CH"/>
        </w:rPr>
        <w:t xml:space="preserve">son histoire à travers des modifications de fond plus conséquentes. </w:t>
      </w:r>
    </w:p>
    <w:p w14:paraId="4892CE29" w14:textId="77777777" w:rsidR="00C117F3" w:rsidRDefault="00C117F3" w:rsidP="00A87D26">
      <w:pPr>
        <w:pStyle w:val="Mmoire"/>
        <w:ind w:firstLine="720"/>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2D24777B" w:rsidR="00C117F3" w:rsidRDefault="00C117F3">
      <w:pPr>
        <w:pStyle w:val="Mmoire"/>
      </w:pPr>
      <w:r>
        <w:rPr>
          <w:lang w:val="fr-CH"/>
        </w:rPr>
        <w:t xml:space="preserve">Lors de sa première publication en 1955 par Dell et </w:t>
      </w:r>
      <w:r>
        <w:t xml:space="preserve">Eyre &amp; Spottiswoode,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106"/>
      </w:r>
      <w:r>
        <w:t xml:space="preserve"> et l’illustration</w:t>
      </w:r>
      <w:r>
        <w:rPr>
          <w:rStyle w:val="FootnoteReference"/>
        </w:rPr>
        <w:footnoteReference w:id="107"/>
      </w:r>
      <w:r>
        <w:t xml:space="preserve"> (fig. 1). Ce titre sera conservé pour toutes les éditions ultérieures du roman</w:t>
      </w:r>
      <w:r>
        <w:rPr>
          <w:rStyle w:val="FootnoteReference"/>
        </w:rPr>
        <w:footnoteReference w:id="108"/>
      </w:r>
      <w:r>
        <w:t>, avec la mention « </w:t>
      </w:r>
      <w:r>
        <w:rPr>
          <w:lang w:val="fr-CH"/>
        </w:rPr>
        <w:t xml:space="preserve">By Jack Finney, author of </w:t>
      </w:r>
      <w:r>
        <w:rPr>
          <w:i/>
          <w:lang w:val="fr-CH"/>
        </w:rPr>
        <w:t>Time and Again</w:t>
      </w:r>
      <w:r>
        <w:rPr>
          <w:lang w:val="fr-CH"/>
        </w:rPr>
        <w:t> </w:t>
      </w:r>
      <w:r>
        <w:t>» remplaçant la référence au film au Kaufman. L’édition « 60</w:t>
      </w:r>
      <w:r>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(fig. 2)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r w:rsidR="00684BBC">
        <w:t>le récit de Finney</w:t>
      </w:r>
      <w:r>
        <w:t xml:space="preserve"> avec ses adaptations, probablement dans l’espoir que le succès du film de Kaufman attirera un nouveau lectorat.</w:t>
      </w:r>
    </w:p>
    <w:p w14:paraId="6ED41F77" w14:textId="0FBE314D" w:rsidR="00C117F3" w:rsidRDefault="00C117F3" w:rsidP="0085715E">
      <w:pPr>
        <w:pStyle w:val="Mmoire"/>
      </w:pPr>
      <w:r>
        <w:tab/>
        <w:t xml:space="preserve">Au-delà des </w:t>
      </w:r>
      <w:r w:rsidRPr="006C67F6">
        <w:t>changements</w:t>
      </w:r>
      <w:r>
        <w:t xml:space="preserve"> cosmétiques, les rééditions successives entraînent également leur lot de </w:t>
      </w:r>
      <w:r w:rsidR="00B40115">
        <w:t>variations</w:t>
      </w:r>
      <w:r>
        <w:t xml:space="preserve"> dans le corps même du texte. Une altération intéressante intervient en marge des corrections d’orthographe et de mise en page : alors que le feuilleton ne donne aucune indication quant </w:t>
      </w:r>
      <w:r w:rsidR="00B27D69">
        <w:t>à</w:t>
      </w:r>
      <w:r>
        <w:t xml:space="preserve"> une date exacte</w:t>
      </w:r>
      <w:r>
        <w:rPr>
          <w:rStyle w:val="FootnoteReference"/>
        </w:rPr>
        <w:footnoteReference w:id="109"/>
      </w:r>
      <w:r>
        <w:t xml:space="preserve">, la première édition du roman par Dell évoque les dates très précises du « jeudi 13 août 1953 » (à six heures précises, le début des événements du livre) et d’un événement passé s’étant déroulé le « 2 septembre 1944 ». À partir de l’édition de 1978, la deuxième date reste identique alors que le roman ouvre sur un « jeudi 28 octobre 1976 » (toujours à six heures précise) : il est évident que ces deux éditions placent l’histoire deux années avant la publication. Afin d’éviter certains anachronismes, l’éditeur change également un autre élément </w:t>
      </w:r>
      <w:r>
        <w:rPr>
          <w:i/>
        </w:rPr>
        <w:t>crucial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1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1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remakes filmiques qui bénéficie du public de sa série parallèle, obéissant à une logique commerciale de synergies : les deux produits étant adressés à un public similaire</w:t>
      </w:r>
      <w:r>
        <w:rPr>
          <w:rStyle w:val="FootnoteReference"/>
        </w:rPr>
        <w:footnoteReference w:id="112"/>
      </w:r>
      <w:r>
        <w:t xml:space="preserve"> sans pour autant évoluer dans le même marché</w:t>
      </w:r>
      <w:r w:rsidR="00870395">
        <w:t>, tout en répondant à une volonté d’actualiser l’ancrage temporel du roman afin qu’il corresponde à celui de son lectorat</w:t>
      </w:r>
      <w:r>
        <w:t>. Contrairement à une sortie simultanée en salles</w:t>
      </w:r>
      <w:r>
        <w:rPr>
          <w:rStyle w:val="FootnoteReference"/>
        </w:rPr>
        <w:footnoteReference w:id="113"/>
      </w:r>
      <w:r>
        <w:t xml:space="preserve"> d’un film </w:t>
      </w:r>
      <w:r>
        <w:rPr>
          <w:i/>
        </w:rPr>
        <w:t>original</w:t>
      </w:r>
      <w:r>
        <w:t xml:space="preserve"> et son remake, qui cannibaliserait les parts de marché, une sortie simultané d’un film et du livre dont il est adapté – ou de </w:t>
      </w:r>
      <w:r>
        <w:rPr>
          <w:i/>
        </w:rPr>
        <w:t>produits dérivés</w:t>
      </w:r>
      <w:r>
        <w:t xml:space="preserve"> en général – permet à chacun des produits de profiter du retentissement médiatique de l’autre. Ces </w:t>
      </w:r>
      <w:r>
        <w:rPr>
          <w:i/>
        </w:rPr>
        <w:t>produits dérivés</w:t>
      </w:r>
      <w:r>
        <w:t xml:space="preserve"> ayant pour effet de solidifier la place du film dans la culture populaire par un processus </w:t>
      </w:r>
      <w:r w:rsidR="00C06F3B">
        <w:t>de multiplication des objets et de sa présence physique</w:t>
      </w:r>
      <w:r w:rsidR="00C06F3B">
        <w:rPr>
          <w:rStyle w:val="FootnoteReference"/>
        </w:rPr>
        <w:footnoteReference w:id="114"/>
      </w:r>
      <w:r>
        <w:t>, créant des conditions idéales pour sa canonisation.</w:t>
      </w:r>
      <w:r w:rsidR="001010F4">
        <w:t xml:space="preserve"> Cette évolution parallèle des deux séries peut aussi être considérée dans le cadre de la culture de convergence proposée par Henry Jenkins</w:t>
      </w:r>
      <w:r w:rsidR="002371FC">
        <w:t xml:space="preserve"> qu’il définit comme « le </w:t>
      </w:r>
      <w:r w:rsidR="004F66C7">
        <w:t>flux</w:t>
      </w:r>
      <w:r w:rsidR="002371FC">
        <w:t xml:space="preserve"> de contenu sur plusieurs plateformes médiatiques, la coopération entre plusieurs industries médiatiques et le comportement migratoire du public qui est prêt à se rendre presque partout dans sa recherche de nouvelles expériences divertissantes. »</w:t>
      </w:r>
      <w:r w:rsidR="002371FC">
        <w:rPr>
          <w:rStyle w:val="FootnoteReference"/>
        </w:rPr>
        <w:footnoteReference w:id="115"/>
      </w:r>
      <w:r w:rsidR="0045394B">
        <w:t>.</w:t>
      </w:r>
      <w:r w:rsidR="00854CE3">
        <w:t xml:space="preserve"> Si il n’a pas été possible de retrouver des traces d’une coopération planifiée entre les studios distribuant les films et les éditeurs des diverses versions du roman, </w:t>
      </w:r>
      <w:r w:rsidR="00C34CE8">
        <w:t xml:space="preserve">la correspondance entre les dates et certains éléments paratextes signifient en tout cas la volonté des éditeurs de profiter de la publicité </w:t>
      </w:r>
      <w:r w:rsidR="00542190">
        <w:t>offerte par la sortie des films</w:t>
      </w:r>
      <w:r w:rsidR="00674017">
        <w:t>. B</w:t>
      </w:r>
      <w:r w:rsidR="00542190">
        <w:t xml:space="preserve">ien que dans le cas précis de </w:t>
      </w:r>
      <w:r w:rsidR="00542190">
        <w:rPr>
          <w:i/>
        </w:rPr>
        <w:t>Invasion of the Body Snatchers</w:t>
      </w:r>
      <w:r w:rsidR="00542190">
        <w:t xml:space="preserve">, la convergence </w:t>
      </w:r>
      <w:r w:rsidR="007C3C12">
        <w:t xml:space="preserve">telle que définie par Jenkins est beaucoup plus limitée que les </w:t>
      </w:r>
      <w:r w:rsidR="008C3F42">
        <w:t>exemples</w:t>
      </w:r>
      <w:r w:rsidR="007C3C12">
        <w:t xml:space="preserve"> ch</w:t>
      </w:r>
      <w:r w:rsidR="008C3F42">
        <w:t xml:space="preserve">oisis pour illustrer son propos ; </w:t>
      </w:r>
      <w:r w:rsidR="00BD1AC3">
        <w:t>puisque celle-ci n’a pas pour vocation d</w:t>
      </w:r>
      <w:r w:rsidR="007737B1">
        <w:t>e développer le contenu</w:t>
      </w:r>
      <w:r w:rsidR="007737B1">
        <w:rPr>
          <w:rStyle w:val="FootnoteReference"/>
        </w:rPr>
        <w:footnoteReference w:id="116"/>
      </w:r>
      <w:r w:rsidR="00731C44">
        <w:t xml:space="preserve"> mais seulement d’en changer l’ancrage temporal afin d’attirer une nouveau </w:t>
      </w:r>
      <w:r w:rsidR="009D6221">
        <w:t>lectorat</w:t>
      </w:r>
      <w:r w:rsidR="00731C44">
        <w:t xml:space="preserve"> contemporain.</w:t>
      </w:r>
      <w:r w:rsidR="00D90AB9">
        <w:t xml:space="preserve"> Il est toutefois possible de constater une forme de dialogue intertextuel particulier entre les trois textes (feuilleton, roman et film) évoqués dans cette partie, car, contrairement au processus habituel d’adaptation dans lequel l’œuvre source demeure inchangée dans sa forme</w:t>
      </w:r>
      <w:r w:rsidR="00D90AB9">
        <w:rPr>
          <w:rStyle w:val="FootnoteReference"/>
        </w:rPr>
        <w:footnoteReference w:id="117"/>
      </w:r>
      <w:r w:rsidR="00CC16D4">
        <w:t xml:space="preserve">, le film – et dans une certaine mesure ses remakes – </w:t>
      </w:r>
      <w:r w:rsidR="000B1FAB">
        <w:t xml:space="preserve">impliquent des changements </w:t>
      </w:r>
      <w:r w:rsidR="009674F7">
        <w:t>textuels dans le texte de Finney.</w:t>
      </w:r>
    </w:p>
    <w:sectPr w:rsidR="00C117F3">
      <w:footerReference w:type="even" r:id="rId7"/>
      <w:footerReference w:type="default" r:id="rId8"/>
      <w:headerReference w:type="first" r:id="rId9"/>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D4AE4" w14:textId="77777777" w:rsidR="00BF26D1" w:rsidRDefault="00BF26D1">
      <w:r>
        <w:separator/>
      </w:r>
    </w:p>
  </w:endnote>
  <w:endnote w:type="continuationSeparator" w:id="0">
    <w:p w14:paraId="75217B31" w14:textId="77777777" w:rsidR="00BF26D1" w:rsidRDefault="00BF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7C2CC7">
      <w:rPr>
        <w:rStyle w:val="PageNumber"/>
        <w:noProof/>
        <w:sz w:val="22"/>
      </w:rPr>
      <w:t>19</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3CE97" w14:textId="77777777" w:rsidR="00BF26D1" w:rsidRDefault="00BF26D1">
      <w:r>
        <w:separator/>
      </w:r>
    </w:p>
  </w:footnote>
  <w:footnote w:type="continuationSeparator" w:id="0">
    <w:p w14:paraId="25C98830" w14:textId="77777777" w:rsidR="00BF26D1" w:rsidRDefault="00BF26D1">
      <w:r>
        <w:continuationSeparator/>
      </w:r>
    </w:p>
  </w:footnote>
  <w:footnote w:id="1">
    <w:p w14:paraId="228BFF06" w14:textId="2D0CB92E" w:rsidR="00C117F3" w:rsidRDefault="00C117F3">
      <w:pPr>
        <w:pStyle w:val="FootnoteText"/>
        <w:rPr>
          <w:lang w:val="fr-CH"/>
        </w:rPr>
      </w:pPr>
      <w:r>
        <w:rPr>
          <w:rStyle w:val="FootnoteReference"/>
        </w:rPr>
        <w:footnoteRef/>
      </w:r>
      <w:r>
        <w:t xml:space="preserve"> </w:t>
      </w:r>
      <w:r w:rsidR="00142222">
        <w:t xml:space="preserve">Histoire publiée en </w:t>
      </w:r>
      <w:r>
        <w:rPr>
          <w:lang w:val="fr-CH"/>
        </w:rPr>
        <w:t xml:space="preserve">trois parties dans les numéros du </w:t>
      </w:r>
      <w:r w:rsidR="00CC02D8">
        <w:rPr>
          <w:lang w:val="fr-CH"/>
        </w:rPr>
        <w:t>26 novembre, 10 et 24 décembre.</w:t>
      </w:r>
    </w:p>
  </w:footnote>
  <w:footnote w:id="2">
    <w:p w14:paraId="443C82D4" w14:textId="247BCFFB" w:rsidR="00280AD4" w:rsidRPr="00CC02D8" w:rsidRDefault="00280AD4">
      <w:pPr>
        <w:pStyle w:val="FootnoteText"/>
        <w:rPr>
          <w:lang w:val="en-GB"/>
        </w:rPr>
      </w:pPr>
      <w:r>
        <w:rPr>
          <w:rStyle w:val="FootnoteReference"/>
        </w:rPr>
        <w:footnoteRef/>
      </w:r>
      <w:r w:rsidRPr="00CC02D8">
        <w:rPr>
          <w:lang w:val="en-GB"/>
        </w:rPr>
        <w:t xml:space="preserve"> Linda Hutcheon, </w:t>
      </w:r>
      <w:r w:rsidRPr="00CC02D8">
        <w:rPr>
          <w:i/>
          <w:lang w:val="en-GB"/>
        </w:rPr>
        <w:t>A Theory of Adaptation</w:t>
      </w:r>
      <w:r w:rsidRPr="00CC02D8">
        <w:rPr>
          <w:lang w:val="en-GB"/>
        </w:rPr>
        <w:t>, New York/London, Routeledge, 2006.</w:t>
      </w:r>
    </w:p>
  </w:footnote>
  <w:footnote w:id="3">
    <w:p w14:paraId="0A73598D" w14:textId="116DA792" w:rsidR="002B1411" w:rsidRPr="002B1411" w:rsidRDefault="002B1411">
      <w:pPr>
        <w:pStyle w:val="FootnoteText"/>
        <w:rPr>
          <w:lang w:val="en-GB"/>
        </w:rPr>
      </w:pPr>
      <w:r>
        <w:rPr>
          <w:rStyle w:val="FootnoteReference"/>
        </w:rPr>
        <w:footnoteRef/>
      </w:r>
      <w:r w:rsidRPr="00B44037">
        <w:rPr>
          <w:lang w:val="en-GB"/>
        </w:rPr>
        <w:t xml:space="preserve"> « </w:t>
      </w:r>
      <w:r w:rsidRPr="00B44037">
        <w:rPr>
          <w:bCs/>
          <w:lang w:val="en-GB"/>
        </w:rPr>
        <w:t xml:space="preserve">What Is </w:t>
      </w:r>
      <w:r w:rsidRPr="00B44037">
        <w:rPr>
          <w:bCs/>
          <w:i/>
          <w:iCs/>
          <w:lang w:val="en-GB"/>
        </w:rPr>
        <w:t xml:space="preserve">Not </w:t>
      </w:r>
      <w:r w:rsidRPr="00B44037">
        <w:rPr>
          <w:bCs/>
          <w:lang w:val="en-GB"/>
        </w:rPr>
        <w:t>an Adaptation?</w:t>
      </w:r>
      <w:r w:rsidRPr="00B44037">
        <w:rPr>
          <w:b/>
          <w:bCs/>
          <w:lang w:val="en-GB"/>
        </w:rPr>
        <w:t xml:space="preserve"> </w:t>
      </w:r>
      <w:r w:rsidRPr="00B44037">
        <w:rPr>
          <w:lang w:val="en-GB"/>
        </w:rPr>
        <w:t xml:space="preserve">» </w:t>
      </w:r>
      <w:r w:rsidRPr="002B1411">
        <w:rPr>
          <w:lang w:val="en-GB"/>
        </w:rPr>
        <w:t>[Linda Hutcheon,</w:t>
      </w:r>
      <w:r>
        <w:rPr>
          <w:lang w:val="en-GB"/>
        </w:rPr>
        <w:t xml:space="preserve"> </w:t>
      </w:r>
      <w:r w:rsidRPr="002B1411">
        <w:rPr>
          <w:i/>
          <w:lang w:val="en-GB"/>
        </w:rPr>
        <w:t>op. cit.</w:t>
      </w:r>
      <w:r w:rsidRPr="002B1411">
        <w:rPr>
          <w:lang w:val="en-GB"/>
        </w:rPr>
        <w:t>, p. 170].</w:t>
      </w:r>
    </w:p>
  </w:footnote>
  <w:footnote w:id="4">
    <w:p w14:paraId="470F5194" w14:textId="7ADAC74B" w:rsidR="00D3697D" w:rsidRPr="00D3697D" w:rsidRDefault="00D3697D">
      <w:pPr>
        <w:pStyle w:val="FootnoteText"/>
        <w:rPr>
          <w:lang w:val="en-GB"/>
        </w:rPr>
      </w:pPr>
      <w:r>
        <w:rPr>
          <w:rStyle w:val="FootnoteReference"/>
        </w:rPr>
        <w:footnoteRef/>
      </w:r>
      <w:r w:rsidRPr="00D3697D">
        <w:rPr>
          <w:lang w:val="en-GB"/>
        </w:rPr>
        <w:t xml:space="preserve"> «</w:t>
      </w:r>
      <w:r>
        <w:rPr>
          <w:lang w:val="en-GB"/>
        </w:rPr>
        <w:t xml:space="preserve"> </w:t>
      </w:r>
      <w:r w:rsidRPr="00D3697D">
        <w:rPr>
          <w:lang w:val="en-GB"/>
        </w:rPr>
        <w:t>Remakes are invariably adaptations because of changes in context. » </w:t>
      </w:r>
      <w:r>
        <w:rPr>
          <w:lang w:val="en-GB"/>
        </w:rPr>
        <w:t>[</w:t>
      </w:r>
      <w:r w:rsidRPr="002B1411">
        <w:rPr>
          <w:lang w:val="en-GB"/>
        </w:rPr>
        <w:t>Linda Hutcheon,</w:t>
      </w:r>
      <w:r>
        <w:rPr>
          <w:lang w:val="en-GB"/>
        </w:rPr>
        <w:t xml:space="preserve"> </w:t>
      </w:r>
      <w:r>
        <w:rPr>
          <w:i/>
          <w:lang w:val="en-GB"/>
        </w:rPr>
        <w:t>ibid.</w:t>
      </w:r>
      <w:r w:rsidRPr="002B1411">
        <w:rPr>
          <w:lang w:val="en-GB"/>
        </w:rPr>
        <w:t>].</w:t>
      </w:r>
    </w:p>
  </w:footnote>
  <w:footnote w:id="5">
    <w:p w14:paraId="3DB1C60E" w14:textId="02045B71" w:rsidR="0046241E" w:rsidRPr="0046241E" w:rsidRDefault="0046241E">
      <w:pPr>
        <w:pStyle w:val="FootnoteText"/>
        <w:rPr>
          <w:lang w:val="en-GB"/>
        </w:rPr>
      </w:pPr>
      <w:r>
        <w:rPr>
          <w:rStyle w:val="FootnoteReference"/>
        </w:rPr>
        <w:footnoteRef/>
      </w:r>
      <w:r w:rsidRPr="0046241E">
        <w:rPr>
          <w:lang w:val="en-GB"/>
        </w:rPr>
        <w:t xml:space="preserve"> « </w:t>
      </w:r>
      <w:r w:rsidR="00F5027B">
        <w:rPr>
          <w:lang w:val="en-GB"/>
        </w:rPr>
        <w:t>N</w:t>
      </w:r>
      <w:r w:rsidRPr="0046241E">
        <w:rPr>
          <w:lang w:val="en-GB"/>
        </w:rPr>
        <w:t>ot all adaptations necessarily involve a shift of medium » </w:t>
      </w:r>
      <w:r>
        <w:rPr>
          <w:lang w:val="en-GB"/>
        </w:rPr>
        <w:t>[</w:t>
      </w:r>
      <w:r w:rsidRPr="002B1411">
        <w:rPr>
          <w:lang w:val="en-GB"/>
        </w:rPr>
        <w:t>Linda Hutcheon,</w:t>
      </w:r>
      <w:r>
        <w:rPr>
          <w:lang w:val="en-GB"/>
        </w:rPr>
        <w:t xml:space="preserve"> </w:t>
      </w:r>
      <w:r>
        <w:rPr>
          <w:i/>
          <w:lang w:val="en-GB"/>
        </w:rPr>
        <w:t>ibid.</w:t>
      </w:r>
      <w:r w:rsidRPr="002B1411">
        <w:rPr>
          <w:lang w:val="en-GB"/>
        </w:rPr>
        <w:t>].</w:t>
      </w:r>
    </w:p>
  </w:footnote>
  <w:footnote w:id="6">
    <w:p w14:paraId="3AA447FB" w14:textId="77777777" w:rsidR="008539B7" w:rsidRDefault="008539B7" w:rsidP="008539B7">
      <w:pPr>
        <w:pStyle w:val="FootnoteText"/>
        <w:rPr>
          <w:lang w:val="fr-CH"/>
        </w:rPr>
      </w:pPr>
      <w:r>
        <w:rPr>
          <w:rStyle w:val="FootnoteReference"/>
        </w:rPr>
        <w:footnoteRef/>
      </w:r>
      <w:r>
        <w:t xml:space="preserve"> </w:t>
      </w:r>
      <w:r>
        <w:rPr>
          <w:lang w:val="fr-CH"/>
        </w:rPr>
        <w:t xml:space="preserve">Seul le </w:t>
      </w:r>
      <w:r>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7">
    <w:p w14:paraId="4B6A2DCB" w14:textId="2C3A784D" w:rsidR="008539B7" w:rsidRDefault="008539B7" w:rsidP="008539B7">
      <w:pPr>
        <w:pStyle w:val="FootnoteText"/>
        <w:rPr>
          <w:lang w:val="fr-CH"/>
        </w:rPr>
      </w:pPr>
      <w:r>
        <w:rPr>
          <w:rStyle w:val="FootnoteReference"/>
        </w:rPr>
        <w:footnoteRef/>
      </w:r>
      <w:r>
        <w:t xml:space="preserve"> Don Siegel, « Letter to Walter Wagner », 19 mai 1955, reproduit</w:t>
      </w:r>
      <w:r w:rsidR="001C0FF4">
        <w:t>e</w:t>
      </w:r>
      <w:r>
        <w:t xml:space="preserve"> dans </w:t>
      </w:r>
      <w:r>
        <w:rPr>
          <w:lang w:val="fr-CH"/>
        </w:rPr>
        <w:t xml:space="preserve">Al LaValley (éd.), </w:t>
      </w:r>
      <w:r>
        <w:rPr>
          <w:i/>
          <w:lang w:val="fr-CH"/>
        </w:rPr>
        <w:t>op. cit.</w:t>
      </w:r>
      <w:r>
        <w:rPr>
          <w:lang w:val="fr-CH"/>
        </w:rPr>
        <w:t xml:space="preserve">, pp. 129-1; </w:t>
      </w:r>
      <w:r>
        <w:t xml:space="preserve">Don Siegel, « Memorandum to Walter Wagner »,  21 septembre 1955, reproduit dans </w:t>
      </w:r>
      <w:r>
        <w:rPr>
          <w:lang w:val="fr-CH"/>
        </w:rPr>
        <w:t xml:space="preserve">Al LaValley (éd.), </w:t>
      </w:r>
      <w:r>
        <w:rPr>
          <w:i/>
          <w:lang w:val="fr-CH"/>
        </w:rPr>
        <w:t>op. cit.</w:t>
      </w:r>
      <w:r>
        <w:rPr>
          <w:lang w:val="fr-CH"/>
        </w:rPr>
        <w:t>, pp. 135-137.</w:t>
      </w:r>
    </w:p>
  </w:footnote>
  <w:footnote w:id="8">
    <w:p w14:paraId="436B94C5" w14:textId="77777777" w:rsidR="008539B7" w:rsidRDefault="008539B7" w:rsidP="008539B7">
      <w:pPr>
        <w:pStyle w:val="FootnoteText"/>
        <w:rPr>
          <w:lang w:val="en-GB"/>
        </w:rPr>
      </w:pPr>
      <w:r>
        <w:rPr>
          <w:rStyle w:val="FootnoteReference"/>
        </w:rPr>
        <w:footnoteRef/>
      </w:r>
      <w:r>
        <w:rPr>
          <w:lang w:val="en-GB"/>
        </w:rPr>
        <w:t xml:space="preserve"> Walter Wagner, « Suggestions for Additions to the Film », 3 mai 1955, reproduit dans Al LaValley (éd.), </w:t>
      </w:r>
      <w:r>
        <w:rPr>
          <w:i/>
          <w:lang w:val="en-GB"/>
        </w:rPr>
        <w:t>op. cit.</w:t>
      </w:r>
      <w:r>
        <w:rPr>
          <w:lang w:val="en-GB"/>
        </w:rPr>
        <w:t xml:space="preserve">, pp. 133-134; Walter Wagner, « The Body Snatchers – Memorandum », 8 juillet 1955, reproduit dans </w:t>
      </w:r>
      <w:r>
        <w:rPr>
          <w:lang w:val="en-US"/>
        </w:rPr>
        <w:t xml:space="preserve">Al LaValley (éd.), </w:t>
      </w:r>
      <w:r>
        <w:rPr>
          <w:i/>
          <w:lang w:val="en-US"/>
        </w:rPr>
        <w:t>op. cit.</w:t>
      </w:r>
      <w:r>
        <w:rPr>
          <w:lang w:val="en-US"/>
        </w:rPr>
        <w:t>, pp. 134-137.</w:t>
      </w:r>
    </w:p>
  </w:footnote>
  <w:footnote w:id="9">
    <w:p w14:paraId="6FC33BE7" w14:textId="292E443E"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Educational, </w:t>
      </w:r>
      <w:hyperlink r:id="rId1" w:history="1">
        <w:r w:rsidRPr="001337AF">
          <w:rPr>
            <w:rStyle w:val="Hyperlink"/>
            <w:lang w:val="fr-CH"/>
          </w:rPr>
          <w:t>http://spartacus-educational.com/USAcolliers.htm</w:t>
        </w:r>
      </w:hyperlink>
      <w:r>
        <w:rPr>
          <w:lang w:val="fr-CH"/>
        </w:rPr>
        <w:t xml:space="preserve"> (consulté le 09.12.2016).</w:t>
      </w:r>
    </w:p>
  </w:footnote>
  <w:footnote w:id="10">
    <w:p w14:paraId="2FDE0BFF" w14:textId="78209D6D" w:rsidR="00C117F3" w:rsidRDefault="00C117F3">
      <w:pPr>
        <w:pStyle w:val="FootnoteText"/>
        <w:rPr>
          <w:lang w:val="en-GB"/>
        </w:rPr>
      </w:pPr>
      <w:r>
        <w:rPr>
          <w:rStyle w:val="FootnoteReference"/>
        </w:rPr>
        <w:footnoteRef/>
      </w:r>
      <w:r>
        <w:t xml:space="preserve"> </w:t>
      </w:r>
      <w:r>
        <w:rPr>
          <w:i/>
        </w:rPr>
        <w:t>5 Against the House</w:t>
      </w:r>
      <w:r>
        <w:t xml:space="preserve"> (</w:t>
      </w:r>
      <w:r>
        <w:rPr>
          <w:i/>
        </w:rPr>
        <w:t>On ne joue pas avec le crime</w:t>
      </w:r>
      <w:r>
        <w:t xml:space="preserve">, Phil Karlson, 1955), basé sur son roman du même nom paru en 1954, est alors en tournage. </w:t>
      </w:r>
      <w:r>
        <w:rPr>
          <w:lang w:val="en-GB"/>
        </w:rPr>
        <w:t>Voir « </w:t>
      </w:r>
      <w:r>
        <w:rPr>
          <w:i/>
          <w:lang w:val="en-GB"/>
        </w:rPr>
        <w:t>5 Against the House</w:t>
      </w:r>
      <w:r>
        <w:rPr>
          <w:lang w:val="en-GB"/>
        </w:rPr>
        <w:t xml:space="preserve"> », AFI, Catalog of Feature Films, </w:t>
      </w:r>
      <w:hyperlink r:id="rId2" w:history="1">
        <w:r>
          <w:rPr>
            <w:rStyle w:val="Hyperlink"/>
            <w:lang w:val="en-GB"/>
          </w:rPr>
          <w:t>http://www.afi.com/members/catalog/DetailView.aspx?s=&amp;Movie=51499</w:t>
        </w:r>
      </w:hyperlink>
      <w:r>
        <w:rPr>
          <w:lang w:val="en-GB"/>
        </w:rPr>
        <w:t xml:space="preserve"> (consulté le 09.12.2016).</w:t>
      </w:r>
    </w:p>
  </w:footnote>
  <w:footnote w:id="11">
    <w:p w14:paraId="747F11DF" w14:textId="12DDE617" w:rsidR="00C117F3" w:rsidRDefault="00C117F3">
      <w:pPr>
        <w:pStyle w:val="FootnoteText"/>
        <w:rPr>
          <w:lang w:val="en-US"/>
        </w:rPr>
      </w:pPr>
      <w:r>
        <w:rPr>
          <w:rStyle w:val="FootnoteReference"/>
        </w:rPr>
        <w:footnoteRef/>
      </w:r>
      <w:r>
        <w:rPr>
          <w:lang w:val="en-GB"/>
        </w:rPr>
        <w:t xml:space="preserve"> « All my books have been written that way [wi</w:t>
      </w:r>
      <w:r w:rsidR="00B71B08">
        <w:rPr>
          <w:lang w:val="en-GB"/>
        </w:rPr>
        <w:t>th a picture in mind] » [</w:t>
      </w:r>
      <w:r>
        <w:rPr>
          <w:lang w:val="en-US"/>
        </w:rPr>
        <w:t xml:space="preserve">Arthur Legacy, « </w:t>
      </w:r>
      <w:r>
        <w:rPr>
          <w:i/>
          <w:lang w:val="en-US"/>
        </w:rPr>
        <w:t>The Invasion of the Body Snatchers </w:t>
      </w:r>
      <w:r>
        <w:rPr>
          <w:lang w:val="en-US"/>
        </w:rPr>
        <w:t xml:space="preserve">: A Metaphor for the Fifties », </w:t>
      </w:r>
      <w:r>
        <w:rPr>
          <w:i/>
          <w:lang w:val="en-US"/>
        </w:rPr>
        <w:t>Litterature/Film Quarterly</w:t>
      </w:r>
      <w:r>
        <w:rPr>
          <w:lang w:val="en-US"/>
        </w:rPr>
        <w:t>,</w:t>
      </w:r>
      <w:r w:rsidR="00B71B08">
        <w:rPr>
          <w:lang w:val="en-US"/>
        </w:rPr>
        <w:t xml:space="preserve"> </w:t>
      </w:r>
      <w:r w:rsidR="00530575">
        <w:rPr>
          <w:lang w:val="en-US"/>
        </w:rPr>
        <w:t>vol.</w:t>
      </w:r>
      <w:r w:rsidR="00B71B08">
        <w:rPr>
          <w:lang w:val="en-US"/>
        </w:rPr>
        <w:t xml:space="preserve"> 6, n° 3, été 1978, p. 287]</w:t>
      </w:r>
      <w:r>
        <w:rPr>
          <w:lang w:val="en-US"/>
        </w:rPr>
        <w:t>.</w:t>
      </w:r>
    </w:p>
  </w:footnote>
  <w:footnote w:id="12">
    <w:p w14:paraId="49DD88DA" w14:textId="03F0C2A8" w:rsidR="00C117F3" w:rsidRDefault="00C117F3">
      <w:pPr>
        <w:pStyle w:val="FootnoteText"/>
        <w:rPr>
          <w:lang w:val="en-GB"/>
        </w:rPr>
      </w:pPr>
      <w:r>
        <w:rPr>
          <w:rStyle w:val="FootnoteReference"/>
        </w:rPr>
        <w:footnoteRef/>
      </w:r>
      <w:r>
        <w:rPr>
          <w:lang w:val="en-GB"/>
        </w:rPr>
        <w:t xml:space="preserve"> « I have always said that I don’t really write novels, I write movies – the novel form being a good way to bring my movie ideas to the attention of the movie makers. »</w:t>
      </w:r>
      <w:r w:rsidR="00170F34">
        <w:rPr>
          <w:lang w:val="en-GB"/>
        </w:rPr>
        <w:t xml:space="preserve"> [</w:t>
      </w:r>
      <w:r>
        <w:rPr>
          <w:lang w:val="en-US"/>
        </w:rPr>
        <w:t xml:space="preserve">Arthur Legacy, </w:t>
      </w:r>
      <w:r>
        <w:rPr>
          <w:i/>
          <w:lang w:val="en-US"/>
        </w:rPr>
        <w:t>ibid.</w:t>
      </w:r>
      <w:r>
        <w:rPr>
          <w:lang w:val="en-US"/>
        </w:rPr>
        <w:t>, p. 287</w:t>
      </w:r>
      <w:r w:rsidR="00170F34">
        <w:rPr>
          <w:lang w:val="en-US"/>
        </w:rPr>
        <w:t>]</w:t>
      </w:r>
      <w:r>
        <w:rPr>
          <w:lang w:val="en-US"/>
        </w:rPr>
        <w:t>.</w:t>
      </w:r>
    </w:p>
  </w:footnote>
  <w:footnote w:id="13">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r>
        <w:rPr>
          <w:lang w:val="en-US"/>
        </w:rPr>
        <w:t>, p. 292.</w:t>
      </w:r>
    </w:p>
  </w:footnote>
  <w:footnote w:id="14">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15">
    <w:p w14:paraId="2831C6E4" w14:textId="6D89855D"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 </w:t>
      </w:r>
      <w:r>
        <w:rPr>
          <w:rFonts w:ascii="Calibri" w:hAnsi="Calibri"/>
          <w:lang w:val="en-US"/>
        </w:rPr>
        <w:t>[</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26 novembre 1954, p. 94</w:t>
      </w:r>
      <w:r>
        <w:rPr>
          <w:rFonts w:ascii="Calibri" w:hAnsi="Calibri"/>
          <w:lang w:val="en-GB"/>
        </w:rPr>
        <w:t>]</w:t>
      </w:r>
      <w:r>
        <w:rPr>
          <w:lang w:val="en-GB"/>
        </w:rPr>
        <w:t>.</w:t>
      </w:r>
    </w:p>
  </w:footnote>
  <w:footnote w:id="16">
    <w:p w14:paraId="18A7DE5D" w14:textId="47EA762F"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r w:rsidR="00170F34">
        <w:rPr>
          <w:lang w:val="en-GB"/>
        </w:rPr>
        <w:t xml:space="preserve"> [</w:t>
      </w:r>
      <w:r>
        <w:rPr>
          <w:lang w:val="en-GB"/>
        </w:rPr>
        <w:t>Jack Finney,</w:t>
      </w:r>
      <w:r w:rsidRPr="00C04C7B">
        <w:rPr>
          <w:i/>
          <w:lang w:val="en-GB"/>
        </w:rPr>
        <w:t xml:space="preserve"> </w:t>
      </w:r>
      <w:r w:rsidRPr="00C04C7B">
        <w:rPr>
          <w:i/>
          <w:lang w:val="en-US"/>
        </w:rPr>
        <w:t>ibid</w:t>
      </w:r>
      <w:r>
        <w:rPr>
          <w:lang w:val="en-US"/>
        </w:rPr>
        <w:t>.,</w:t>
      </w:r>
      <w:r>
        <w:rPr>
          <w:lang w:val="en-GB"/>
        </w:rPr>
        <w:t xml:space="preserve"> p. 97</w:t>
      </w:r>
      <w:r w:rsidR="00170F34">
        <w:rPr>
          <w:lang w:val="en-GB"/>
        </w:rPr>
        <w:t>]</w:t>
      </w:r>
      <w:r>
        <w:rPr>
          <w:lang w:val="en-GB"/>
        </w:rPr>
        <w:t>.</w:t>
      </w:r>
    </w:p>
  </w:footnote>
  <w:footnote w:id="17">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 xml:space="preserve">Al LaValley (éd.), </w:t>
      </w:r>
      <w:r>
        <w:rPr>
          <w:i/>
          <w:lang w:val="en-US"/>
        </w:rPr>
        <w:t>Invasion of the Body Snatchers</w:t>
      </w:r>
      <w:r>
        <w:rPr>
          <w:lang w:val="en-US"/>
        </w:rPr>
        <w:t>, New Brunswick, Rutgers University Press, 1989, p. 3.</w:t>
      </w:r>
    </w:p>
  </w:footnote>
  <w:footnote w:id="18">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ibid.</w:t>
      </w:r>
      <w:r>
        <w:rPr>
          <w:lang w:val="en-US"/>
        </w:rPr>
        <w:t>, p. 3.</w:t>
      </w:r>
    </w:p>
  </w:footnote>
  <w:footnote w:id="19">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compte rendu détaillé du tournage, jour-par-jour, est donné par Mark Thomas McGee, </w:t>
      </w:r>
      <w:r>
        <w:rPr>
          <w:i/>
          <w:lang w:val="en-US"/>
        </w:rPr>
        <w:t>Invasion of the Body Snatchers : The Making of a Classic</w:t>
      </w:r>
      <w:r>
        <w:rPr>
          <w:lang w:val="en-US"/>
        </w:rPr>
        <w:t>, Duncan, BearManor, 2012, pp. 43-59.</w:t>
      </w:r>
    </w:p>
  </w:footnote>
  <w:footnote w:id="20">
    <w:p w14:paraId="02B5FC0D" w14:textId="5F9741EA" w:rsidR="00C117F3" w:rsidRPr="00C422DA" w:rsidRDefault="00C117F3">
      <w:pPr>
        <w:pStyle w:val="FootnoteText"/>
        <w:rPr>
          <w:lang w:val="fr-CH"/>
        </w:rPr>
      </w:pPr>
      <w:r>
        <w:rPr>
          <w:rStyle w:val="FootnoteReference"/>
        </w:rPr>
        <w:footnoteRef/>
      </w:r>
      <w:r>
        <w:rPr>
          <w:lang w:val="fr-CH"/>
        </w:rPr>
        <w:t xml:space="preserve"> 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 (« </w:t>
      </w:r>
      <w:r w:rsidRPr="00170F34">
        <w:rPr>
          <w:lang w:val="fr-CH"/>
        </w:rPr>
        <w:t xml:space="preserve">it established a record in reaching the photography stage 90 days after the last installment was published in </w:t>
      </w:r>
      <w:r w:rsidRPr="00170F34">
        <w:rPr>
          <w:i/>
          <w:lang w:val="fr-CH"/>
        </w:rPr>
        <w:t>Collider’s</w:t>
      </w:r>
      <w:r w:rsidRPr="00170F34">
        <w:rPr>
          <w:lang w:val="fr-CH"/>
        </w:rPr>
        <w:t> </w:t>
      </w:r>
      <w:r>
        <w:rPr>
          <w:lang w:val="fr-CH"/>
        </w:rPr>
        <w:t>»)</w:t>
      </w:r>
      <w:r w:rsidR="00170F34">
        <w:rPr>
          <w:lang w:val="fr-CH"/>
        </w:rPr>
        <w:t xml:space="preserve"> [</w:t>
      </w:r>
      <w:r w:rsidRPr="001C192F">
        <w:rPr>
          <w:lang w:val="fr-CH"/>
        </w:rPr>
        <w:t xml:space="preserve">cité dans Barry Keith Grant, </w:t>
      </w:r>
      <w:r w:rsidRPr="001C192F">
        <w:rPr>
          <w:i/>
          <w:lang w:val="fr-CH"/>
        </w:rPr>
        <w:t>op. cit.</w:t>
      </w:r>
      <w:r w:rsidRPr="001C192F">
        <w:rPr>
          <w:lang w:val="fr-CH"/>
        </w:rPr>
        <w:t>, p. 35</w:t>
      </w:r>
      <w:r w:rsidR="00170F34">
        <w:rPr>
          <w:lang w:val="fr-CH"/>
        </w:rPr>
        <w:t>]</w:t>
      </w:r>
      <w:r w:rsidRPr="001C192F">
        <w:rPr>
          <w:lang w:val="fr-CH"/>
        </w:rPr>
        <w:t>.</w:t>
      </w:r>
    </w:p>
  </w:footnote>
  <w:footnote w:id="21">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22">
    <w:p w14:paraId="1BDCE17F" w14:textId="357CEFA1" w:rsidR="00C117F3" w:rsidRDefault="00C117F3">
      <w:pPr>
        <w:pStyle w:val="FootnoteText"/>
        <w:rPr>
          <w:lang w:val="en-GB"/>
        </w:rPr>
      </w:pPr>
      <w:r>
        <w:rPr>
          <w:rStyle w:val="FootnoteReference"/>
        </w:rPr>
        <w:footnoteRef/>
      </w:r>
      <w:r>
        <w:rPr>
          <w:lang w:val="en-GB"/>
        </w:rPr>
        <w:t xml:space="preserve"> « </w:t>
      </w:r>
      <w:r w:rsidR="00C6286B">
        <w:rPr>
          <w:lang w:val="en-GB"/>
        </w:rPr>
        <w:t>U</w:t>
      </w:r>
      <w:r>
        <w:rPr>
          <w:lang w:val="en-GB"/>
        </w:rPr>
        <w:t>nsympathetic treatment ». Walter Wagner, « Memorandum to Myself », 24 aout 1955</w:t>
      </w:r>
      <w:r w:rsidR="001C192F">
        <w:rPr>
          <w:lang w:val="en-GB"/>
        </w:rPr>
        <w:t xml:space="preserve"> </w:t>
      </w:r>
      <w:r>
        <w:rPr>
          <w:rFonts w:ascii="Calibri" w:hAnsi="Calibri"/>
          <w:lang w:val="en-GB"/>
        </w:rPr>
        <w:t>[</w:t>
      </w:r>
      <w:r>
        <w:rPr>
          <w:lang w:val="en-GB"/>
        </w:rPr>
        <w:t xml:space="preserve">reproduit dans </w:t>
      </w:r>
      <w:r>
        <w:rPr>
          <w:lang w:val="en-US"/>
        </w:rPr>
        <w:t xml:space="preserve">Al LaValley (éd.), </w:t>
      </w:r>
      <w:r>
        <w:rPr>
          <w:i/>
          <w:lang w:val="en-US"/>
        </w:rPr>
        <w:t>op. cit.</w:t>
      </w:r>
      <w:r>
        <w:rPr>
          <w:lang w:val="en-US"/>
        </w:rPr>
        <w:t>, p. 142</w:t>
      </w:r>
      <w:r>
        <w:rPr>
          <w:rFonts w:ascii="Calibri" w:hAnsi="Calibri"/>
          <w:lang w:val="en-US"/>
        </w:rPr>
        <w:t>]</w:t>
      </w:r>
      <w:r>
        <w:rPr>
          <w:lang w:val="en-US"/>
        </w:rPr>
        <w:t>.</w:t>
      </w:r>
    </w:p>
  </w:footnote>
  <w:footnote w:id="23">
    <w:p w14:paraId="03C39204" w14:textId="181E5697" w:rsidR="00C117F3" w:rsidRPr="00C422DA" w:rsidRDefault="00C117F3">
      <w:pPr>
        <w:pStyle w:val="FootnoteText"/>
        <w:rPr>
          <w:lang w:val="fr-CH"/>
        </w:rPr>
      </w:pPr>
      <w:r>
        <w:rPr>
          <w:rStyle w:val="FootnoteReference"/>
        </w:rPr>
        <w:footnoteRef/>
      </w:r>
      <w:r>
        <w:t xml:space="preserve"> </w:t>
      </w:r>
      <w:r w:rsidR="00C6286B">
        <w:rPr>
          <w:lang w:val="fr-CH"/>
        </w:rPr>
        <w:t>Projection</w:t>
      </w:r>
      <w:r w:rsidR="00AD5611">
        <w:rPr>
          <w:lang w:val="fr-CH"/>
        </w:rPr>
        <w:t>-test q</w:t>
      </w:r>
      <w:r>
        <w:rPr>
          <w:lang w:val="fr-CH"/>
        </w:rPr>
        <w:t>ue Grant date au 10 juin</w:t>
      </w:r>
      <w:r w:rsidR="00170F34">
        <w:rPr>
          <w:lang w:val="fr-CH"/>
        </w:rPr>
        <w:t xml:space="preserve"> [</w:t>
      </w:r>
      <w:r w:rsidRPr="008A6C42">
        <w:rPr>
          <w:lang w:val="fr-CH"/>
        </w:rPr>
        <w:t xml:space="preserve">Barry Keith Grant, </w:t>
      </w:r>
      <w:r w:rsidRPr="008A6C42">
        <w:rPr>
          <w:i/>
          <w:lang w:val="fr-CH"/>
        </w:rPr>
        <w:t>op. cit.</w:t>
      </w:r>
      <w:r w:rsidRPr="008A6C42">
        <w:rPr>
          <w:lang w:val="fr-CH"/>
        </w:rPr>
        <w:t>, p. 35</w:t>
      </w:r>
      <w:r w:rsidR="00170F34">
        <w:rPr>
          <w:lang w:val="fr-CH"/>
        </w:rPr>
        <w:t>]</w:t>
      </w:r>
      <w:r w:rsidRPr="008A6C42">
        <w:rPr>
          <w:lang w:val="fr-CH"/>
        </w:rPr>
        <w:t>.</w:t>
      </w:r>
    </w:p>
  </w:footnote>
  <w:footnote w:id="24">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op. cit.</w:t>
      </w:r>
      <w:r>
        <w:rPr>
          <w:lang w:val="fr-CH"/>
        </w:rPr>
        <w:t>, p. 132.</w:t>
      </w:r>
    </w:p>
  </w:footnote>
  <w:footnote w:id="25">
    <w:p w14:paraId="2FBB6214" w14:textId="77777777" w:rsidR="00C117F3" w:rsidRDefault="00C117F3">
      <w:pPr>
        <w:pStyle w:val="FootnoteText"/>
        <w:rPr>
          <w:lang w:val="fr-CH"/>
        </w:rPr>
      </w:pPr>
      <w:r>
        <w:rPr>
          <w:rStyle w:val="FootnoteReference"/>
        </w:rPr>
        <w:footnoteRef/>
      </w:r>
      <w:r>
        <w:rPr>
          <w:lang w:val="fr-CH"/>
        </w:rPr>
        <w:t xml:space="preserve"> Walter Wagner, « The Body Snatchers – Memorandum », 8 juillet 1955, reproduit dans Al LaValley (éd.), </w:t>
      </w:r>
      <w:r>
        <w:rPr>
          <w:i/>
          <w:lang w:val="fr-CH"/>
        </w:rPr>
        <w:t>op. cit.</w:t>
      </w:r>
      <w:r>
        <w:rPr>
          <w:lang w:val="fr-CH"/>
        </w:rPr>
        <w:t>, pp. 134-137.</w:t>
      </w:r>
    </w:p>
  </w:footnote>
  <w:footnote w:id="26">
    <w:p w14:paraId="42AE7368" w14:textId="4B7C857F" w:rsidR="00C117F3" w:rsidRDefault="00C117F3">
      <w:pPr>
        <w:pStyle w:val="FootnoteText"/>
        <w:rPr>
          <w:lang w:val="fr-CH"/>
        </w:rPr>
      </w:pPr>
      <w:r>
        <w:rPr>
          <w:rStyle w:val="FootnoteReference"/>
        </w:rPr>
        <w:footnoteRef/>
      </w:r>
      <w:r>
        <w:t xml:space="preserve"> </w:t>
      </w:r>
      <w:r w:rsidR="009A334F">
        <w:rPr>
          <w:lang w:val="fr-CH"/>
        </w:rPr>
        <w:t xml:space="preserve">Grant n’évoque </w:t>
      </w:r>
      <w:r w:rsidR="00972004">
        <w:rPr>
          <w:lang w:val="fr-CH"/>
        </w:rPr>
        <w:t>pas</w:t>
      </w:r>
      <w:r>
        <w:rPr>
          <w:lang w:val="fr-CH"/>
        </w:rPr>
        <w:t xml:space="preserve"> seulement la suggestion du monologue introductif, mais également l’ajout de voix-over enregistrés par l’acteur principal.</w:t>
      </w:r>
    </w:p>
  </w:footnote>
  <w:footnote w:id="27">
    <w:p w14:paraId="398E2F77" w14:textId="4AE95897" w:rsidR="00C117F3" w:rsidRDefault="00C117F3">
      <w:pPr>
        <w:pStyle w:val="FootnoteText"/>
        <w:rPr>
          <w:lang w:val="en-GB"/>
        </w:rPr>
      </w:pPr>
      <w:r>
        <w:rPr>
          <w:rStyle w:val="FootnoteReference"/>
        </w:rPr>
        <w:footnoteRef/>
      </w:r>
      <w:r>
        <w:rPr>
          <w:lang w:val="en-GB"/>
        </w:rPr>
        <w:t xml:space="preserve"> « Make the movie’s message more explicit »</w:t>
      </w:r>
      <w:r w:rsidR="00170F34">
        <w:rPr>
          <w:lang w:val="en-GB"/>
        </w:rPr>
        <w:t xml:space="preserve"> [</w:t>
      </w:r>
      <w:r>
        <w:rPr>
          <w:lang w:val="en-GB"/>
        </w:rPr>
        <w:t xml:space="preserve">Barry Keith Grant, </w:t>
      </w:r>
      <w:r>
        <w:rPr>
          <w:i/>
          <w:lang w:val="en-GB"/>
        </w:rPr>
        <w:t>op. cit.</w:t>
      </w:r>
      <w:r>
        <w:rPr>
          <w:lang w:val="en-GB"/>
        </w:rPr>
        <w:t>, p. 35</w:t>
      </w:r>
      <w:r w:rsidR="00170F34">
        <w:rPr>
          <w:lang w:val="en-GB"/>
        </w:rPr>
        <w:t>]</w:t>
      </w:r>
      <w:r>
        <w:rPr>
          <w:lang w:val="en-GB"/>
        </w:rPr>
        <w:t>.</w:t>
      </w:r>
    </w:p>
  </w:footnote>
  <w:footnote w:id="28">
    <w:p w14:paraId="1EBFBFC0" w14:textId="647FC15F" w:rsidR="00C117F3" w:rsidRDefault="00C117F3">
      <w:pPr>
        <w:pStyle w:val="FootnoteText"/>
        <w:rPr>
          <w:lang w:val="en-GB"/>
        </w:rPr>
      </w:pPr>
      <w:r>
        <w:rPr>
          <w:rStyle w:val="FootnoteReference"/>
        </w:rPr>
        <w:footnoteRef/>
      </w:r>
      <w:r>
        <w:rPr>
          <w:lang w:val="en-GB"/>
        </w:rPr>
        <w:t xml:space="preserve"> « Help viewers follow the story »</w:t>
      </w:r>
      <w:r w:rsidR="00170F34">
        <w:rPr>
          <w:lang w:val="en-GB"/>
        </w:rPr>
        <w:t xml:space="preserve"> [</w:t>
      </w:r>
      <w:r>
        <w:rPr>
          <w:lang w:val="en-GB"/>
        </w:rPr>
        <w:t xml:space="preserve">Barry Keith Grant, </w:t>
      </w:r>
      <w:r>
        <w:rPr>
          <w:i/>
          <w:lang w:val="en-GB"/>
        </w:rPr>
        <w:t>op. cit.</w:t>
      </w:r>
      <w:r>
        <w:rPr>
          <w:lang w:val="en-GB"/>
        </w:rPr>
        <w:t>, p. 3</w:t>
      </w:r>
      <w:r w:rsidR="00170F34">
        <w:rPr>
          <w:lang w:val="en-GB"/>
        </w:rPr>
        <w:t>5]</w:t>
      </w:r>
      <w:r>
        <w:rPr>
          <w:lang w:val="en-GB"/>
        </w:rPr>
        <w:t>.</w:t>
      </w:r>
    </w:p>
  </w:footnote>
  <w:footnote w:id="29">
    <w:p w14:paraId="3D2BE238" w14:textId="2F35EDAC" w:rsidR="00C117F3" w:rsidRDefault="00C117F3">
      <w:pPr>
        <w:pStyle w:val="FootnoteText"/>
        <w:rPr>
          <w:lang w:val="en-GB"/>
        </w:rPr>
      </w:pPr>
      <w:r>
        <w:rPr>
          <w:rStyle w:val="FootnoteReference"/>
        </w:rPr>
        <w:footnoteRef/>
      </w:r>
      <w:r>
        <w:rPr>
          <w:lang w:val="en-GB"/>
        </w:rPr>
        <w:t xml:space="preserve"> « Heighten the theme »</w:t>
      </w:r>
      <w:r>
        <w:rPr>
          <w:lang w:val="en-US"/>
        </w:rPr>
        <w:t xml:space="preserve"> </w:t>
      </w:r>
      <w:r w:rsidR="00170F34">
        <w:rPr>
          <w:rFonts w:ascii="Calibri" w:hAnsi="Calibri"/>
          <w:lang w:val="en-US"/>
        </w:rPr>
        <w:t>[</w:t>
      </w:r>
      <w:r>
        <w:rPr>
          <w:lang w:val="en-US"/>
        </w:rPr>
        <w:t xml:space="preserve">Al LaValley (éd.), </w:t>
      </w:r>
      <w:r>
        <w:rPr>
          <w:i/>
          <w:lang w:val="en-US"/>
        </w:rPr>
        <w:t>op. cit.</w:t>
      </w:r>
      <w:r>
        <w:rPr>
          <w:lang w:val="en-US"/>
        </w:rPr>
        <w:t>, p. 14</w:t>
      </w:r>
      <w:r w:rsidR="00170F34">
        <w:rPr>
          <w:rFonts w:ascii="Calibri" w:hAnsi="Calibri"/>
          <w:lang w:val="en-US"/>
        </w:rPr>
        <w:t>]</w:t>
      </w:r>
      <w:r>
        <w:rPr>
          <w:lang w:val="en-US"/>
        </w:rPr>
        <w:t>.</w:t>
      </w:r>
    </w:p>
  </w:footnote>
  <w:footnote w:id="30">
    <w:p w14:paraId="57926465" w14:textId="33E69F83" w:rsidR="00C117F3" w:rsidRDefault="00C117F3">
      <w:pPr>
        <w:pStyle w:val="FootnoteText"/>
        <w:rPr>
          <w:lang w:val="en-GB"/>
        </w:rPr>
      </w:pPr>
      <w:r>
        <w:rPr>
          <w:rStyle w:val="FootnoteReference"/>
        </w:rPr>
        <w:footnoteRef/>
      </w:r>
      <w:r>
        <w:rPr>
          <w:lang w:val="en-GB"/>
        </w:rPr>
        <w:t xml:space="preserve"> « Add a note of respectability »</w:t>
      </w:r>
      <w:r w:rsidR="00170F34">
        <w:rPr>
          <w:lang w:val="en-GB"/>
        </w:rPr>
        <w:t xml:space="preserve"> [</w:t>
      </w:r>
      <w:r>
        <w:rPr>
          <w:lang w:val="en-US"/>
        </w:rPr>
        <w:t xml:space="preserve">Mark Thomas McGee, </w:t>
      </w:r>
      <w:r>
        <w:rPr>
          <w:i/>
          <w:lang w:val="en-US"/>
        </w:rPr>
        <w:t>op. cit.</w:t>
      </w:r>
      <w:r>
        <w:rPr>
          <w:lang w:val="en-US"/>
        </w:rPr>
        <w:t>, p. 62</w:t>
      </w:r>
      <w:r w:rsidR="00170F34">
        <w:rPr>
          <w:lang w:val="en-US"/>
        </w:rPr>
        <w:t>]</w:t>
      </w:r>
      <w:r>
        <w:rPr>
          <w:lang w:val="en-US"/>
        </w:rPr>
        <w:t>.</w:t>
      </w:r>
    </w:p>
  </w:footnote>
  <w:footnote w:id="31">
    <w:p w14:paraId="26225FAB"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24 décembre 1954, p. 73.</w:t>
      </w:r>
    </w:p>
  </w:footnote>
  <w:footnote w:id="32">
    <w:p w14:paraId="0FBCE8F5" w14:textId="74369743" w:rsidR="00C117F3" w:rsidRDefault="00C117F3">
      <w:pPr>
        <w:pStyle w:val="FootnoteText"/>
        <w:rPr>
          <w:lang w:val="fr-CH"/>
        </w:rPr>
      </w:pPr>
      <w:r>
        <w:rPr>
          <w:rStyle w:val="FootnoteReference"/>
        </w:rPr>
        <w:footnoteRef/>
      </w:r>
      <w:r w:rsidR="00560EA4">
        <w:t xml:space="preserve"> La</w:t>
      </w:r>
      <w:r>
        <w:t xml:space="preserve"> mention nominative disparaît dans les versions ultérieures, bien que la citation subsiste dans son intégralité.</w:t>
      </w:r>
    </w:p>
  </w:footnote>
  <w:footnote w:id="33">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34">
    <w:p w14:paraId="3E125737" w14:textId="30497CAB" w:rsidR="00C117F3" w:rsidRDefault="00C117F3">
      <w:pPr>
        <w:pStyle w:val="FootnoteText"/>
        <w:rPr>
          <w:lang w:val="en-GB"/>
        </w:rPr>
      </w:pPr>
      <w:r>
        <w:rPr>
          <w:rStyle w:val="FootnoteReference"/>
        </w:rPr>
        <w:footnoteRef/>
      </w:r>
      <w:r>
        <w:rPr>
          <w:lang w:val="en-GB"/>
        </w:rPr>
        <w:t xml:space="preserve"> « Its instability » </w:t>
      </w:r>
      <w:r w:rsidR="00764834">
        <w:rPr>
          <w:rFonts w:ascii="Calibri" w:hAnsi="Calibri"/>
          <w:lang w:val="en-GB"/>
        </w:rPr>
        <w:t>[</w:t>
      </w:r>
      <w:r>
        <w:rPr>
          <w:lang w:val="en-US"/>
        </w:rPr>
        <w:t xml:space="preserve">Al LaValley (éd.), </w:t>
      </w:r>
      <w:r>
        <w:rPr>
          <w:i/>
          <w:lang w:val="en-US"/>
        </w:rPr>
        <w:t>op. cit.</w:t>
      </w:r>
      <w:r>
        <w:rPr>
          <w:lang w:val="en-US"/>
        </w:rPr>
        <w:t>, p. 15</w:t>
      </w:r>
      <w:r>
        <w:rPr>
          <w:rFonts w:ascii="Calibri" w:hAnsi="Calibri"/>
          <w:lang w:val="en-US"/>
        </w:rPr>
        <w:t>]</w:t>
      </w:r>
      <w:r>
        <w:rPr>
          <w:lang w:val="en-US"/>
        </w:rPr>
        <w:t>.</w:t>
      </w:r>
    </w:p>
  </w:footnote>
  <w:footnote w:id="35">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6">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op. cit.</w:t>
      </w:r>
      <w:r>
        <w:rPr>
          <w:lang w:val="en-US"/>
        </w:rPr>
        <w:t>, pp. 126.</w:t>
      </w:r>
    </w:p>
  </w:footnote>
  <w:footnote w:id="37">
    <w:p w14:paraId="1BF7BF1E" w14:textId="08B599EB" w:rsidR="00C117F3" w:rsidRDefault="00C117F3">
      <w:pPr>
        <w:pStyle w:val="FootnoteText"/>
        <w:rPr>
          <w:lang w:val="en-GB"/>
        </w:rPr>
      </w:pPr>
      <w:r>
        <w:rPr>
          <w:rStyle w:val="FootnoteReference"/>
        </w:rPr>
        <w:footnoteRef/>
      </w:r>
      <w:r>
        <w:rPr>
          <w:lang w:val="en-GB"/>
        </w:rPr>
        <w:t xml:space="preserve"> « M</w:t>
      </w:r>
      <w:r w:rsidR="0079631A">
        <w:rPr>
          <w:lang w:val="en-GB"/>
        </w:rPr>
        <w:t>ore optimistic ending » [</w:t>
      </w:r>
      <w:r>
        <w:rPr>
          <w:lang w:val="en-US"/>
        </w:rPr>
        <w:t xml:space="preserve">J. Hoberman, « Paranoia and the Pods », </w:t>
      </w:r>
      <w:r>
        <w:rPr>
          <w:i/>
          <w:lang w:val="en-US"/>
        </w:rPr>
        <w:t>Sight and Sound</w:t>
      </w:r>
      <w:r>
        <w:rPr>
          <w:lang w:val="en-US"/>
        </w:rPr>
        <w:t xml:space="preserve">, </w:t>
      </w:r>
      <w:r w:rsidR="00530575">
        <w:rPr>
          <w:lang w:val="en-US"/>
        </w:rPr>
        <w:t>vol.</w:t>
      </w:r>
      <w:r>
        <w:rPr>
          <w:lang w:val="en-US"/>
        </w:rPr>
        <w:t xml:space="preserve"> 4, </w:t>
      </w:r>
      <w:r w:rsidR="00F92EB3">
        <w:rPr>
          <w:lang w:val="en-US"/>
        </w:rPr>
        <w:t>n</w:t>
      </w:r>
      <w:r w:rsidR="00530575">
        <w:rPr>
          <w:lang w:val="en-US"/>
        </w:rPr>
        <w:t>°</w:t>
      </w:r>
      <w:r>
        <w:rPr>
          <w:lang w:val="en-US"/>
        </w:rPr>
        <w:t xml:space="preserve"> 5, mai 1994, p. 30</w:t>
      </w:r>
      <w:r w:rsidR="0079631A">
        <w:rPr>
          <w:lang w:val="en-US"/>
        </w:rPr>
        <w:t>].</w:t>
      </w:r>
    </w:p>
  </w:footnote>
  <w:footnote w:id="38">
    <w:p w14:paraId="0A6BA5DD" w14:textId="477D2FA1" w:rsidR="00C117F3" w:rsidRDefault="00C117F3">
      <w:pPr>
        <w:pStyle w:val="FootnoteText"/>
        <w:rPr>
          <w:lang w:val="en-GB"/>
        </w:rPr>
      </w:pPr>
      <w:r>
        <w:rPr>
          <w:rStyle w:val="FootnoteReference"/>
        </w:rPr>
        <w:footnoteRef/>
      </w:r>
      <w:r>
        <w:rPr>
          <w:lang w:val="en-GB"/>
        </w:rPr>
        <w:t xml:space="preserve"> « Compromised the power of the original ». </w:t>
      </w:r>
      <w:r>
        <w:rPr>
          <w:lang w:val="en-US"/>
        </w:rPr>
        <w:t xml:space="preserve">Georges Turner, « A Case for Insomnia », </w:t>
      </w:r>
      <w:r>
        <w:rPr>
          <w:i/>
          <w:lang w:val="en-US"/>
        </w:rPr>
        <w:t>American Cinematographer</w:t>
      </w:r>
      <w:r>
        <w:rPr>
          <w:lang w:val="en-US"/>
        </w:rPr>
        <w:t xml:space="preserve">, </w:t>
      </w:r>
      <w:r w:rsidR="00530575">
        <w:rPr>
          <w:lang w:val="en-US"/>
        </w:rPr>
        <w:t>vol.</w:t>
      </w:r>
      <w:r>
        <w:rPr>
          <w:lang w:val="en-US"/>
        </w:rPr>
        <w:t xml:space="preserve"> 78, </w:t>
      </w:r>
      <w:r w:rsidR="00F92EB3">
        <w:rPr>
          <w:lang w:val="en-US"/>
        </w:rPr>
        <w:t>n</w:t>
      </w:r>
      <w:r w:rsidR="00530575">
        <w:rPr>
          <w:lang w:val="en-US"/>
        </w:rPr>
        <w:t>°</w:t>
      </w:r>
      <w:r>
        <w:rPr>
          <w:lang w:val="en-US"/>
        </w:rPr>
        <w:t xml:space="preserve"> 3, mars 1997, p. 80</w:t>
      </w:r>
    </w:p>
  </w:footnote>
  <w:footnote w:id="39">
    <w:p w14:paraId="5EC6B918" w14:textId="11BC2FDD" w:rsidR="00C117F3" w:rsidRDefault="00C117F3">
      <w:pPr>
        <w:pStyle w:val="FootnoteText"/>
        <w:rPr>
          <w:lang w:val="fr-CH"/>
        </w:rPr>
      </w:pPr>
      <w:r>
        <w:rPr>
          <w:rStyle w:val="FootnoteReference"/>
        </w:rPr>
        <w:footnoteRef/>
      </w:r>
      <w:r>
        <w:t xml:space="preserve"> </w:t>
      </w:r>
      <w:r w:rsidR="00CC34D2">
        <w:rPr>
          <w:lang w:val="fr-CH"/>
        </w:rPr>
        <w:t>Dans l’imaginaire</w:t>
      </w:r>
      <w:r w:rsidR="00561582">
        <w:rPr>
          <w:lang w:val="fr-CH"/>
        </w:rPr>
        <w:t xml:space="preserve"> du public</w:t>
      </w:r>
      <w:r w:rsidR="00CC34D2">
        <w:rPr>
          <w:lang w:val="fr-CH"/>
        </w:rPr>
        <w:t xml:space="preserve"> américain</w:t>
      </w:r>
      <w:r w:rsidR="00561582">
        <w:rPr>
          <w:lang w:val="fr-CH"/>
        </w:rPr>
        <w:t xml:space="preserve"> des années 1950</w:t>
      </w:r>
      <w:r w:rsidR="00CC34D2">
        <w:rPr>
          <w:lang w:val="fr-CH"/>
        </w:rPr>
        <w:t>, l’autorité fédérale est considérée</w:t>
      </w:r>
      <w:r w:rsidR="00BB248F">
        <w:rPr>
          <w:lang w:val="fr-CH"/>
        </w:rPr>
        <w:t xml:space="preserve"> en certains termes comme</w:t>
      </w:r>
      <w:r>
        <w:rPr>
          <w:lang w:val="fr-CH"/>
        </w:rPr>
        <w:t xml:space="preserve"> </w:t>
      </w:r>
      <w:r>
        <w:rPr>
          <w:i/>
          <w:lang w:val="fr-CH"/>
        </w:rPr>
        <w:t>ultime</w:t>
      </w:r>
      <w:r>
        <w:rPr>
          <w:lang w:val="fr-CH"/>
        </w:rPr>
        <w:t>.</w:t>
      </w:r>
    </w:p>
  </w:footnote>
  <w:footnote w:id="40">
    <w:p w14:paraId="08B7B533" w14:textId="6C0DEA80" w:rsidR="00C117F3" w:rsidRDefault="00C117F3">
      <w:pPr>
        <w:pStyle w:val="FootnoteText"/>
        <w:rPr>
          <w:szCs w:val="20"/>
          <w:lang w:val="en-US"/>
        </w:rPr>
      </w:pPr>
      <w:r>
        <w:rPr>
          <w:rStyle w:val="FootnoteReference"/>
          <w:szCs w:val="20"/>
        </w:rPr>
        <w:footnoteRef/>
      </w:r>
      <w:r>
        <w:rPr>
          <w:szCs w:val="20"/>
          <w:lang w:val="en-GB"/>
        </w:rPr>
        <w:t xml:space="preserve"> </w:t>
      </w:r>
      <w:r>
        <w:rPr>
          <w:szCs w:val="20"/>
          <w:lang w:val="en-US"/>
        </w:rPr>
        <w:t xml:space="preserve">Melvin E. Jr Matthews, </w:t>
      </w:r>
      <w:r>
        <w:rPr>
          <w:i/>
          <w:szCs w:val="20"/>
          <w:lang w:val="en-US"/>
        </w:rPr>
        <w:t>Hostile Aliens, Hollywood and Today’s News. 1950s Science Fiction Films and 9/11</w:t>
      </w:r>
      <w:r>
        <w:rPr>
          <w:szCs w:val="20"/>
          <w:lang w:val="en-US"/>
        </w:rPr>
        <w:t>, New York, Algora Publishing, 2007, p. 39.</w:t>
      </w:r>
    </w:p>
  </w:footnote>
  <w:footnote w:id="41">
    <w:p w14:paraId="0AAF1316" w14:textId="7673C19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w:t>
      </w:r>
      <w:r w:rsidR="003A0E6B">
        <w:rPr>
          <w:szCs w:val="20"/>
          <w:lang w:val="en-GB"/>
        </w:rPr>
        <w:t>controlled by the pod people. »</w:t>
      </w:r>
      <w:r>
        <w:rPr>
          <w:szCs w:val="20"/>
          <w:lang w:val="en-GB"/>
        </w:rPr>
        <w:t xml:space="preserve"> </w:t>
      </w:r>
      <w:r w:rsidR="003A0E6B">
        <w:rPr>
          <w:szCs w:val="20"/>
          <w:lang w:val="en-GB"/>
        </w:rPr>
        <w:t>[</w:t>
      </w:r>
      <w:r>
        <w:rPr>
          <w:szCs w:val="20"/>
          <w:lang w:val="en-US"/>
        </w:rPr>
        <w:t xml:space="preserve">M. Keith Booker, </w:t>
      </w:r>
      <w:r>
        <w:rPr>
          <w:i/>
          <w:szCs w:val="20"/>
          <w:lang w:val="en-US"/>
        </w:rPr>
        <w:t>Alternate Americas: Science Fiction Films and American Culture</w:t>
      </w:r>
      <w:r>
        <w:rPr>
          <w:szCs w:val="20"/>
          <w:lang w:val="en-US"/>
        </w:rPr>
        <w:t>, Westport CT/London, Praeger, 2006, p. 6</w:t>
      </w:r>
      <w:r w:rsidR="003A0E6B">
        <w:rPr>
          <w:szCs w:val="20"/>
          <w:lang w:val="en-US"/>
        </w:rPr>
        <w:t>4].</w:t>
      </w:r>
    </w:p>
  </w:footnote>
  <w:footnote w:id="42">
    <w:p w14:paraId="797BF740" w14:textId="71403A3E" w:rsidR="00C117F3" w:rsidRDefault="00C117F3">
      <w:pPr>
        <w:pStyle w:val="FootnoteText"/>
        <w:rPr>
          <w:szCs w:val="20"/>
          <w:lang w:val="fr-CH"/>
        </w:rPr>
      </w:pPr>
      <w:r>
        <w:rPr>
          <w:rStyle w:val="FootnoteReference"/>
          <w:szCs w:val="20"/>
        </w:rPr>
        <w:footnoteRef/>
      </w:r>
      <w:r>
        <w:rPr>
          <w:szCs w:val="20"/>
        </w:rPr>
        <w:t xml:space="preserve"> </w:t>
      </w:r>
      <w:r w:rsidR="004D5945">
        <w:rPr>
          <w:szCs w:val="20"/>
        </w:rPr>
        <w:t>Miles s</w:t>
      </w:r>
      <w:r>
        <w:rPr>
          <w:szCs w:val="20"/>
        </w:rPr>
        <w:t>’aidant en réalité de « deux tablettes de Benzedrine », un des noms sous lesquels l’am</w:t>
      </w:r>
      <w:r w:rsidR="00717D7B">
        <w:rPr>
          <w:szCs w:val="20"/>
        </w:rPr>
        <w:t>phétamine était commercialisée.</w:t>
      </w:r>
    </w:p>
  </w:footnote>
  <w:footnote w:id="43">
    <w:p w14:paraId="23C93E4C" w14:textId="792868AF"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w:t>
      </w:r>
      <w:r w:rsidR="00EF6F59">
        <w:rPr>
          <w:szCs w:val="20"/>
          <w:lang w:val="en-GB"/>
        </w:rPr>
        <w:t>nd is always the one to take. »</w:t>
      </w:r>
      <w:r>
        <w:rPr>
          <w:szCs w:val="20"/>
          <w:lang w:val="en-GB"/>
        </w:rPr>
        <w:t xml:space="preserve"> </w:t>
      </w:r>
      <w:r w:rsidR="00EF6F59">
        <w:rPr>
          <w:szCs w:val="20"/>
          <w:lang w:val="en-GB"/>
        </w:rPr>
        <w:t>[</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r w:rsidR="00EF6F59">
        <w:rPr>
          <w:szCs w:val="20"/>
          <w:lang w:val="en-GB"/>
        </w:rPr>
        <w:t>]</w:t>
      </w:r>
      <w:r>
        <w:rPr>
          <w:szCs w:val="20"/>
          <w:lang w:val="en-GB"/>
        </w:rPr>
        <w:t>.</w:t>
      </w:r>
    </w:p>
  </w:footnote>
  <w:footnote w:id="44">
    <w:p w14:paraId="7A67C0BF" w14:textId="79C39795" w:rsidR="00C117F3" w:rsidRDefault="00C117F3">
      <w:pPr>
        <w:pStyle w:val="FootnoteText"/>
        <w:rPr>
          <w:szCs w:val="20"/>
          <w:lang w:val="en-GB"/>
        </w:rPr>
      </w:pPr>
      <w:r>
        <w:rPr>
          <w:rStyle w:val="FootnoteReference"/>
          <w:szCs w:val="20"/>
        </w:rPr>
        <w:footnoteRef/>
      </w:r>
      <w:r>
        <w:rPr>
          <w:szCs w:val="20"/>
          <w:lang w:val="en-GB"/>
        </w:rPr>
        <w:t xml:space="preserve"> « a roar of several cars coming down the highway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sidR="00EF6F59">
        <w:rPr>
          <w:szCs w:val="20"/>
          <w:lang w:val="en-GB"/>
        </w:rPr>
        <w:t>, p. 73]</w:t>
      </w:r>
    </w:p>
  </w:footnote>
  <w:footnote w:id="45">
    <w:p w14:paraId="795A691A" w14:textId="7A917F30" w:rsidR="00C117F3" w:rsidRPr="00EF6F59" w:rsidRDefault="00C117F3">
      <w:pPr>
        <w:pStyle w:val="FootnoteText"/>
        <w:rPr>
          <w:szCs w:val="20"/>
          <w:lang w:val="en-GB"/>
        </w:rPr>
      </w:pPr>
      <w:r>
        <w:rPr>
          <w:rStyle w:val="FootnoteReference"/>
          <w:szCs w:val="20"/>
        </w:rPr>
        <w:footnoteRef/>
      </w:r>
      <w:r>
        <w:rPr>
          <w:szCs w:val="20"/>
          <w:lang w:val="en-GB"/>
        </w:rPr>
        <w:t xml:space="preserve"> « How the FBI had intercepted the people trying to take pods to other towns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r w:rsidR="00EF6F59">
        <w:rPr>
          <w:i/>
          <w:szCs w:val="20"/>
          <w:lang w:val="en-GB"/>
        </w:rPr>
        <w:t>.</w:t>
      </w:r>
      <w:r w:rsidR="00EF6F59">
        <w:rPr>
          <w:szCs w:val="20"/>
          <w:lang w:val="en-GB"/>
        </w:rPr>
        <w:t>]</w:t>
      </w:r>
    </w:p>
  </w:footnote>
  <w:footnote w:id="46">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7">
    <w:p w14:paraId="4FF95D5D" w14:textId="0870CAD4"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r w:rsidR="007A6AE9" w:rsidRPr="009F3A9E">
        <w:rPr>
          <w:szCs w:val="20"/>
          <w:lang w:val="en-GB"/>
        </w:rPr>
        <w:t>(</w:t>
      </w:r>
      <w:r>
        <w:rPr>
          <w:szCs w:val="20"/>
          <w:lang w:val="en-GB"/>
        </w:rPr>
        <w:t xml:space="preserve">Barry Keith Grant, </w:t>
      </w:r>
      <w:r>
        <w:rPr>
          <w:i/>
          <w:szCs w:val="20"/>
          <w:lang w:val="en-GB"/>
        </w:rPr>
        <w:t>ibid.</w:t>
      </w:r>
      <w:r w:rsidR="007A6AE9" w:rsidRPr="007A6AE9">
        <w:rPr>
          <w:szCs w:val="20"/>
          <w:lang w:val="en-GB"/>
        </w:rPr>
        <w:t>)</w:t>
      </w:r>
    </w:p>
  </w:footnote>
  <w:footnote w:id="48">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Stuart M. Kaminsky, « Don Siegel on the Pod Society », in Thomas R. Adkins (éd.), </w:t>
      </w:r>
      <w:r>
        <w:rPr>
          <w:i/>
          <w:szCs w:val="20"/>
          <w:lang w:val="en-GB"/>
        </w:rPr>
        <w:t>Science Fiction Films</w:t>
      </w:r>
      <w:r>
        <w:rPr>
          <w:szCs w:val="20"/>
          <w:lang w:val="en-GB"/>
        </w:rPr>
        <w:t>, New York, Simon and Schustrer, 1976, pp. 73-82.</w:t>
      </w:r>
    </w:p>
  </w:footnote>
  <w:footnote w:id="49">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r>
        <w:rPr>
          <w:szCs w:val="20"/>
          <w:lang w:val="en-GB"/>
        </w:rPr>
        <w:t xml:space="preserve">Voir </w:t>
      </w:r>
      <w:r>
        <w:rPr>
          <w:szCs w:val="20"/>
          <w:lang w:val="en-US"/>
        </w:rPr>
        <w:t xml:space="preserve">Howard Hughes, </w:t>
      </w:r>
      <w:r>
        <w:rPr>
          <w:i/>
          <w:szCs w:val="20"/>
          <w:lang w:val="en-US"/>
        </w:rPr>
        <w:t>Outer Limits: The Filmgoer’s Guide to the Great Science-Fiction Films</w:t>
      </w:r>
      <w:r>
        <w:rPr>
          <w:szCs w:val="20"/>
          <w:lang w:val="en-US"/>
        </w:rPr>
        <w:t>, London, I.B. Tauris, 2014, p. 49.</w:t>
      </w:r>
    </w:p>
  </w:footnote>
  <w:footnote w:id="50">
    <w:p w14:paraId="5F2487DB" w14:textId="77777777" w:rsidR="00C117F3" w:rsidRDefault="00C117F3">
      <w:pPr>
        <w:pStyle w:val="FootnoteText"/>
        <w:rPr>
          <w:lang w:val="en-US"/>
        </w:rPr>
      </w:pPr>
      <w:r>
        <w:rPr>
          <w:rStyle w:val="FootnoteReference"/>
        </w:rPr>
        <w:footnoteRef/>
      </w:r>
      <w:r>
        <w:rPr>
          <w:lang w:val="en-GB"/>
        </w:rPr>
        <w:t xml:space="preserve"> Pour une discussion de la place des autorités dans la l’imaginaire collectif américain durant la Guerre Froide, voir J. Hoberman, « The Communist Was a Thing for the FBI! », </w:t>
      </w:r>
      <w:r>
        <w:rPr>
          <w:i/>
          <w:lang w:val="en-GB"/>
        </w:rPr>
        <w:t>in</w:t>
      </w:r>
      <w:r>
        <w:rPr>
          <w:lang w:val="en-GB"/>
        </w:rPr>
        <w:t xml:space="preserve"> </w:t>
      </w:r>
      <w:r>
        <w:rPr>
          <w:lang w:val="en-US"/>
        </w:rPr>
        <w:t>J. Hoberman,</w:t>
      </w:r>
      <w:r>
        <w:rPr>
          <w:i/>
          <w:lang w:val="en-US"/>
        </w:rPr>
        <w:t xml:space="preserve"> An Army of Phantoms: American Movies and the Making of the Cold War</w:t>
      </w:r>
      <w:r>
        <w:rPr>
          <w:lang w:val="en-US"/>
        </w:rPr>
        <w:t>, New York/London, The New Press, 2011, pp. 117-127.</w:t>
      </w:r>
    </w:p>
  </w:footnote>
  <w:footnote w:id="51">
    <w:p w14:paraId="177CBECB" w14:textId="5F40A96C" w:rsidR="00C117F3" w:rsidRDefault="00C117F3">
      <w:pPr>
        <w:pStyle w:val="FootnoteText"/>
        <w:rPr>
          <w:lang w:val="fr-CH"/>
        </w:rPr>
      </w:pPr>
      <w:r>
        <w:rPr>
          <w:rStyle w:val="FootnoteReference"/>
        </w:rPr>
        <w:footnoteRef/>
      </w:r>
      <w:r>
        <w:t xml:space="preserve"> </w:t>
      </w:r>
      <w:r w:rsidR="009F3A9E">
        <w:rPr>
          <w:lang w:val="fr-CH"/>
        </w:rPr>
        <w:t xml:space="preserve">La deuxième moitié de cette partie </w:t>
      </w:r>
      <w:r>
        <w:rPr>
          <w:lang w:val="fr-CH"/>
        </w:rPr>
        <w:t>s’efforcera de mettre en perspective la stabilité du texte de Finney dans la période de production et de diffusion du film et de ses remakes.</w:t>
      </w:r>
    </w:p>
  </w:footnote>
  <w:footnote w:id="52">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Pr>
          <w:lang w:val="en-GB"/>
        </w:rPr>
        <w:t xml:space="preserve">Voir J. P. Telotte, </w:t>
      </w:r>
      <w:r>
        <w:rPr>
          <w:i/>
          <w:lang w:val="en-GB"/>
        </w:rPr>
        <w:t>Science Fiction Film</w:t>
      </w:r>
      <w:r>
        <w:rPr>
          <w:lang w:val="en-GB"/>
        </w:rPr>
        <w:t>, Cambridge, Cambridge University Press, 2004 [2001], p. 14.</w:t>
      </w:r>
    </w:p>
  </w:footnote>
  <w:footnote w:id="53">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4">
    <w:p w14:paraId="4991924D" w14:textId="3A9E9673" w:rsidR="00C117F3" w:rsidRDefault="00C117F3">
      <w:pPr>
        <w:pStyle w:val="FootnoteText"/>
        <w:rPr>
          <w:lang w:val="en-GB"/>
        </w:rPr>
      </w:pPr>
      <w:r>
        <w:rPr>
          <w:rStyle w:val="FootnoteReference"/>
        </w:rPr>
        <w:footnoteRef/>
      </w:r>
      <w:r>
        <w:rPr>
          <w:lang w:val="en-GB"/>
        </w:rPr>
        <w:t xml:space="preserve"> « botany and biology </w:t>
      </w:r>
      <w:r w:rsidR="00534E48">
        <w:rPr>
          <w:lang w:val="en-GB"/>
        </w:rPr>
        <w:t>professor at a local college » [</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10 décembre 1954, p. 1</w:t>
      </w:r>
      <w:r w:rsidR="00534E48">
        <w:rPr>
          <w:lang w:val="en-GB"/>
        </w:rPr>
        <w:t>17]</w:t>
      </w:r>
    </w:p>
  </w:footnote>
  <w:footnote w:id="55">
    <w:p w14:paraId="70A67B4C" w14:textId="0C2B14D2" w:rsidR="00C117F3" w:rsidRDefault="00C117F3">
      <w:pPr>
        <w:pStyle w:val="FootnoteText"/>
        <w:rPr>
          <w:lang w:val="en-GB"/>
        </w:rPr>
      </w:pPr>
      <w:r>
        <w:rPr>
          <w:rStyle w:val="FootnoteReference"/>
        </w:rPr>
        <w:footnoteRef/>
      </w:r>
      <w:r>
        <w:rPr>
          <w:lang w:val="en-GB"/>
        </w:rPr>
        <w:t xml:space="preserve"> « </w:t>
      </w:r>
      <w:r w:rsidR="00E92A62">
        <w:rPr>
          <w:i/>
          <w:iCs/>
          <w:lang w:val="en-GB"/>
        </w:rPr>
        <w:t>M</w:t>
      </w:r>
      <w:r>
        <w:rPr>
          <w:i/>
          <w:iCs/>
          <w:lang w:val="en-GB"/>
        </w:rPr>
        <w:t xml:space="preserve">ysterious objects </w:t>
      </w:r>
      <w:r>
        <w:rPr>
          <w:lang w:val="en-GB"/>
        </w:rPr>
        <w:t xml:space="preserve">found on a farm west of town». </w:t>
      </w:r>
      <w:r w:rsidR="00871FD6">
        <w:rPr>
          <w:lang w:val="en-GB"/>
        </w:rPr>
        <w:t>[</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r w:rsidR="00871FD6" w:rsidRPr="00640108">
        <w:rPr>
          <w:lang w:val="en-GB"/>
        </w:rPr>
        <w:t>]</w:t>
      </w:r>
      <w:r w:rsidR="004D65E7">
        <w:rPr>
          <w:lang w:val="en-GB"/>
        </w:rPr>
        <w:t>.</w:t>
      </w:r>
    </w:p>
  </w:footnote>
  <w:footnote w:id="56">
    <w:p w14:paraId="3DD4FEF5" w14:textId="6EC55067" w:rsidR="00C117F3" w:rsidRPr="001337AF" w:rsidRDefault="00C117F3">
      <w:pPr>
        <w:pStyle w:val="FootnoteText"/>
        <w:rPr>
          <w:lang w:val="fr-CH"/>
        </w:rPr>
      </w:pPr>
      <w:r>
        <w:rPr>
          <w:rStyle w:val="FootnoteReference"/>
        </w:rPr>
        <w:footnoteRef/>
      </w:r>
      <w:r>
        <w:t xml:space="preserve"> Finney accorde à la scène </w:t>
      </w:r>
      <w:r w:rsidR="00B8186C">
        <w:t xml:space="preserve">d’explication </w:t>
      </w:r>
      <w:r w:rsidR="004D53B9">
        <w:t>3 pages entières du roman</w:t>
      </w:r>
      <w:r>
        <w:t xml:space="preserve">. </w:t>
      </w:r>
      <w:r w:rsidRPr="001337AF">
        <w:rPr>
          <w:lang w:val="fr-CH"/>
        </w:rPr>
        <w:t xml:space="preserve">Jack Finney , </w:t>
      </w:r>
      <w:r w:rsidRPr="001337AF">
        <w:rPr>
          <w:i/>
          <w:lang w:val="fr-CH"/>
        </w:rPr>
        <w:t>ibid.</w:t>
      </w:r>
      <w:r w:rsidRPr="001337AF">
        <w:rPr>
          <w:lang w:val="fr-CH"/>
        </w:rPr>
        <w:t>, pp. 122-124</w:t>
      </w:r>
      <w:r w:rsidR="006707C7">
        <w:rPr>
          <w:lang w:val="fr-CH"/>
        </w:rPr>
        <w:t>.</w:t>
      </w:r>
    </w:p>
  </w:footnote>
  <w:footnote w:id="57">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8">
    <w:p w14:paraId="235604E7" w14:textId="37EE53BD" w:rsidR="00C117F3" w:rsidRDefault="00C117F3">
      <w:pPr>
        <w:pStyle w:val="FootnoteText"/>
        <w:rPr>
          <w:lang w:val="en-GB"/>
        </w:rPr>
      </w:pPr>
      <w:r>
        <w:rPr>
          <w:rStyle w:val="FootnoteReference"/>
        </w:rPr>
        <w:footnoteRef/>
      </w:r>
      <w:r>
        <w:rPr>
          <w:lang w:val="en-GB"/>
        </w:rPr>
        <w:t xml:space="preserve"> « The </w:t>
      </w:r>
      <w:r w:rsidR="00EB778A">
        <w:rPr>
          <w:lang w:val="en-GB"/>
        </w:rPr>
        <w:t>reporter trapped me »</w:t>
      </w:r>
      <w:r>
        <w:rPr>
          <w:lang w:val="en-GB"/>
        </w:rPr>
        <w:t xml:space="preserve"> </w:t>
      </w:r>
      <w:r w:rsidR="00EB778A">
        <w:rPr>
          <w:lang w:val="en-GB"/>
        </w:rPr>
        <w:t>[</w:t>
      </w:r>
      <w:r>
        <w:rPr>
          <w:lang w:val="en-GB"/>
        </w:rPr>
        <w:t xml:space="preserve">Jack Finney, </w:t>
      </w:r>
      <w:r>
        <w:rPr>
          <w:i/>
          <w:lang w:val="en-GB"/>
        </w:rPr>
        <w:t>op. cit.</w:t>
      </w:r>
      <w:r w:rsidR="00EB778A">
        <w:rPr>
          <w:lang w:val="en-GB"/>
        </w:rPr>
        <w:t>, p. 122]</w:t>
      </w:r>
      <w:r w:rsidR="00111480">
        <w:rPr>
          <w:lang w:val="en-GB"/>
        </w:rPr>
        <w:t>.</w:t>
      </w:r>
    </w:p>
  </w:footnote>
  <w:footnote w:id="59">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Hirschbiegel.</w:t>
      </w:r>
    </w:p>
  </w:footnote>
  <w:footnote w:id="60">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61">
    <w:p w14:paraId="4A358C19" w14:textId="54B4DC35" w:rsidR="00C117F3" w:rsidRPr="001337AF" w:rsidRDefault="00C117F3">
      <w:pPr>
        <w:pStyle w:val="FootnoteText"/>
        <w:rPr>
          <w:lang w:val="fr-CH"/>
        </w:rPr>
      </w:pPr>
      <w:r>
        <w:rPr>
          <w:rStyle w:val="FootnoteReference"/>
        </w:rPr>
        <w:footnoteRef/>
      </w:r>
      <w:r>
        <w:t xml:space="preserve"> </w:t>
      </w:r>
      <w:r w:rsidR="001C5034">
        <w:rPr>
          <w:lang w:val="fr-CH"/>
        </w:rPr>
        <w:t xml:space="preserve">Explication </w:t>
      </w:r>
      <w:r w:rsidR="00E04482">
        <w:rPr>
          <w:lang w:val="fr-CH"/>
        </w:rPr>
        <w:t>qui se base</w:t>
      </w:r>
      <w:r>
        <w:rPr>
          <w:lang w:val="fr-CH"/>
        </w:rPr>
        <w:t xml:space="preserve"> grandement sur la théorie darwinienne de l’évolution, décrivant les pods comme « une forme de vie complètement évoluée, sa forme ultime » </w:t>
      </w:r>
      <w:r w:rsidR="00B430F2">
        <w:rPr>
          <w:lang w:val="fr-CH"/>
        </w:rPr>
        <w:t>(</w:t>
      </w:r>
      <w:r>
        <w:rPr>
          <w:lang w:val="fr-CH"/>
        </w:rPr>
        <w:t>« </w:t>
      </w:r>
      <w:r w:rsidRPr="0064756E">
        <w:rPr>
          <w:lang w:val="fr-CH"/>
        </w:rPr>
        <w:t>completely evolved l</w:t>
      </w:r>
      <w:r w:rsidR="00B430F2" w:rsidRPr="0064756E">
        <w:rPr>
          <w:lang w:val="fr-CH"/>
        </w:rPr>
        <w:t>ife, its ultimate form</w:t>
      </w:r>
      <w:r w:rsidR="00B430F2">
        <w:rPr>
          <w:lang w:val="fr-CH"/>
        </w:rPr>
        <w:t>. »)</w:t>
      </w:r>
      <w:r>
        <w:rPr>
          <w:lang w:val="fr-CH"/>
        </w:rPr>
        <w:t xml:space="preserve"> </w:t>
      </w:r>
      <w:r w:rsidR="00B430F2">
        <w:rPr>
          <w:lang w:val="fr-CH"/>
        </w:rPr>
        <w:t>[</w:t>
      </w:r>
      <w:r w:rsidRPr="001337AF">
        <w:rPr>
          <w:lang w:val="fr-CH"/>
        </w:rPr>
        <w:t xml:space="preserve">Jack Finney, </w:t>
      </w:r>
      <w:r w:rsidRPr="001337AF">
        <w:rPr>
          <w:i/>
          <w:lang w:val="fr-CH"/>
        </w:rPr>
        <w:t>op. cit.</w:t>
      </w:r>
      <w:r w:rsidR="00B430F2">
        <w:rPr>
          <w:lang w:val="fr-CH"/>
        </w:rPr>
        <w:t>, p. 124].</w:t>
      </w:r>
    </w:p>
  </w:footnote>
  <w:footnote w:id="62">
    <w:p w14:paraId="034C7B72" w14:textId="5DA0940F" w:rsidR="00C117F3" w:rsidRDefault="00C117F3">
      <w:pPr>
        <w:pStyle w:val="FootnoteText"/>
        <w:rPr>
          <w:lang w:val="fr-CH"/>
        </w:rPr>
      </w:pPr>
      <w:r>
        <w:rPr>
          <w:rStyle w:val="FootnoteReference"/>
        </w:rPr>
        <w:footnoteRef/>
      </w:r>
      <w:r>
        <w:t xml:space="preserve"> </w:t>
      </w:r>
      <w:r w:rsidR="00BE1E55">
        <w:t>Le p</w:t>
      </w:r>
      <w:r>
        <w:t xml:space="preserve">ersonnage </w:t>
      </w:r>
      <w:r w:rsidR="00BE1E55">
        <w:t xml:space="preserve">est </w:t>
      </w:r>
      <w:r>
        <w:t>également présent dans le feuilleton sous le nom de « Dr. Mannie Kaufman ».</w:t>
      </w:r>
    </w:p>
  </w:footnote>
  <w:footnote w:id="63">
    <w:p w14:paraId="28286828" w14:textId="7FE4D739" w:rsidR="00C117F3" w:rsidRDefault="00C117F3">
      <w:pPr>
        <w:pStyle w:val="FootnoteText"/>
        <w:rPr>
          <w:lang w:val="fr-CH"/>
        </w:rPr>
      </w:pPr>
      <w:r>
        <w:rPr>
          <w:rStyle w:val="FootnoteReference"/>
        </w:rPr>
        <w:footnoteRef/>
      </w:r>
      <w:r>
        <w:t xml:space="preserve"> </w:t>
      </w:r>
      <w:r w:rsidR="00A3716F">
        <w:rPr>
          <w:lang w:val="fr-CH"/>
        </w:rPr>
        <w:t>Relation entretenue avant</w:t>
      </w:r>
      <w:r>
        <w:rPr>
          <w:lang w:val="fr-CH"/>
        </w:rPr>
        <w:t xml:space="preserve"> sa </w:t>
      </w:r>
      <w:r>
        <w:rPr>
          <w:i/>
          <w:lang w:val="fr-CH"/>
        </w:rPr>
        <w:t>transformation</w:t>
      </w:r>
      <w:r>
        <w:rPr>
          <w:lang w:val="fr-CH"/>
        </w:rPr>
        <w:t>.</w:t>
      </w:r>
    </w:p>
  </w:footnote>
  <w:footnote w:id="64">
    <w:p w14:paraId="313092A9" w14:textId="273A9628" w:rsidR="00C117F3" w:rsidRDefault="00C117F3">
      <w:pPr>
        <w:pStyle w:val="FootnoteText"/>
        <w:rPr>
          <w:lang w:val="fr-CH"/>
        </w:rPr>
      </w:pPr>
      <w:r>
        <w:rPr>
          <w:rStyle w:val="FootnoteReference"/>
        </w:rPr>
        <w:footnoteRef/>
      </w:r>
      <w:r>
        <w:t xml:space="preserve"> </w:t>
      </w:r>
      <w:r w:rsidR="00914670">
        <w:rPr>
          <w:lang w:val="fr-CH"/>
        </w:rPr>
        <w:t>Il argumente</w:t>
      </w:r>
      <w:r>
        <w:rPr>
          <w:lang w:val="fr-CH"/>
        </w:rPr>
        <w:t xml:space="preserve"> plutôt</w:t>
      </w:r>
      <w:r w:rsidR="00914670">
        <w:rPr>
          <w:lang w:val="fr-CH"/>
        </w:rPr>
        <w:t xml:space="preserve"> en faveur</w:t>
      </w:r>
      <w:r>
        <w:rPr>
          <w:lang w:val="fr-CH"/>
        </w:rPr>
        <w:t xml:space="preserve"> </w:t>
      </w:r>
      <w:r w:rsidR="00914670">
        <w:rPr>
          <w:lang w:val="fr-CH"/>
        </w:rPr>
        <w:t>du</w:t>
      </w:r>
      <w:r>
        <w:rPr>
          <w:lang w:val="fr-CH"/>
        </w:rPr>
        <w:t xml:space="preserve"> manque d’émotions.</w:t>
      </w:r>
    </w:p>
  </w:footnote>
  <w:footnote w:id="65">
    <w:p w14:paraId="2F773CDB" w14:textId="31C463E9" w:rsidR="00C117F3" w:rsidRDefault="00C117F3">
      <w:pPr>
        <w:pStyle w:val="FootnoteText"/>
        <w:rPr>
          <w:lang w:val="fr-CH"/>
        </w:rPr>
      </w:pPr>
      <w:r>
        <w:rPr>
          <w:rStyle w:val="FootnoteReference"/>
        </w:rPr>
        <w:footnoteRef/>
      </w:r>
      <w:r>
        <w:t xml:space="preserve"> </w:t>
      </w:r>
      <w:r w:rsidR="00DF69E5">
        <w:rPr>
          <w:lang w:val="fr-CH"/>
        </w:rPr>
        <w:t>Passage cité</w:t>
      </w:r>
      <w:r w:rsidR="00EA2008">
        <w:rPr>
          <w:lang w:val="fr-CH"/>
        </w:rPr>
        <w:t xml:space="preserve"> en intégralité dans la premiè</w:t>
      </w:r>
      <w:r>
        <w:rPr>
          <w:lang w:val="fr-CH"/>
        </w:rPr>
        <w:t>r</w:t>
      </w:r>
      <w:r w:rsidR="00EA2008">
        <w:rPr>
          <w:lang w:val="fr-CH"/>
        </w:rPr>
        <w:t>e</w:t>
      </w:r>
      <w:r>
        <w:rPr>
          <w:lang w:val="fr-CH"/>
        </w:rPr>
        <w:t xml:space="preserve"> </w:t>
      </w:r>
      <w:r w:rsidR="00EA2008">
        <w:rPr>
          <w:lang w:val="fr-CH"/>
        </w:rPr>
        <w:t>partie</w:t>
      </w:r>
      <w:r>
        <w:rPr>
          <w:lang w:val="fr-CH"/>
        </w:rPr>
        <w:t xml:space="preserve"> du travail.</w:t>
      </w:r>
    </w:p>
  </w:footnote>
  <w:footnote w:id="66">
    <w:p w14:paraId="0C6660C6" w14:textId="2E945002" w:rsidR="00C117F3" w:rsidRDefault="00C117F3">
      <w:pPr>
        <w:pStyle w:val="FootnoteText"/>
      </w:pPr>
      <w:r>
        <w:rPr>
          <w:rStyle w:val="FootnoteReference"/>
        </w:rPr>
        <w:footnoteRef/>
      </w:r>
      <w:r>
        <w:t xml:space="preserve"> </w:t>
      </w:r>
      <w:r w:rsidR="00806931">
        <w:t>L’émotionnel est un a</w:t>
      </w:r>
      <w:r w:rsidR="00B81FDD">
        <w:t>spect p</w:t>
      </w:r>
      <w:r>
        <w:t>lus lié au genre de l’horreur.</w:t>
      </w:r>
    </w:p>
  </w:footnote>
  <w:footnote w:id="67">
    <w:p w14:paraId="4E9B3CC8" w14:textId="7BBCB271" w:rsidR="00C117F3" w:rsidRDefault="00C117F3">
      <w:pPr>
        <w:pStyle w:val="FootnoteText"/>
      </w:pPr>
      <w:r>
        <w:rPr>
          <w:rStyle w:val="FootnoteReference"/>
        </w:rPr>
        <w:footnoteRef/>
      </w:r>
      <w:r>
        <w:t xml:space="preserve"> </w:t>
      </w:r>
      <w:r w:rsidR="00B81FDD">
        <w:t>Une rationalisation relevant</w:t>
      </w:r>
      <w:r>
        <w:t xml:space="preserve"> du domaine de la science-fiction.</w:t>
      </w:r>
    </w:p>
  </w:footnote>
  <w:footnote w:id="68">
    <w:p w14:paraId="059142E8" w14:textId="5D6D42BA" w:rsidR="00A86B5D" w:rsidRPr="00A86B5D" w:rsidRDefault="00A86B5D">
      <w:pPr>
        <w:pStyle w:val="FootnoteText"/>
        <w:rPr>
          <w:lang w:val="en-GB"/>
        </w:rPr>
      </w:pPr>
      <w:r>
        <w:rPr>
          <w:rStyle w:val="FootnoteReference"/>
        </w:rPr>
        <w:footnoteRef/>
      </w:r>
      <w:r w:rsidRPr="00A86B5D">
        <w:rPr>
          <w:lang w:val="en-GB"/>
        </w:rPr>
        <w:t xml:space="preserve"> « </w:t>
      </w:r>
      <w:r w:rsidR="008B6416">
        <w:rPr>
          <w:lang w:val="en-GB"/>
        </w:rPr>
        <w:t>T</w:t>
      </w:r>
      <w:r w:rsidR="008B6416" w:rsidRPr="00A86B5D">
        <w:rPr>
          <w:lang w:val="en-GB"/>
        </w:rPr>
        <w:t>endency</w:t>
      </w:r>
      <w:r w:rsidRPr="00A86B5D">
        <w:rPr>
          <w:lang w:val="en-GB"/>
        </w:rPr>
        <w:t xml:space="preserve"> to lodge a sense of our humanity in feelings, passion, desire – and not in the atmosphere of reason and science that would seem to dominate the world of science fiction.</w:t>
      </w:r>
      <w:r>
        <w:rPr>
          <w:lang w:val="en-GB"/>
        </w:rPr>
        <w:t xml:space="preserve"> </w:t>
      </w:r>
      <w:r w:rsidRPr="00A86B5D">
        <w:rPr>
          <w:lang w:val="en-GB"/>
        </w:rPr>
        <w:t>»</w:t>
      </w:r>
      <w:r>
        <w:rPr>
          <w:lang w:val="en-GB"/>
        </w:rPr>
        <w:t xml:space="preserve"> [J. P. </w:t>
      </w:r>
      <w:r w:rsidR="003D0F69">
        <w:rPr>
          <w:lang w:val="en-GB"/>
        </w:rPr>
        <w:t>Telotte</w:t>
      </w:r>
      <w:r>
        <w:rPr>
          <w:lang w:val="en-GB"/>
        </w:rPr>
        <w:t xml:space="preserve">, </w:t>
      </w:r>
      <w:r w:rsidRPr="008378E6">
        <w:rPr>
          <w:i/>
          <w:lang w:val="en-US"/>
        </w:rPr>
        <w:t>Science Fiction Film</w:t>
      </w:r>
      <w:r w:rsidRPr="008378E6">
        <w:rPr>
          <w:lang w:val="en-US"/>
        </w:rPr>
        <w:t>, Cambridge, Cambridg</w:t>
      </w:r>
      <w:r>
        <w:rPr>
          <w:lang w:val="en-US"/>
        </w:rPr>
        <w:t>e University Press, 2004, p. 21</w:t>
      </w:r>
      <w:r>
        <w:rPr>
          <w:lang w:val="en-GB"/>
        </w:rPr>
        <w:t>].</w:t>
      </w:r>
      <w:r w:rsidRPr="00A86B5D">
        <w:rPr>
          <w:lang w:val="en-GB"/>
        </w:rPr>
        <w:t> </w:t>
      </w:r>
    </w:p>
  </w:footnote>
  <w:footnote w:id="69">
    <w:p w14:paraId="1AA022B9" w14:textId="2F643E49" w:rsidR="008A2B70" w:rsidRPr="008A2B70" w:rsidRDefault="008A2B70">
      <w:pPr>
        <w:pStyle w:val="FootnoteText"/>
      </w:pPr>
      <w:r>
        <w:rPr>
          <w:rStyle w:val="FootnoteReference"/>
        </w:rPr>
        <w:footnoteRef/>
      </w:r>
      <w:r>
        <w:t xml:space="preserve"> Un type de film dans lequel il classe </w:t>
      </w:r>
      <w:r>
        <w:rPr>
          <w:i/>
        </w:rPr>
        <w:t>Invasion of the Body Snatchers</w:t>
      </w:r>
      <w:r>
        <w:t xml:space="preserve">, et va jusqu’à </w:t>
      </w:r>
      <w:r w:rsidR="00BC570C">
        <w:t>qualifier ce dernier comme « texte exemplaire » (« exemplary text ») [</w:t>
      </w:r>
      <w:r w:rsidR="00BC570C" w:rsidRPr="00BC570C">
        <w:rPr>
          <w:lang w:val="fr-CH"/>
        </w:rPr>
        <w:t xml:space="preserve">J. P. Telotte, </w:t>
      </w:r>
      <w:r w:rsidR="00BC570C">
        <w:rPr>
          <w:i/>
          <w:lang w:val="fr-CH"/>
        </w:rPr>
        <w:t>op. cit.</w:t>
      </w:r>
      <w:r w:rsidR="00BC570C" w:rsidRPr="00BC570C">
        <w:rPr>
          <w:lang w:val="fr-CH"/>
        </w:rPr>
        <w:t xml:space="preserve">, p. </w:t>
      </w:r>
      <w:r w:rsidR="00BC570C">
        <w:rPr>
          <w:lang w:val="fr-CH"/>
        </w:rPr>
        <w:t>23</w:t>
      </w:r>
      <w:r w:rsidR="00BC570C">
        <w:t>]</w:t>
      </w:r>
      <w:r>
        <w:t>.</w:t>
      </w:r>
    </w:p>
  </w:footnote>
  <w:footnote w:id="70">
    <w:p w14:paraId="38041C4F" w14:textId="1CDFF469" w:rsidR="00BB7BDF" w:rsidRPr="00BB7BDF" w:rsidRDefault="00BB7BDF">
      <w:pPr>
        <w:pStyle w:val="FootnoteText"/>
        <w:rPr>
          <w:lang w:val="en-GB"/>
        </w:rPr>
      </w:pPr>
      <w:r>
        <w:rPr>
          <w:rStyle w:val="FootnoteReference"/>
        </w:rPr>
        <w:footnoteRef/>
      </w:r>
      <w:r w:rsidRPr="00BB7BDF">
        <w:rPr>
          <w:lang w:val="en-GB"/>
        </w:rPr>
        <w:t xml:space="preserve"> « </w:t>
      </w:r>
      <w:r w:rsidR="008E643F">
        <w:rPr>
          <w:lang w:val="en-GB"/>
        </w:rPr>
        <w:t>R</w:t>
      </w:r>
      <w:r w:rsidRPr="00BB7BDF">
        <w:rPr>
          <w:lang w:val="en-GB"/>
        </w:rPr>
        <w:t>eveal their close ties to the horror genre »</w:t>
      </w:r>
      <w:r>
        <w:rPr>
          <w:lang w:val="en-GB"/>
        </w:rPr>
        <w:t xml:space="preserve"> </w:t>
      </w:r>
      <w:r w:rsidRPr="00BB7BDF">
        <w:rPr>
          <w:lang w:val="en-GB"/>
        </w:rPr>
        <w:t xml:space="preserve">[J. P. Telotte, </w:t>
      </w:r>
      <w:r>
        <w:rPr>
          <w:i/>
          <w:lang w:val="en-GB"/>
        </w:rPr>
        <w:t>ibid.</w:t>
      </w:r>
      <w:r>
        <w:rPr>
          <w:lang w:val="en-GB"/>
        </w:rPr>
        <w:t>]</w:t>
      </w:r>
      <w:r w:rsidRPr="00BB7BDF">
        <w:rPr>
          <w:lang w:val="en-GB"/>
        </w:rPr>
        <w:t>.</w:t>
      </w:r>
    </w:p>
  </w:footnote>
  <w:footnote w:id="71">
    <w:p w14:paraId="3477AEFB" w14:textId="359C175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w:t>
      </w:r>
      <w:r w:rsidR="005C24C5">
        <w:rPr>
          <w:lang w:val="fr-CH"/>
        </w:rPr>
        <w:t>e question ou appeler à l’aide.</w:t>
      </w:r>
    </w:p>
  </w:footnote>
  <w:footnote w:id="72">
    <w:p w14:paraId="6E80A35B" w14:textId="2BD0BE43" w:rsidR="00C117F3" w:rsidRDefault="00C117F3">
      <w:pPr>
        <w:pStyle w:val="FootnoteText"/>
        <w:rPr>
          <w:lang w:val="en-GB"/>
        </w:rPr>
      </w:pPr>
      <w:r>
        <w:rPr>
          <w:rStyle w:val="FootnoteReference"/>
        </w:rPr>
        <w:footnoteRef/>
      </w:r>
      <w:r w:rsidRPr="0037710F">
        <w:rPr>
          <w:lang w:val="en-GB"/>
        </w:rPr>
        <w:t xml:space="preserve"> « I want to love and be loved. </w:t>
      </w:r>
      <w:r>
        <w:rPr>
          <w:lang w:val="en-GB"/>
        </w:rPr>
        <w:t>I want your children. I don’t want a world without love or grie</w:t>
      </w:r>
      <w:r w:rsidR="00FF42BC">
        <w:rPr>
          <w:lang w:val="en-GB"/>
        </w:rPr>
        <w:t>f or beauty. I’d rather die. » [</w:t>
      </w:r>
      <w:r>
        <w:rPr>
          <w:lang w:val="en-GB"/>
        </w:rPr>
        <w:t xml:space="preserve">Al LaValley (éd.), </w:t>
      </w:r>
      <w:r>
        <w:rPr>
          <w:i/>
          <w:lang w:val="en-GB"/>
        </w:rPr>
        <w:t>op. cit.</w:t>
      </w:r>
      <w:r w:rsidR="00FF42BC">
        <w:rPr>
          <w:lang w:val="en-GB"/>
        </w:rPr>
        <w:t>, p. 89]</w:t>
      </w:r>
    </w:p>
  </w:footnote>
  <w:footnote w:id="73">
    <w:p w14:paraId="5807C189" w14:textId="6BCD7C65" w:rsidR="00C117F3" w:rsidRDefault="00C117F3">
      <w:pPr>
        <w:pStyle w:val="FootnoteText"/>
        <w:rPr>
          <w:lang w:val="en-GB"/>
        </w:rPr>
      </w:pPr>
      <w:r>
        <w:rPr>
          <w:rStyle w:val="FootnoteReference"/>
        </w:rPr>
        <w:footnoteRef/>
      </w:r>
      <w:r>
        <w:rPr>
          <w:lang w:val="en-GB"/>
        </w:rPr>
        <w:t xml:space="preserve"> « We had both married, neither h</w:t>
      </w:r>
      <w:r w:rsidR="00FF42BC">
        <w:rPr>
          <w:lang w:val="en-GB"/>
        </w:rPr>
        <w:t>ad been able to make it work » [</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sidR="00FF42BC">
        <w:rPr>
          <w:lang w:val="en-GB"/>
        </w:rPr>
        <w:t>, 26 novembre 1954, p. 26].</w:t>
      </w:r>
    </w:p>
  </w:footnote>
  <w:footnote w:id="74">
    <w:p w14:paraId="4DC4FF45" w14:textId="4F7A1AC3" w:rsidR="001337AF" w:rsidRPr="001337AF" w:rsidRDefault="001337AF" w:rsidP="001337AF">
      <w:pPr>
        <w:rPr>
          <w:rFonts w:ascii="Garamond" w:hAnsi="Garamond"/>
          <w:sz w:val="20"/>
          <w:szCs w:val="20"/>
          <w:lang w:val="fr-CH"/>
        </w:rPr>
      </w:pPr>
      <w:r w:rsidRPr="003029BD">
        <w:rPr>
          <w:rStyle w:val="FootnoteReference"/>
          <w:sz w:val="20"/>
          <w:szCs w:val="20"/>
        </w:rPr>
        <w:footnoteRef/>
      </w:r>
      <w:r w:rsidRPr="003029BD">
        <w:rPr>
          <w:sz w:val="20"/>
          <w:szCs w:val="20"/>
          <w:lang w:val="en-GB"/>
        </w:rPr>
        <w:t xml:space="preserve"> </w:t>
      </w:r>
      <w:r w:rsidRPr="00DE54BB">
        <w:rPr>
          <w:sz w:val="20"/>
          <w:szCs w:val="20"/>
          <w:lang w:val="en-GB"/>
        </w:rPr>
        <w:t>« MILES: (</w:t>
      </w:r>
      <w:r w:rsidRPr="00DE54BB">
        <w:rPr>
          <w:i/>
          <w:sz w:val="20"/>
          <w:szCs w:val="20"/>
          <w:lang w:val="en-GB"/>
        </w:rPr>
        <w:t>looking at her romantically</w:t>
      </w:r>
      <w:r w:rsidRPr="00DE54BB">
        <w:rPr>
          <w:sz w:val="20"/>
          <w:szCs w:val="20"/>
          <w:lang w:val="en-GB"/>
        </w:rPr>
        <w:t>) When did you get back? / BECKY: I came back from London two months ago. I’ve been to Re</w:t>
      </w:r>
      <w:r w:rsidR="00530575">
        <w:rPr>
          <w:sz w:val="20"/>
          <w:szCs w:val="20"/>
          <w:lang w:val="en-GB"/>
        </w:rPr>
        <w:t>n°</w:t>
      </w:r>
      <w:r w:rsidRPr="00DE54BB">
        <w:rPr>
          <w:sz w:val="20"/>
          <w:szCs w:val="20"/>
          <w:lang w:val="en-GB"/>
        </w:rPr>
        <w:t xml:space="preserve"> / MILES: Reno? /BECKY: Re</w:t>
      </w:r>
      <w:r w:rsidR="00530575">
        <w:rPr>
          <w:sz w:val="20"/>
          <w:szCs w:val="20"/>
          <w:lang w:val="en-GB"/>
        </w:rPr>
        <w:t>n°</w:t>
      </w:r>
      <w:r w:rsidRPr="00DE54BB">
        <w:rPr>
          <w:sz w:val="20"/>
          <w:szCs w:val="20"/>
          <w:lang w:val="en-GB"/>
        </w:rPr>
        <w:t xml:space="preserve"> (</w:t>
      </w:r>
      <w:r w:rsidRPr="00DE54BB">
        <w:rPr>
          <w:i/>
          <w:sz w:val="20"/>
          <w:szCs w:val="20"/>
          <w:lang w:val="en-GB"/>
        </w:rPr>
        <w:t>She manages a slight ironic laugh.</w:t>
      </w:r>
      <w:r w:rsidRPr="00DE54BB">
        <w:rPr>
          <w:sz w:val="20"/>
          <w:szCs w:val="20"/>
          <w:lang w:val="en-GB"/>
        </w:rPr>
        <w:t>) Dad tells me you were there too. /MILES: Five months ago.</w:t>
      </w:r>
      <w:r w:rsidR="008A21A3">
        <w:rPr>
          <w:sz w:val="20"/>
          <w:szCs w:val="20"/>
          <w:lang w:val="en-GB"/>
        </w:rPr>
        <w:t xml:space="preserve"> »</w:t>
      </w:r>
      <w:r w:rsidRPr="00DE54BB">
        <w:rPr>
          <w:sz w:val="20"/>
          <w:szCs w:val="20"/>
          <w:lang w:val="en-GB"/>
        </w:rPr>
        <w:t> </w:t>
      </w:r>
      <w:r w:rsidR="006D08EF" w:rsidRPr="005D4B3C">
        <w:rPr>
          <w:sz w:val="20"/>
          <w:szCs w:val="20"/>
          <w:lang w:val="fr-CH"/>
        </w:rPr>
        <w:t>[</w:t>
      </w:r>
      <w:r w:rsidRPr="001337AF">
        <w:rPr>
          <w:sz w:val="20"/>
          <w:szCs w:val="20"/>
          <w:lang w:val="fr-CH"/>
        </w:rPr>
        <w:t xml:space="preserve">Al LaValley (éd.), </w:t>
      </w:r>
      <w:r w:rsidRPr="00DE54BB">
        <w:rPr>
          <w:i/>
          <w:sz w:val="20"/>
          <w:szCs w:val="20"/>
          <w:lang w:val="fr-CH"/>
        </w:rPr>
        <w:t>op. cit.</w:t>
      </w:r>
      <w:r w:rsidRPr="00DE54BB">
        <w:rPr>
          <w:sz w:val="20"/>
          <w:szCs w:val="20"/>
          <w:lang w:val="fr-CH"/>
        </w:rPr>
        <w:t>, pp. 38-39</w:t>
      </w:r>
      <w:r w:rsidR="006D08EF">
        <w:rPr>
          <w:sz w:val="20"/>
          <w:szCs w:val="20"/>
          <w:lang w:val="fr-CH"/>
        </w:rPr>
        <w:t>].</w:t>
      </w:r>
    </w:p>
  </w:footnote>
  <w:footnote w:id="75">
    <w:p w14:paraId="405DC26E" w14:textId="05812652" w:rsidR="00C117F3" w:rsidRDefault="00C117F3">
      <w:pPr>
        <w:pStyle w:val="FootnoteText"/>
        <w:rPr>
          <w:lang w:val="fr-CH"/>
        </w:rPr>
      </w:pPr>
      <w:r>
        <w:rPr>
          <w:rStyle w:val="FootnoteReference"/>
        </w:rPr>
        <w:footnoteRef/>
      </w:r>
      <w:r>
        <w:t xml:space="preserve"> </w:t>
      </w:r>
      <w:r>
        <w:rPr>
          <w:lang w:val="fr-CH"/>
        </w:rPr>
        <w:t xml:space="preserve">Voir « Divorce in Reno », TVTropes, </w:t>
      </w:r>
      <w:hyperlink r:id="rId3" w:history="1">
        <w:r w:rsidRPr="005D4B3C">
          <w:rPr>
            <w:rStyle w:val="Hyperlink"/>
            <w:lang w:val="fr-CH"/>
          </w:rPr>
          <w:t>http://tvtropes.org/pmwiki/pmwiki.php/Main/DivorceInReno</w:t>
        </w:r>
      </w:hyperlink>
      <w:r>
        <w:rPr>
          <w:lang w:val="fr-CH"/>
        </w:rPr>
        <w:t xml:space="preserve"> </w:t>
      </w:r>
      <w:r w:rsidR="00E47359">
        <w:rPr>
          <w:lang w:val="fr-CH"/>
        </w:rPr>
        <w:t>(</w:t>
      </w:r>
      <w:r>
        <w:rPr>
          <w:lang w:val="fr-CH"/>
        </w:rPr>
        <w:t>consulté le 10.12.2016</w:t>
      </w:r>
      <w:r w:rsidR="00E47359">
        <w:rPr>
          <w:lang w:val="fr-CH"/>
        </w:rPr>
        <w:t>)</w:t>
      </w:r>
      <w:r>
        <w:rPr>
          <w:lang w:val="fr-CH"/>
        </w:rPr>
        <w:t>.</w:t>
      </w:r>
    </w:p>
  </w:footnote>
  <w:footnote w:id="76">
    <w:p w14:paraId="285E2E99" w14:textId="2956DCB3" w:rsidR="00917A32" w:rsidRPr="000F7949" w:rsidRDefault="00917A32">
      <w:pPr>
        <w:pStyle w:val="FootnoteText"/>
        <w:rPr>
          <w:lang w:val="en-GB"/>
        </w:rPr>
      </w:pPr>
      <w:r>
        <w:rPr>
          <w:rStyle w:val="FootnoteReference"/>
        </w:rPr>
        <w:footnoteRef/>
      </w:r>
      <w:r>
        <w:t xml:space="preserve"> </w:t>
      </w:r>
      <w:r w:rsidR="000F7949">
        <w:t xml:space="preserve">Le film a tout de même reçu une classification « B » (partiellement moralement répréhensible) de la Ligue pour la vertu à cause du fait que les deux protagonistes soient divorcés. </w:t>
      </w:r>
      <w:r w:rsidR="000F7949" w:rsidRPr="000F7949">
        <w:rPr>
          <w:lang w:val="en-GB"/>
        </w:rPr>
        <w:t xml:space="preserve">Voir </w:t>
      </w:r>
      <w:r w:rsidR="000F7949">
        <w:rPr>
          <w:lang w:val="en-US"/>
        </w:rPr>
        <w:t>J. Hoberman,</w:t>
      </w:r>
      <w:r w:rsidR="000F7949">
        <w:rPr>
          <w:i/>
          <w:lang w:val="en-US"/>
        </w:rPr>
        <w:t xml:space="preserve"> An Army of Phantoms: American Movies and the Making of the Cold War</w:t>
      </w:r>
      <w:r w:rsidR="000F7949">
        <w:rPr>
          <w:lang w:val="en-US"/>
        </w:rPr>
        <w:t>, New York/London, The New Press, 2011, p. 214.</w:t>
      </w:r>
    </w:p>
  </w:footnote>
  <w:footnote w:id="77">
    <w:p w14:paraId="67F8DDE2" w14:textId="43EA176E" w:rsidR="00C117F3" w:rsidRDefault="00C117F3">
      <w:pPr>
        <w:pStyle w:val="FootnoteText"/>
        <w:rPr>
          <w:lang w:val="fr-CH"/>
        </w:rPr>
      </w:pPr>
      <w:r>
        <w:rPr>
          <w:rStyle w:val="FootnoteReference"/>
        </w:rPr>
        <w:footnoteRef/>
      </w:r>
      <w:r>
        <w:t xml:space="preserve"> </w:t>
      </w:r>
      <w:r w:rsidR="0037710F">
        <w:t>Moments qui se limitent à l</w:t>
      </w:r>
      <w:r>
        <w:t>a rencontre dans la première partie, une scène de séduction qui se solde par un baiser dans la deuxième, et une embrassée dans la fin de la troisième.</w:t>
      </w:r>
    </w:p>
  </w:footnote>
  <w:footnote w:id="78">
    <w:p w14:paraId="516524D5" w14:textId="0DF5054F" w:rsidR="00C117F3" w:rsidRDefault="00C117F3">
      <w:pPr>
        <w:pStyle w:val="FootnoteText"/>
        <w:rPr>
          <w:lang w:val="en-GB"/>
        </w:rPr>
      </w:pPr>
      <w:r>
        <w:rPr>
          <w:rStyle w:val="FootnoteReference"/>
        </w:rPr>
        <w:footnoteRef/>
      </w:r>
      <w:r>
        <w:rPr>
          <w:lang w:val="en-GB"/>
        </w:rPr>
        <w:t xml:space="preserve"> « </w:t>
      </w:r>
      <w:r w:rsidR="004F3CC1">
        <w:rPr>
          <w:lang w:val="en-GB"/>
        </w:rPr>
        <w:t>P</w:t>
      </w:r>
      <w:r>
        <w:rPr>
          <w:lang w:val="en-GB"/>
        </w:rPr>
        <w:t xml:space="preserve">ostcoital commemoration with a macabre twist » </w:t>
      </w:r>
      <w:r w:rsidR="00016FC9">
        <w:rPr>
          <w:lang w:val="en-GB"/>
        </w:rPr>
        <w:t>[</w:t>
      </w:r>
      <w:r>
        <w:rPr>
          <w:lang w:val="en-US"/>
        </w:rPr>
        <w:t xml:space="preserve">Katrina Mann, « ‹ You're Next! ›: Postwar Hegemony Besieged in Invasion of the Body Snatchers », </w:t>
      </w:r>
      <w:r>
        <w:rPr>
          <w:i/>
          <w:lang w:val="en-US"/>
        </w:rPr>
        <w:t>Cinema Journal</w:t>
      </w:r>
      <w:r>
        <w:rPr>
          <w:lang w:val="en-US"/>
        </w:rPr>
        <w:t xml:space="preserve">, </w:t>
      </w:r>
      <w:r w:rsidR="00530575">
        <w:rPr>
          <w:lang w:val="en-US"/>
        </w:rPr>
        <w:t>vol.</w:t>
      </w:r>
      <w:r>
        <w:rPr>
          <w:lang w:val="en-US"/>
        </w:rPr>
        <w:t xml:space="preserve"> 44, </w:t>
      </w:r>
      <w:r w:rsidR="00F92EB3">
        <w:rPr>
          <w:lang w:val="en-US"/>
        </w:rPr>
        <w:t>n</w:t>
      </w:r>
      <w:r w:rsidR="00530575">
        <w:rPr>
          <w:lang w:val="en-US"/>
        </w:rPr>
        <w:t>°</w:t>
      </w:r>
      <w:r>
        <w:rPr>
          <w:lang w:val="en-US"/>
        </w:rPr>
        <w:t xml:space="preserve"> 1, automne 2004, p. 61</w:t>
      </w:r>
      <w:r w:rsidR="00016FC9">
        <w:rPr>
          <w:lang w:val="en-US"/>
        </w:rPr>
        <w:t>]</w:t>
      </w:r>
      <w:r>
        <w:rPr>
          <w:lang w:val="en-US"/>
        </w:rPr>
        <w:t>.</w:t>
      </w:r>
    </w:p>
  </w:footnote>
  <w:footnote w:id="79">
    <w:p w14:paraId="3042D147" w14:textId="77777777" w:rsidR="00C117F3" w:rsidRDefault="00C117F3">
      <w:pPr>
        <w:pStyle w:val="FootnoteText"/>
        <w:rPr>
          <w:lang w:val="en-GB"/>
        </w:rPr>
      </w:pPr>
      <w:r>
        <w:rPr>
          <w:rStyle w:val="FootnoteReference"/>
        </w:rPr>
        <w:footnoteRef/>
      </w:r>
      <w:r>
        <w:rPr>
          <w:lang w:val="en-GB"/>
        </w:rPr>
        <w:t xml:space="preserve"> </w:t>
      </w:r>
      <w:r>
        <w:rPr>
          <w:lang w:val="en-US"/>
        </w:rPr>
        <w:t xml:space="preserve">Katrina Mann, </w:t>
      </w:r>
      <w:r>
        <w:rPr>
          <w:i/>
          <w:lang w:val="en-US"/>
        </w:rPr>
        <w:t>ibid.</w:t>
      </w:r>
    </w:p>
  </w:footnote>
  <w:footnote w:id="80">
    <w:p w14:paraId="0E6358BA" w14:textId="343B406D" w:rsidR="00C117F3" w:rsidRDefault="00C117F3">
      <w:pPr>
        <w:pStyle w:val="FootnoteText"/>
        <w:rPr>
          <w:lang w:val="en-US"/>
        </w:rPr>
      </w:pPr>
      <w:r>
        <w:rPr>
          <w:rStyle w:val="FootnoteReference"/>
        </w:rPr>
        <w:footnoteRef/>
      </w:r>
      <w:r>
        <w:rPr>
          <w:lang w:val="en-GB"/>
        </w:rPr>
        <w:t xml:space="preserve"> </w:t>
      </w:r>
      <w:r>
        <w:rPr>
          <w:lang w:val="en-US"/>
        </w:rPr>
        <w:t xml:space="preserve">Nancy Steffen-Fluhr,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xml:space="preserve">, </w:t>
      </w:r>
      <w:r w:rsidR="00530575">
        <w:rPr>
          <w:lang w:val="en-US"/>
        </w:rPr>
        <w:t>vol.</w:t>
      </w:r>
      <w:r>
        <w:rPr>
          <w:lang w:val="en-US"/>
        </w:rPr>
        <w:t xml:space="preserve"> 11, </w:t>
      </w:r>
      <w:r w:rsidR="00F92EB3">
        <w:rPr>
          <w:lang w:val="en-US"/>
        </w:rPr>
        <w:t>n</w:t>
      </w:r>
      <w:r w:rsidR="00530575">
        <w:rPr>
          <w:lang w:val="en-US"/>
        </w:rPr>
        <w:t>°</w:t>
      </w:r>
      <w:r>
        <w:rPr>
          <w:lang w:val="en-US"/>
        </w:rPr>
        <w:t xml:space="preserve"> 2, juillet 1984, pp. 139-153.</w:t>
      </w:r>
    </w:p>
  </w:footnote>
  <w:footnote w:id="81">
    <w:p w14:paraId="144F996F" w14:textId="77777777" w:rsidR="00C117F3" w:rsidRDefault="00C117F3">
      <w:pPr>
        <w:pStyle w:val="FootnoteText"/>
        <w:rPr>
          <w:lang w:val="en-GB"/>
        </w:rPr>
      </w:pPr>
      <w:r>
        <w:rPr>
          <w:rStyle w:val="FootnoteReference"/>
        </w:rPr>
        <w:footnoteRef/>
      </w:r>
      <w:r>
        <w:rPr>
          <w:lang w:val="en-GB"/>
        </w:rPr>
        <w:t xml:space="preserve"> Michael Rogin, « </w:t>
      </w:r>
      <w:r>
        <w:rPr>
          <w:i/>
          <w:lang w:val="en-GB"/>
        </w:rPr>
        <w:t>Kiss me Deadly </w:t>
      </w:r>
      <w:r>
        <w:rPr>
          <w:lang w:val="en-GB"/>
        </w:rPr>
        <w:t xml:space="preserve">: Communism, Motherhood and Cold War Movies » </w:t>
      </w:r>
      <w:r>
        <w:rPr>
          <w:i/>
          <w:lang w:val="en-GB"/>
        </w:rPr>
        <w:t>in</w:t>
      </w:r>
      <w:r>
        <w:rPr>
          <w:lang w:val="en-GB"/>
        </w:rPr>
        <w:t xml:space="preserve"> Michael Rogin,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82">
    <w:p w14:paraId="4CBE0433" w14:textId="388F39C1" w:rsidR="00C117F3" w:rsidRDefault="00C117F3">
      <w:pPr>
        <w:pStyle w:val="FootnoteText"/>
        <w:rPr>
          <w:lang w:val="en-GB"/>
        </w:rPr>
      </w:pPr>
      <w:r>
        <w:rPr>
          <w:rStyle w:val="FootnoteReference"/>
        </w:rPr>
        <w:footnoteRef/>
      </w:r>
      <w:r>
        <w:rPr>
          <w:lang w:val="en-GB"/>
        </w:rPr>
        <w:t xml:space="preserve"> « </w:t>
      </w:r>
      <w:r w:rsidR="00212110">
        <w:rPr>
          <w:lang w:val="en-GB"/>
        </w:rPr>
        <w:t>T</w:t>
      </w:r>
      <w:r>
        <w:rPr>
          <w:lang w:val="en-GB"/>
        </w:rPr>
        <w:t>raditional gender roles</w:t>
      </w:r>
      <w:r w:rsidR="000E24B4">
        <w:rPr>
          <w:lang w:val="en-GB"/>
        </w:rPr>
        <w:t> » [</w:t>
      </w:r>
      <w:r>
        <w:rPr>
          <w:lang w:val="en-US"/>
        </w:rPr>
        <w:t xml:space="preserve">Nancy Steffen-Fluhr, </w:t>
      </w:r>
      <w:r>
        <w:rPr>
          <w:i/>
          <w:lang w:val="en-US"/>
        </w:rPr>
        <w:t>op. cit.</w:t>
      </w:r>
      <w:r w:rsidR="000E24B4">
        <w:rPr>
          <w:lang w:val="en-US"/>
        </w:rPr>
        <w:t>, p. 143].</w:t>
      </w:r>
    </w:p>
  </w:footnote>
  <w:footnote w:id="83">
    <w:p w14:paraId="30B4004E" w14:textId="5A38A7E5" w:rsidR="00C117F3" w:rsidRDefault="00C117F3">
      <w:pPr>
        <w:pStyle w:val="FootnoteText"/>
        <w:rPr>
          <w:lang w:val="en-GB"/>
        </w:rPr>
      </w:pPr>
      <w:r>
        <w:rPr>
          <w:rStyle w:val="FootnoteReference"/>
        </w:rPr>
        <w:footnoteRef/>
      </w:r>
      <w:r>
        <w:rPr>
          <w:lang w:val="en-GB"/>
        </w:rPr>
        <w:t xml:space="preserve"> « </w:t>
      </w:r>
      <w:r w:rsidR="00212110">
        <w:rPr>
          <w:lang w:val="en-GB"/>
        </w:rPr>
        <w:t>T</w:t>
      </w:r>
      <w:r>
        <w:rPr>
          <w:lang w:val="en-GB"/>
        </w:rPr>
        <w:t xml:space="preserve">he heartbeat of the film ». </w:t>
      </w:r>
      <w:r w:rsidR="000E24B4">
        <w:rPr>
          <w:lang w:val="en-GB"/>
        </w:rPr>
        <w:t>[</w:t>
      </w:r>
      <w:r>
        <w:rPr>
          <w:lang w:val="en-US"/>
        </w:rPr>
        <w:t xml:space="preserve">Nancy Steffen-Fluhr, </w:t>
      </w:r>
      <w:r>
        <w:rPr>
          <w:i/>
          <w:lang w:val="en-US"/>
        </w:rPr>
        <w:t>op. cit.</w:t>
      </w:r>
      <w:r w:rsidR="000E24B4">
        <w:rPr>
          <w:lang w:val="en-US"/>
        </w:rPr>
        <w:t>, p. 140].</w:t>
      </w:r>
    </w:p>
  </w:footnote>
  <w:footnote w:id="84">
    <w:p w14:paraId="047C79C5" w14:textId="251B96E4" w:rsidR="00C117F3" w:rsidRDefault="00C117F3">
      <w:pPr>
        <w:pStyle w:val="FootnoteText"/>
        <w:rPr>
          <w:lang w:val="fr-CH"/>
        </w:rPr>
      </w:pPr>
      <w:r>
        <w:rPr>
          <w:rStyle w:val="FootnoteReference"/>
        </w:rPr>
        <w:footnoteRef/>
      </w:r>
      <w:r>
        <w:t xml:space="preserve"> </w:t>
      </w:r>
      <w:r w:rsidR="006216E1">
        <w:t>Miles</w:t>
      </w:r>
      <w:r>
        <w:t xml:space="preserve"> tenant à plusieurs reprises de dissuader Becky de le considérer comme partenaire, soulignant par exemple le fait que les docteurs ne sont pas de bons maris et recassant l’échec de son premier mariage.</w:t>
      </w:r>
    </w:p>
  </w:footnote>
  <w:footnote w:id="85">
    <w:p w14:paraId="36582E58" w14:textId="6C7D2B6C" w:rsidR="00C117F3" w:rsidRDefault="00C117F3">
      <w:pPr>
        <w:pStyle w:val="FootnoteText"/>
        <w:rPr>
          <w:lang w:val="en-GB"/>
        </w:rPr>
      </w:pPr>
      <w:r>
        <w:rPr>
          <w:rStyle w:val="FootnoteReference"/>
        </w:rPr>
        <w:footnoteRef/>
      </w:r>
      <w:r>
        <w:rPr>
          <w:lang w:val="en-GB"/>
        </w:rPr>
        <w:t xml:space="preserve"> « We’re together, Becky and I, for better or worse</w:t>
      </w:r>
      <w:r w:rsidR="00965BB5">
        <w:rPr>
          <w:lang w:val="en-GB"/>
        </w:rPr>
        <w:t>» [</w:t>
      </w:r>
      <w:r>
        <w:rPr>
          <w:lang w:val="en-GB"/>
        </w:rPr>
        <w:t xml:space="preserve">Jack Finney, </w:t>
      </w:r>
      <w:r>
        <w:rPr>
          <w:i/>
          <w:lang w:val="en-GB"/>
        </w:rPr>
        <w:t>op. cit.</w:t>
      </w:r>
      <w:r>
        <w:rPr>
          <w:lang w:val="en-GB"/>
        </w:rPr>
        <w:t>, p. 73</w:t>
      </w:r>
      <w:r w:rsidR="00965BB5">
        <w:rPr>
          <w:lang w:val="en-GB"/>
        </w:rPr>
        <w:t>]</w:t>
      </w:r>
      <w:r>
        <w:rPr>
          <w:lang w:val="en-GB"/>
        </w:rPr>
        <w:t>.</w:t>
      </w:r>
    </w:p>
  </w:footnote>
  <w:footnote w:id="86">
    <w:p w14:paraId="2B0298DA" w14:textId="164A828B" w:rsidR="00FA203D" w:rsidRPr="00FA203D" w:rsidRDefault="00FA203D">
      <w:pPr>
        <w:pStyle w:val="FootnoteText"/>
      </w:pPr>
      <w:r>
        <w:rPr>
          <w:rStyle w:val="FootnoteReference"/>
        </w:rPr>
        <w:footnoteRef/>
      </w:r>
      <w:r>
        <w:t xml:space="preserve"> Les liens qu’entretient le film avec les peurs de son réalisateur seront abordées dans la dernière partie de ce travail.</w:t>
      </w:r>
    </w:p>
  </w:footnote>
  <w:footnote w:id="87">
    <w:p w14:paraId="6FF6AD26" w14:textId="0E50E7FA" w:rsidR="00C117F3" w:rsidRDefault="00C117F3">
      <w:pPr>
        <w:pStyle w:val="FootnoteText"/>
        <w:rPr>
          <w:lang w:val="fr-CH"/>
        </w:rPr>
      </w:pPr>
      <w:r>
        <w:rPr>
          <w:rStyle w:val="FootnoteReference"/>
        </w:rPr>
        <w:footnoteRef/>
      </w:r>
      <w:r>
        <w:rPr>
          <w:lang w:val="fr-CH"/>
        </w:rPr>
        <w:t xml:space="preserve"> La possibilité </w:t>
      </w:r>
      <w:r w:rsidR="004C56C7">
        <w:rPr>
          <w:lang w:val="fr-CH"/>
        </w:rPr>
        <w:t xml:space="preserve">d’une édition du roman ultérieure à l’écriture du scénario </w:t>
      </w:r>
      <w:r>
        <w:rPr>
          <w:lang w:val="fr-CH"/>
        </w:rPr>
        <w:t xml:space="preserve">subsiste car la première version du scenario </w:t>
      </w:r>
      <w:r w:rsidR="004C56C7">
        <w:rPr>
          <w:lang w:val="fr-CH"/>
        </w:rPr>
        <w:t>est</w:t>
      </w:r>
      <w:r>
        <w:rPr>
          <w:lang w:val="fr-CH"/>
        </w:rPr>
        <w:t xml:space="preserve"> terminée le 10 février.</w:t>
      </w:r>
    </w:p>
  </w:footnote>
  <w:footnote w:id="88">
    <w:p w14:paraId="655D7A12" w14:textId="263E766A" w:rsidR="00C117F3" w:rsidRPr="0064756E" w:rsidRDefault="00C117F3">
      <w:pPr>
        <w:pStyle w:val="FootnoteText"/>
        <w:rPr>
          <w:lang w:val="fr-CH"/>
        </w:rPr>
      </w:pPr>
      <w:r>
        <w:rPr>
          <w:rStyle w:val="FootnoteReference"/>
        </w:rPr>
        <w:footnoteRef/>
      </w:r>
      <w:r>
        <w:rPr>
          <w:lang w:val="en-GB"/>
        </w:rPr>
        <w:t xml:space="preserve"> « All three met Jack Finney in Mill Valley in Northern California in the first week of Janua</w:t>
      </w:r>
      <w:r w:rsidR="00264070">
        <w:rPr>
          <w:lang w:val="en-GB"/>
        </w:rPr>
        <w:t xml:space="preserve">ry 1955 to discuss the film. » </w:t>
      </w:r>
      <w:r w:rsidR="00264070" w:rsidRPr="0064756E">
        <w:rPr>
          <w:lang w:val="fr-CH"/>
        </w:rPr>
        <w:t>[</w:t>
      </w:r>
      <w:r w:rsidRPr="0064756E">
        <w:rPr>
          <w:lang w:val="fr-CH"/>
        </w:rPr>
        <w:t xml:space="preserve">Al LaValley (éd.), </w:t>
      </w:r>
      <w:r w:rsidRPr="0064756E">
        <w:rPr>
          <w:i/>
          <w:lang w:val="fr-CH"/>
        </w:rPr>
        <w:t>op. cit.</w:t>
      </w:r>
      <w:r w:rsidR="00264070" w:rsidRPr="0064756E">
        <w:rPr>
          <w:lang w:val="fr-CH"/>
        </w:rPr>
        <w:t>, p. 3].</w:t>
      </w:r>
    </w:p>
  </w:footnote>
  <w:footnote w:id="89">
    <w:p w14:paraId="68F4C8AD" w14:textId="22905207" w:rsidR="00C321D7" w:rsidRPr="00BA2D31" w:rsidRDefault="00C321D7">
      <w:pPr>
        <w:pStyle w:val="FootnoteText"/>
        <w:rPr>
          <w:lang w:val="fr-CH"/>
        </w:rPr>
      </w:pPr>
      <w:r>
        <w:rPr>
          <w:rStyle w:val="FootnoteReference"/>
        </w:rPr>
        <w:footnoteRef/>
      </w:r>
      <w:r w:rsidRPr="00BA2D31">
        <w:rPr>
          <w:lang w:val="fr-CH"/>
        </w:rPr>
        <w:t xml:space="preserve"> Une influence du film sur le roman quo, dans le cadre de la série de remakes, </w:t>
      </w:r>
      <w:r w:rsidR="00BA2D31" w:rsidRPr="00BA2D31">
        <w:rPr>
          <w:lang w:val="fr-CH"/>
        </w:rPr>
        <w:t>aurait</w:t>
      </w:r>
      <w:r w:rsidRPr="00BA2D31">
        <w:rPr>
          <w:lang w:val="fr-CH"/>
        </w:rPr>
        <w:t xml:space="preserve"> également pour </w:t>
      </w:r>
      <w:r w:rsidR="00BA2D31" w:rsidRPr="00BA2D31">
        <w:rPr>
          <w:lang w:val="fr-CH"/>
        </w:rPr>
        <w:t>conséquence</w:t>
      </w:r>
      <w:r w:rsidRPr="00BA2D31">
        <w:rPr>
          <w:lang w:val="fr-CH"/>
        </w:rPr>
        <w:t xml:space="preserve"> d’influencer le texte source sur lequel les trois remakes sont basés.</w:t>
      </w:r>
    </w:p>
  </w:footnote>
  <w:footnote w:id="9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New York/London/Toronto/Syndney/New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91">
    <w:p w14:paraId="1605A684" w14:textId="42546371" w:rsidR="00974C39" w:rsidRPr="006C6F20" w:rsidRDefault="00974C39" w:rsidP="00974C39">
      <w:pPr>
        <w:pStyle w:val="FootnoteText"/>
        <w:rPr>
          <w:lang w:val="en-GB"/>
        </w:rPr>
      </w:pPr>
      <w:r>
        <w:rPr>
          <w:rStyle w:val="FootnoteReference"/>
        </w:rPr>
        <w:footnoteRef/>
      </w:r>
      <w:r w:rsidRPr="006C6F20">
        <w:rPr>
          <w:lang w:val="en-GB"/>
        </w:rPr>
        <w:t xml:space="preserve"> </w:t>
      </w:r>
      <w:r w:rsidRPr="004D441C">
        <w:rPr>
          <w:lang w:val="en-GB"/>
        </w:rPr>
        <w:t>«</w:t>
      </w:r>
      <w:r>
        <w:rPr>
          <w:lang w:val="en-GB"/>
        </w:rPr>
        <w:t xml:space="preserve"> </w:t>
      </w: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rsidRPr="00AE7843">
        <w:rPr>
          <w:lang w:val="en-GB"/>
        </w:rPr>
        <w:t>All I can do is tell what I know.</w:t>
      </w:r>
      <w:r>
        <w:rPr>
          <w:lang w:val="en-GB"/>
        </w:rPr>
        <w:t xml:space="preserve"> </w:t>
      </w:r>
      <w:r w:rsidRPr="004D441C">
        <w:rPr>
          <w:lang w:val="en-GB"/>
        </w:rPr>
        <w:t>»</w:t>
      </w:r>
      <w:r w:rsidR="00D843B3">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r w:rsidR="00D843B3">
        <w:rPr>
          <w:color w:val="000000"/>
          <w:lang w:val="en-US"/>
        </w:rPr>
        <w:t>]</w:t>
      </w:r>
      <w:r>
        <w:rPr>
          <w:color w:val="000000"/>
          <w:lang w:val="en-US"/>
        </w:rPr>
        <w:t>.</w:t>
      </w:r>
    </w:p>
  </w:footnote>
  <w:footnote w:id="92">
    <w:p w14:paraId="15281EB5" w14:textId="2C0752A0" w:rsidR="00C117F3" w:rsidRDefault="00C117F3">
      <w:pPr>
        <w:pStyle w:val="FootnoteText"/>
        <w:rPr>
          <w:lang w:val="fr-CH"/>
        </w:rPr>
      </w:pPr>
      <w:r>
        <w:rPr>
          <w:rStyle w:val="FootnoteReference"/>
        </w:rPr>
        <w:footnoteRef/>
      </w:r>
      <w:r>
        <w:t xml:space="preserve"> </w:t>
      </w:r>
      <w:r w:rsidR="00967B2F">
        <w:rPr>
          <w:lang w:val="fr-CH"/>
        </w:rPr>
        <w:t>U</w:t>
      </w:r>
      <w:r>
        <w:rPr>
          <w:lang w:val="fr-CH"/>
        </w:rPr>
        <w:t xml:space="preserve">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93">
    <w:p w14:paraId="3F2EC824" w14:textId="2E68903C" w:rsidR="00C117F3" w:rsidRDefault="00C117F3">
      <w:pPr>
        <w:pStyle w:val="FootnoteText"/>
        <w:rPr>
          <w:lang w:val="en-GB"/>
        </w:rPr>
      </w:pPr>
      <w:r>
        <w:rPr>
          <w:rStyle w:val="FootnoteReference"/>
        </w:rPr>
        <w:footnoteRef/>
      </w:r>
      <w:r>
        <w:rPr>
          <w:lang w:val="en-GB"/>
        </w:rPr>
        <w:t xml:space="preserve"> « Remem</w:t>
      </w:r>
      <w:r w:rsidR="009B337B">
        <w:rPr>
          <w:lang w:val="en-GB"/>
        </w:rPr>
        <w:t>ber when you called me once?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r w:rsidR="009B337B">
        <w:rPr>
          <w:color w:val="000000"/>
          <w:lang w:val="en-US"/>
        </w:rPr>
        <w:t>].</w:t>
      </w:r>
    </w:p>
  </w:footnote>
  <w:footnote w:id="9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9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96">
    <w:p w14:paraId="12C04A1B" w14:textId="5194C1D8" w:rsidR="00C117F3" w:rsidRDefault="00C117F3">
      <w:pPr>
        <w:pStyle w:val="FootnoteText"/>
        <w:rPr>
          <w:lang w:val="en-GB"/>
        </w:rPr>
      </w:pPr>
      <w:r>
        <w:rPr>
          <w:rStyle w:val="FootnoteReference"/>
        </w:rPr>
        <w:footnoteRef/>
      </w:r>
      <w:r>
        <w:rPr>
          <w:lang w:val="en-GB"/>
        </w:rPr>
        <w:t xml:space="preserve"> « The hair, lik</w:t>
      </w:r>
      <w:r w:rsidR="009B337B">
        <w:rPr>
          <w:lang w:val="en-GB"/>
        </w:rPr>
        <w:t>e Becky’s, was brown and wavy »</w:t>
      </w:r>
      <w:r>
        <w:rPr>
          <w:lang w:val="en-GB"/>
        </w:rPr>
        <w:t xml:space="preserve"> </w:t>
      </w:r>
      <w:r w:rsidR="009B337B">
        <w:rPr>
          <w:lang w:val="en-GB"/>
        </w:rPr>
        <w:t>[</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r w:rsidR="009B337B">
        <w:rPr>
          <w:color w:val="000000"/>
          <w:lang w:val="en-US"/>
        </w:rPr>
        <w:t>].</w:t>
      </w:r>
    </w:p>
  </w:footnote>
  <w:footnote w:id="97">
    <w:p w14:paraId="75E7BACB" w14:textId="19FF702E" w:rsidR="00C117F3" w:rsidRDefault="00C117F3">
      <w:pPr>
        <w:pStyle w:val="FootnoteText"/>
        <w:rPr>
          <w:lang w:val="en-GB"/>
        </w:rPr>
      </w:pPr>
      <w:r>
        <w:rPr>
          <w:rStyle w:val="FootnoteReference"/>
        </w:rPr>
        <w:footnoteRef/>
      </w:r>
      <w:r>
        <w:rPr>
          <w:lang w:val="en-GB"/>
        </w:rPr>
        <w:t xml:space="preserve"> « I’d seen Becky at least every o</w:t>
      </w:r>
      <w:r w:rsidR="009B337B">
        <w:rPr>
          <w:lang w:val="en-GB"/>
        </w:rPr>
        <w:t>ther night all the past week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r w:rsidR="009B337B">
        <w:rPr>
          <w:color w:val="000000"/>
          <w:lang w:val="en-US"/>
        </w:rPr>
        <w:t>].</w:t>
      </w:r>
    </w:p>
  </w:footnote>
  <w:footnote w:id="98">
    <w:p w14:paraId="55F5EC27" w14:textId="403F6018" w:rsidR="00C117F3" w:rsidRDefault="00C117F3">
      <w:pPr>
        <w:pStyle w:val="FootnoteText"/>
        <w:rPr>
          <w:lang w:val="fr-CH"/>
        </w:rPr>
      </w:pPr>
      <w:r>
        <w:rPr>
          <w:rStyle w:val="FootnoteReference"/>
        </w:rPr>
        <w:footnoteRef/>
      </w:r>
      <w:r>
        <w:t xml:space="preserve"> </w:t>
      </w:r>
      <w:r w:rsidR="00404CC4">
        <w:rPr>
          <w:lang w:val="fr-CH"/>
        </w:rPr>
        <w:t>L’intention de Miles</w:t>
      </w:r>
      <w:r>
        <w:rPr>
          <w:lang w:val="fr-CH"/>
        </w:rPr>
        <w:t>, soit de demander un changement de chambre ou d’aller dormir ailleurs n’est pas précisée dans le texte.</w:t>
      </w:r>
    </w:p>
  </w:footnote>
  <w:footnote w:id="99">
    <w:p w14:paraId="17E58CCE" w14:textId="2E89DF63" w:rsidR="000E26EA" w:rsidRPr="00D47381" w:rsidRDefault="000E26EA" w:rsidP="000E26EA">
      <w:pPr>
        <w:pStyle w:val="FootnoteText"/>
        <w:rPr>
          <w:lang w:val="en-GB"/>
        </w:rPr>
      </w:pPr>
      <w:r>
        <w:rPr>
          <w:rStyle w:val="FootnoteReference"/>
        </w:rPr>
        <w:footnoteRef/>
      </w:r>
      <w:r w:rsidRPr="00D47381">
        <w:rPr>
          <w:lang w:val="en-GB"/>
        </w:rPr>
        <w:t xml:space="preserve"> </w:t>
      </w:r>
      <w:r w:rsidRPr="00C115D2">
        <w:rPr>
          <w:lang w:val="en-GB"/>
        </w:rPr>
        <w:t xml:space="preserve">« </w:t>
      </w: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0C17D1">
        <w:rPr>
          <w:lang w:val="en-GB"/>
        </w:rPr>
        <w:t>We slept.</w:t>
      </w:r>
      <w:r w:rsidRPr="00D47C5A">
        <w:rPr>
          <w:lang w:val="en-GB"/>
        </w:rPr>
        <w:t xml:space="preserve"> »</w:t>
      </w:r>
      <w:r w:rsidR="00256AB5">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r w:rsidR="00256AB5">
        <w:rPr>
          <w:color w:val="000000"/>
          <w:lang w:val="en-US"/>
        </w:rPr>
        <w:t>].</w:t>
      </w:r>
    </w:p>
  </w:footnote>
  <w:footnote w:id="100">
    <w:p w14:paraId="59708A92" w14:textId="1252938D" w:rsidR="00C117F3" w:rsidRPr="00244EC9" w:rsidRDefault="00C117F3">
      <w:pPr>
        <w:pStyle w:val="FootnoteText"/>
        <w:rPr>
          <w:lang w:val="en-GB"/>
        </w:rPr>
      </w:pPr>
      <w:r>
        <w:rPr>
          <w:rStyle w:val="FootnoteReference"/>
        </w:rPr>
        <w:footnoteRef/>
      </w:r>
      <w:r>
        <w:rPr>
          <w:lang w:val="en-GB"/>
        </w:rPr>
        <w:t xml:space="preserve"> « </w:t>
      </w:r>
      <w:r>
        <w:rPr>
          <w:lang w:val="en-US"/>
        </w:rPr>
        <w:t>For a long, long moment, the warm length of her pressed against mem that was enough; and then it wasn’t </w:t>
      </w:r>
      <w:r w:rsidR="00244EC9">
        <w:rPr>
          <w:lang w:val="en-GB"/>
        </w:rPr>
        <w:t>»</w:t>
      </w:r>
      <w:r>
        <w:rPr>
          <w:lang w:val="en-GB"/>
        </w:rPr>
        <w:t xml:space="preserve"> </w:t>
      </w:r>
      <w:r w:rsidR="00244EC9">
        <w:rPr>
          <w:lang w:val="en-GB"/>
        </w:rPr>
        <w:t>[</w:t>
      </w:r>
      <w:r w:rsidRPr="00244EC9">
        <w:rPr>
          <w:lang w:val="en-GB"/>
        </w:rPr>
        <w:t xml:space="preserve">Jack Finney, </w:t>
      </w:r>
      <w:r w:rsidRPr="00244EC9">
        <w:rPr>
          <w:i/>
          <w:color w:val="000000"/>
          <w:lang w:val="en-GB"/>
        </w:rPr>
        <w:t>Invasion of the Body Snatchers</w:t>
      </w:r>
      <w:r w:rsidRPr="00244EC9">
        <w:rPr>
          <w:color w:val="000000"/>
          <w:lang w:val="en-GB"/>
        </w:rPr>
        <w:t>,</w:t>
      </w:r>
      <w:r w:rsidRPr="00244EC9">
        <w:rPr>
          <w:i/>
          <w:color w:val="000000"/>
          <w:lang w:val="en-GB"/>
        </w:rPr>
        <w:t xml:space="preserve"> ibid</w:t>
      </w:r>
      <w:r w:rsidRPr="00244EC9">
        <w:rPr>
          <w:color w:val="000000"/>
          <w:lang w:val="en-GB"/>
        </w:rPr>
        <w:t>.</w:t>
      </w:r>
      <w:r w:rsidR="00244EC9">
        <w:rPr>
          <w:color w:val="000000"/>
          <w:lang w:val="en-GB"/>
        </w:rPr>
        <w:t>]</w:t>
      </w:r>
    </w:p>
  </w:footnote>
  <w:footnote w:id="101">
    <w:p w14:paraId="4D80D622" w14:textId="3C4CF9A1" w:rsidR="00C117F3" w:rsidRDefault="00C117F3">
      <w:pPr>
        <w:pStyle w:val="FootnoteText"/>
        <w:rPr>
          <w:lang w:val="en-GB"/>
        </w:rPr>
      </w:pPr>
      <w:r>
        <w:rPr>
          <w:rStyle w:val="FootnoteReference"/>
        </w:rPr>
        <w:footnoteRef/>
      </w:r>
      <w:r>
        <w:t xml:space="preserve"> </w:t>
      </w:r>
      <w:r>
        <w:rPr>
          <w:lang w:val="fr-CH"/>
        </w:rPr>
        <w:t xml:space="preserve">Deux chapitres du roman 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10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10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104">
    <w:p w14:paraId="76E021BE" w14:textId="138AD1F8" w:rsidR="00C117F3" w:rsidRDefault="00C117F3">
      <w:pPr>
        <w:pStyle w:val="FootnoteText"/>
        <w:rPr>
          <w:lang w:val="fr-CH"/>
        </w:rPr>
      </w:pPr>
      <w:r>
        <w:rPr>
          <w:rStyle w:val="FootnoteReference"/>
        </w:rPr>
        <w:footnoteRef/>
      </w:r>
      <w:r>
        <w:t xml:space="preserve"> </w:t>
      </w:r>
      <w:r w:rsidR="001214FB">
        <w:rPr>
          <w:lang w:val="fr-CH"/>
        </w:rPr>
        <w:t xml:space="preserve">Scène absente du roman et </w:t>
      </w:r>
      <w:r w:rsidR="00AC2F5C">
        <w:rPr>
          <w:lang w:val="fr-CH"/>
        </w:rPr>
        <w:t xml:space="preserve">donc </w:t>
      </w:r>
      <w:r w:rsidR="001214FB">
        <w:rPr>
          <w:lang w:val="fr-CH"/>
        </w:rPr>
        <w:t>inédite</w:t>
      </w:r>
      <w:r>
        <w:rPr>
          <w:lang w:val="fr-CH"/>
        </w:rPr>
        <w:t xml:space="preserve"> au film de Siegel.</w:t>
      </w:r>
    </w:p>
  </w:footnote>
  <w:footnote w:id="105">
    <w:p w14:paraId="0F7B722F" w14:textId="2069AC8B" w:rsidR="00C117F3" w:rsidRPr="0037079D" w:rsidRDefault="00C117F3">
      <w:pPr>
        <w:pStyle w:val="FootnoteText"/>
        <w:rPr>
          <w:lang w:val="en-GB"/>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sidR="0037079D">
        <w:rPr>
          <w:lang w:val="en-GB"/>
        </w:rPr>
        <w:t>[</w:t>
      </w:r>
      <w:r w:rsidRPr="0037079D">
        <w:rPr>
          <w:lang w:val="en-GB"/>
        </w:rPr>
        <w:t xml:space="preserve">Al LaValley (éd.), </w:t>
      </w:r>
      <w:r w:rsidRPr="0037079D">
        <w:rPr>
          <w:i/>
          <w:lang w:val="en-GB"/>
        </w:rPr>
        <w:t>op. cit.</w:t>
      </w:r>
      <w:r w:rsidRPr="0037079D">
        <w:rPr>
          <w:lang w:val="en-GB"/>
        </w:rPr>
        <w:t>, p. 35</w:t>
      </w:r>
      <w:r w:rsidR="0037079D">
        <w:rPr>
          <w:lang w:val="en-GB"/>
        </w:rPr>
        <w:t>]</w:t>
      </w:r>
      <w:r w:rsidRPr="0037079D">
        <w:rPr>
          <w:lang w:val="en-GB"/>
        </w:rPr>
        <w:t>.</w:t>
      </w:r>
    </w:p>
  </w:footnote>
  <w:footnote w:id="106">
    <w:p w14:paraId="0DD827CE" w14:textId="77777777" w:rsidR="00C117F3" w:rsidRDefault="00C117F3">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10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10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10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10">
    <w:p w14:paraId="33F5BB46" w14:textId="7FDD4E64" w:rsidR="00C117F3" w:rsidRDefault="00C117F3">
      <w:pPr>
        <w:pStyle w:val="FootnoteText"/>
        <w:rPr>
          <w:lang w:val="en-GB"/>
        </w:rPr>
      </w:pPr>
      <w:r>
        <w:rPr>
          <w:rStyle w:val="FootnoteReference"/>
        </w:rPr>
        <w:footnoteRef/>
      </w:r>
      <w:r>
        <w:rPr>
          <w:lang w:val="en-GB"/>
        </w:rPr>
        <w:t xml:space="preserve"> « Bazin subscribes to an evo</w:t>
      </w:r>
      <w:r w:rsidR="00822161">
        <w:rPr>
          <w:lang w:val="en-GB"/>
        </w:rPr>
        <w:t>lutionary model of the cinema »</w:t>
      </w:r>
      <w:r>
        <w:rPr>
          <w:lang w:val="en-GB"/>
        </w:rPr>
        <w:t xml:space="preserve"> </w:t>
      </w:r>
      <w:r w:rsidR="00822161">
        <w:rPr>
          <w:lang w:val="en-GB"/>
        </w:rPr>
        <w:t>[</w:t>
      </w:r>
      <w:r>
        <w:rPr>
          <w:lang w:val="en-GB"/>
        </w:rPr>
        <w:t xml:space="preserve">Jennifer Forrest et Leonard R. Koos </w:t>
      </w:r>
      <w:r w:rsidR="00B44037">
        <w:rPr>
          <w:lang w:val="en-US"/>
        </w:rPr>
        <w:t>(éd</w:t>
      </w:r>
      <w:r>
        <w:rPr>
          <w:lang w:val="en-US"/>
        </w:rPr>
        <w:t xml:space="preserve">.), </w:t>
      </w:r>
      <w:r>
        <w:rPr>
          <w:i/>
          <w:lang w:val="en-US"/>
        </w:rPr>
        <w:t>Dead Ringers: The Remake in Theory and Practice</w:t>
      </w:r>
      <w:r>
        <w:rPr>
          <w:lang w:val="en-US"/>
        </w:rPr>
        <w:t>, Albany, State University of New York Press, 2002, p. 20</w:t>
      </w:r>
      <w:r w:rsidR="00822161">
        <w:rPr>
          <w:lang w:val="en-US"/>
        </w:rPr>
        <w:t>]</w:t>
      </w:r>
      <w:r>
        <w:rPr>
          <w:lang w:val="en-US"/>
        </w:rPr>
        <w:t>.</w:t>
      </w:r>
    </w:p>
  </w:footnote>
  <w:footnote w:id="11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1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13">
    <w:p w14:paraId="24AAE339" w14:textId="0B5040D3"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coûts de production. </w:t>
      </w:r>
    </w:p>
  </w:footnote>
  <w:footnote w:id="114">
    <w:p w14:paraId="3144F847" w14:textId="53C8EC4C" w:rsidR="00C06F3B" w:rsidRPr="00C06F3B" w:rsidRDefault="00C06F3B">
      <w:pPr>
        <w:pStyle w:val="FootnoteText"/>
      </w:pPr>
      <w:r>
        <w:rPr>
          <w:rStyle w:val="FootnoteReference"/>
        </w:rPr>
        <w:footnoteRef/>
      </w:r>
      <w:r>
        <w:t xml:space="preserve"> Le roman, contrairement au film avant l’avènement de la </w:t>
      </w:r>
      <w:r>
        <w:rPr>
          <w:i/>
        </w:rPr>
        <w:t>home vidéo</w:t>
      </w:r>
      <w:r>
        <w:t>, était un objet individuel pouvant être acheté et même collectionné</w:t>
      </w:r>
      <w:r w:rsidR="00D20642">
        <w:t>.</w:t>
      </w:r>
    </w:p>
  </w:footnote>
  <w:footnote w:id="115">
    <w:p w14:paraId="7E6E96A7" w14:textId="72B60A00" w:rsidR="002371FC" w:rsidRPr="002371FC" w:rsidRDefault="002371FC">
      <w:pPr>
        <w:pStyle w:val="FootnoteText"/>
        <w:rPr>
          <w:lang w:val="en-GB"/>
        </w:rPr>
      </w:pPr>
      <w:r>
        <w:rPr>
          <w:rStyle w:val="FootnoteReference"/>
        </w:rPr>
        <w:footnoteRef/>
      </w:r>
      <w:r w:rsidRPr="002371FC">
        <w:rPr>
          <w:lang w:val="en-GB"/>
        </w:rPr>
        <w:t xml:space="preserve"> « </w:t>
      </w:r>
      <w:r w:rsidR="007C2CC7">
        <w:rPr>
          <w:lang w:val="en-GB"/>
        </w:rPr>
        <w:t>T</w:t>
      </w:r>
      <w:bookmarkStart w:id="0" w:name="_GoBack"/>
      <w:bookmarkEnd w:id="0"/>
      <w:r w:rsidRPr="002371FC">
        <w:rPr>
          <w:lang w:val="en-GB"/>
        </w:rPr>
        <w:t>he flow of content across multiple media platforms, the cooperation between multiple media industries, and the migratory behaviour of media audiences who will go almost anywhere in search of the kinds of entertainment experiences they want. » [</w:t>
      </w:r>
      <w:r>
        <w:rPr>
          <w:lang w:val="en-GB"/>
        </w:rPr>
        <w:t xml:space="preserve">Henry Jenkins, </w:t>
      </w:r>
      <w:r w:rsidRPr="002371FC">
        <w:rPr>
          <w:i/>
          <w:lang w:val="en-GB"/>
        </w:rPr>
        <w:t>Convergence Culture: Where Old and New Media Collide</w:t>
      </w:r>
      <w:r w:rsidRPr="002371FC">
        <w:rPr>
          <w:lang w:val="en-GB"/>
        </w:rPr>
        <w:t>, New York/London, New York University Press, 2008 [2006], p. 2]. </w:t>
      </w:r>
    </w:p>
  </w:footnote>
  <w:footnote w:id="116">
    <w:p w14:paraId="01317FAB" w14:textId="42582F87" w:rsidR="007737B1" w:rsidRPr="007737B1" w:rsidRDefault="007737B1">
      <w:pPr>
        <w:pStyle w:val="FootnoteText"/>
      </w:pPr>
      <w:r>
        <w:rPr>
          <w:rStyle w:val="FootnoteReference"/>
        </w:rPr>
        <w:footnoteRef/>
      </w:r>
      <w:r>
        <w:t xml:space="preserve"> L’auteur évoque des expériences médiatiques multiplateformes</w:t>
      </w:r>
      <w:r w:rsidR="006017DB">
        <w:t xml:space="preserve"> comme un storytelling transmédial</w:t>
      </w:r>
      <w:r>
        <w:t xml:space="preserve"> dont le but est d’élargir le monde proposé sur la plateforme originale ;</w:t>
      </w:r>
      <w:r w:rsidR="006017DB">
        <w:t xml:space="preserve"> en offrant une expérience différente au consommateur </w:t>
      </w:r>
      <w:r w:rsidR="008A1D47">
        <w:t>faisant l’effort de s’intéresser à</w:t>
      </w:r>
      <w:r w:rsidR="00936FDC">
        <w:t xml:space="preserve"> toutes les formes de contenu</w:t>
      </w:r>
      <w:r w:rsidR="008A1D47">
        <w:t>.</w:t>
      </w:r>
      <w:r w:rsidR="006017DB">
        <w:t xml:space="preserve"> </w:t>
      </w:r>
    </w:p>
  </w:footnote>
  <w:footnote w:id="117">
    <w:p w14:paraId="4E3BFF27" w14:textId="2AA6B310" w:rsidR="00D90AB9" w:rsidRPr="00D90AB9" w:rsidRDefault="00D90AB9">
      <w:pPr>
        <w:pStyle w:val="FootnoteText"/>
      </w:pPr>
      <w:r>
        <w:rPr>
          <w:rStyle w:val="FootnoteReference"/>
        </w:rPr>
        <w:footnoteRef/>
      </w:r>
      <w:r>
        <w:t xml:space="preserve"> Le terme forme utilisé en opposition à celui de réception de l’œuvre, puisque certains auteurs considèrent l’adaptation comme une processus dialectique qui va impliquer – dans la réception – une nouvelle lecture du texte source à l’aune de son adaptation.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16FC9"/>
    <w:rsid w:val="0004710B"/>
    <w:rsid w:val="00047502"/>
    <w:rsid w:val="0005541A"/>
    <w:rsid w:val="000616AD"/>
    <w:rsid w:val="0008181D"/>
    <w:rsid w:val="00087967"/>
    <w:rsid w:val="000B1FAB"/>
    <w:rsid w:val="000C1EE8"/>
    <w:rsid w:val="000E24B4"/>
    <w:rsid w:val="000E26EA"/>
    <w:rsid w:val="000E46A0"/>
    <w:rsid w:val="000F348A"/>
    <w:rsid w:val="000F5318"/>
    <w:rsid w:val="000F68A5"/>
    <w:rsid w:val="000F7949"/>
    <w:rsid w:val="001010F4"/>
    <w:rsid w:val="00111480"/>
    <w:rsid w:val="001214FB"/>
    <w:rsid w:val="001337AF"/>
    <w:rsid w:val="00142222"/>
    <w:rsid w:val="0016060E"/>
    <w:rsid w:val="00170F34"/>
    <w:rsid w:val="00171BDD"/>
    <w:rsid w:val="00192783"/>
    <w:rsid w:val="001945C1"/>
    <w:rsid w:val="001A1617"/>
    <w:rsid w:val="001A447F"/>
    <w:rsid w:val="001B171B"/>
    <w:rsid w:val="001C0FF4"/>
    <w:rsid w:val="001C192F"/>
    <w:rsid w:val="001C5034"/>
    <w:rsid w:val="001D0A87"/>
    <w:rsid w:val="001E4821"/>
    <w:rsid w:val="00212110"/>
    <w:rsid w:val="00215D93"/>
    <w:rsid w:val="00230521"/>
    <w:rsid w:val="00234D94"/>
    <w:rsid w:val="002371FC"/>
    <w:rsid w:val="00244EC9"/>
    <w:rsid w:val="0025622D"/>
    <w:rsid w:val="00256AB5"/>
    <w:rsid w:val="00264070"/>
    <w:rsid w:val="00276A8F"/>
    <w:rsid w:val="00280221"/>
    <w:rsid w:val="00280AD4"/>
    <w:rsid w:val="002A0F25"/>
    <w:rsid w:val="002B0F76"/>
    <w:rsid w:val="002B1411"/>
    <w:rsid w:val="002C2257"/>
    <w:rsid w:val="002F0DCD"/>
    <w:rsid w:val="00337919"/>
    <w:rsid w:val="0037079D"/>
    <w:rsid w:val="0037710F"/>
    <w:rsid w:val="00396BB2"/>
    <w:rsid w:val="003A0E6B"/>
    <w:rsid w:val="003C47C5"/>
    <w:rsid w:val="003C7D3D"/>
    <w:rsid w:val="003D0F69"/>
    <w:rsid w:val="00401302"/>
    <w:rsid w:val="004030D6"/>
    <w:rsid w:val="004033F7"/>
    <w:rsid w:val="00404CC4"/>
    <w:rsid w:val="0045138C"/>
    <w:rsid w:val="0045394B"/>
    <w:rsid w:val="0045741C"/>
    <w:rsid w:val="0046241E"/>
    <w:rsid w:val="00496AC5"/>
    <w:rsid w:val="004B23FA"/>
    <w:rsid w:val="004B5977"/>
    <w:rsid w:val="004C56C7"/>
    <w:rsid w:val="004D53B9"/>
    <w:rsid w:val="004D5945"/>
    <w:rsid w:val="004D65E7"/>
    <w:rsid w:val="004D744F"/>
    <w:rsid w:val="004E3D1E"/>
    <w:rsid w:val="004F3CC1"/>
    <w:rsid w:val="004F66C7"/>
    <w:rsid w:val="005013E6"/>
    <w:rsid w:val="00503B7C"/>
    <w:rsid w:val="005250D1"/>
    <w:rsid w:val="00530575"/>
    <w:rsid w:val="00531D46"/>
    <w:rsid w:val="00534E48"/>
    <w:rsid w:val="00541B47"/>
    <w:rsid w:val="00542190"/>
    <w:rsid w:val="00560EA4"/>
    <w:rsid w:val="00561582"/>
    <w:rsid w:val="0056383F"/>
    <w:rsid w:val="00570734"/>
    <w:rsid w:val="005864AB"/>
    <w:rsid w:val="00592F2B"/>
    <w:rsid w:val="005A1BD4"/>
    <w:rsid w:val="005C0322"/>
    <w:rsid w:val="005C24C5"/>
    <w:rsid w:val="005C4F2A"/>
    <w:rsid w:val="005D4B3C"/>
    <w:rsid w:val="005D7AE0"/>
    <w:rsid w:val="005E21E4"/>
    <w:rsid w:val="005E40F9"/>
    <w:rsid w:val="006017DB"/>
    <w:rsid w:val="006203C6"/>
    <w:rsid w:val="006216E1"/>
    <w:rsid w:val="00632A06"/>
    <w:rsid w:val="00640108"/>
    <w:rsid w:val="00643A14"/>
    <w:rsid w:val="0064756E"/>
    <w:rsid w:val="0065319D"/>
    <w:rsid w:val="00661752"/>
    <w:rsid w:val="006707C7"/>
    <w:rsid w:val="00674017"/>
    <w:rsid w:val="00684BBC"/>
    <w:rsid w:val="0068682B"/>
    <w:rsid w:val="006B0770"/>
    <w:rsid w:val="006B6658"/>
    <w:rsid w:val="006C49CB"/>
    <w:rsid w:val="006C67F6"/>
    <w:rsid w:val="006D08EF"/>
    <w:rsid w:val="006D4788"/>
    <w:rsid w:val="006F75D6"/>
    <w:rsid w:val="00717D7B"/>
    <w:rsid w:val="00730113"/>
    <w:rsid w:val="00731C44"/>
    <w:rsid w:val="007352B6"/>
    <w:rsid w:val="00751675"/>
    <w:rsid w:val="00764834"/>
    <w:rsid w:val="00766685"/>
    <w:rsid w:val="00772938"/>
    <w:rsid w:val="007737B1"/>
    <w:rsid w:val="00795D0F"/>
    <w:rsid w:val="0079631A"/>
    <w:rsid w:val="00796588"/>
    <w:rsid w:val="007A6AE9"/>
    <w:rsid w:val="007C2CC7"/>
    <w:rsid w:val="007C3C12"/>
    <w:rsid w:val="007C6154"/>
    <w:rsid w:val="007D0EB6"/>
    <w:rsid w:val="007D75FB"/>
    <w:rsid w:val="007E1575"/>
    <w:rsid w:val="007E3C04"/>
    <w:rsid w:val="00806931"/>
    <w:rsid w:val="00813813"/>
    <w:rsid w:val="00822161"/>
    <w:rsid w:val="0083783D"/>
    <w:rsid w:val="00846199"/>
    <w:rsid w:val="008539B7"/>
    <w:rsid w:val="00854CE3"/>
    <w:rsid w:val="0085715E"/>
    <w:rsid w:val="00870395"/>
    <w:rsid w:val="00871FD6"/>
    <w:rsid w:val="00882101"/>
    <w:rsid w:val="00891C51"/>
    <w:rsid w:val="008A1D47"/>
    <w:rsid w:val="008A21A3"/>
    <w:rsid w:val="008A2B70"/>
    <w:rsid w:val="008A2FD9"/>
    <w:rsid w:val="008A6C42"/>
    <w:rsid w:val="008A734F"/>
    <w:rsid w:val="008B6416"/>
    <w:rsid w:val="008C3F42"/>
    <w:rsid w:val="008C6A92"/>
    <w:rsid w:val="008C7F07"/>
    <w:rsid w:val="008D45C4"/>
    <w:rsid w:val="008E1FEE"/>
    <w:rsid w:val="008E59CF"/>
    <w:rsid w:val="008E643F"/>
    <w:rsid w:val="008F5E1B"/>
    <w:rsid w:val="008F63A4"/>
    <w:rsid w:val="008F711C"/>
    <w:rsid w:val="00914670"/>
    <w:rsid w:val="00917A32"/>
    <w:rsid w:val="00921F55"/>
    <w:rsid w:val="00923491"/>
    <w:rsid w:val="0092741A"/>
    <w:rsid w:val="00927FF7"/>
    <w:rsid w:val="00936FDC"/>
    <w:rsid w:val="00954D6E"/>
    <w:rsid w:val="00965BB5"/>
    <w:rsid w:val="009674F7"/>
    <w:rsid w:val="00967B2F"/>
    <w:rsid w:val="00972004"/>
    <w:rsid w:val="00974C39"/>
    <w:rsid w:val="00983252"/>
    <w:rsid w:val="00987188"/>
    <w:rsid w:val="0099330D"/>
    <w:rsid w:val="009A334F"/>
    <w:rsid w:val="009B22CC"/>
    <w:rsid w:val="009B337B"/>
    <w:rsid w:val="009C1D3E"/>
    <w:rsid w:val="009C4565"/>
    <w:rsid w:val="009D6221"/>
    <w:rsid w:val="009F3A9E"/>
    <w:rsid w:val="00A2075B"/>
    <w:rsid w:val="00A3716F"/>
    <w:rsid w:val="00A67C15"/>
    <w:rsid w:val="00A84C8D"/>
    <w:rsid w:val="00A86B5D"/>
    <w:rsid w:val="00A86C89"/>
    <w:rsid w:val="00A87D26"/>
    <w:rsid w:val="00AB41DD"/>
    <w:rsid w:val="00AC2F57"/>
    <w:rsid w:val="00AC2F5C"/>
    <w:rsid w:val="00AD207B"/>
    <w:rsid w:val="00AD5611"/>
    <w:rsid w:val="00AE4F51"/>
    <w:rsid w:val="00AF53CF"/>
    <w:rsid w:val="00AF6730"/>
    <w:rsid w:val="00B0625D"/>
    <w:rsid w:val="00B27D69"/>
    <w:rsid w:val="00B40115"/>
    <w:rsid w:val="00B430F2"/>
    <w:rsid w:val="00B44037"/>
    <w:rsid w:val="00B5445D"/>
    <w:rsid w:val="00B71B08"/>
    <w:rsid w:val="00B8186C"/>
    <w:rsid w:val="00B81FDD"/>
    <w:rsid w:val="00B9455D"/>
    <w:rsid w:val="00BA2D31"/>
    <w:rsid w:val="00BA455A"/>
    <w:rsid w:val="00BB244B"/>
    <w:rsid w:val="00BB248F"/>
    <w:rsid w:val="00BB2FF0"/>
    <w:rsid w:val="00BB7BDF"/>
    <w:rsid w:val="00BC570C"/>
    <w:rsid w:val="00BD1AC3"/>
    <w:rsid w:val="00BE1E55"/>
    <w:rsid w:val="00BF26D1"/>
    <w:rsid w:val="00BF64C5"/>
    <w:rsid w:val="00C04C7B"/>
    <w:rsid w:val="00C06F3B"/>
    <w:rsid w:val="00C117F3"/>
    <w:rsid w:val="00C12024"/>
    <w:rsid w:val="00C20E6B"/>
    <w:rsid w:val="00C321D7"/>
    <w:rsid w:val="00C3246B"/>
    <w:rsid w:val="00C34CE8"/>
    <w:rsid w:val="00C37B52"/>
    <w:rsid w:val="00C422DA"/>
    <w:rsid w:val="00C4692E"/>
    <w:rsid w:val="00C54489"/>
    <w:rsid w:val="00C6286B"/>
    <w:rsid w:val="00C67F32"/>
    <w:rsid w:val="00C706B8"/>
    <w:rsid w:val="00C806B6"/>
    <w:rsid w:val="00C9130A"/>
    <w:rsid w:val="00C9606B"/>
    <w:rsid w:val="00CA6284"/>
    <w:rsid w:val="00CB059D"/>
    <w:rsid w:val="00CC02D8"/>
    <w:rsid w:val="00CC16D4"/>
    <w:rsid w:val="00CC34D2"/>
    <w:rsid w:val="00CC3626"/>
    <w:rsid w:val="00CC79B8"/>
    <w:rsid w:val="00D17866"/>
    <w:rsid w:val="00D20642"/>
    <w:rsid w:val="00D3697D"/>
    <w:rsid w:val="00D67182"/>
    <w:rsid w:val="00D843B3"/>
    <w:rsid w:val="00D90AB9"/>
    <w:rsid w:val="00D964A7"/>
    <w:rsid w:val="00DB395B"/>
    <w:rsid w:val="00DE08D5"/>
    <w:rsid w:val="00DF69E5"/>
    <w:rsid w:val="00E04482"/>
    <w:rsid w:val="00E3559A"/>
    <w:rsid w:val="00E47359"/>
    <w:rsid w:val="00E57DCF"/>
    <w:rsid w:val="00E83242"/>
    <w:rsid w:val="00E92A62"/>
    <w:rsid w:val="00EA2008"/>
    <w:rsid w:val="00EA390E"/>
    <w:rsid w:val="00EB6A75"/>
    <w:rsid w:val="00EB778A"/>
    <w:rsid w:val="00ED6D15"/>
    <w:rsid w:val="00EF6F59"/>
    <w:rsid w:val="00F14974"/>
    <w:rsid w:val="00F228EC"/>
    <w:rsid w:val="00F25F60"/>
    <w:rsid w:val="00F30EF5"/>
    <w:rsid w:val="00F34646"/>
    <w:rsid w:val="00F5027B"/>
    <w:rsid w:val="00F5705F"/>
    <w:rsid w:val="00F6053A"/>
    <w:rsid w:val="00F63E0F"/>
    <w:rsid w:val="00F64E7F"/>
    <w:rsid w:val="00F6782D"/>
    <w:rsid w:val="00F72B22"/>
    <w:rsid w:val="00F76EAA"/>
    <w:rsid w:val="00F92EB3"/>
    <w:rsid w:val="00FA203D"/>
    <w:rsid w:val="00FA31E7"/>
    <w:rsid w:val="00FD1552"/>
    <w:rsid w:val="00FD7A3F"/>
    <w:rsid w:val="00FE57E3"/>
    <w:rsid w:val="00FF42BC"/>
    <w:rsid w:val="00FF6274"/>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4DA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E9858B-94DE-5544-9DB6-11DD53E1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19</Pages>
  <Words>5931</Words>
  <Characters>30726</Characters>
  <Application>Microsoft Macintosh Word</Application>
  <DocSecurity>0</DocSecurity>
  <Lines>487</Lines>
  <Paragraphs>78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 de la nouvelle sérialisée au film</vt:lpstr>
      <vt:lpstr>    </vt:lpstr>
      <vt:lpstr>    Adaptation : du feuilleton à la série B</vt:lpstr>
      <vt:lpstr>    Du feuilleton au roman : un premier remake ?</vt:lpstr>
      <vt:lpstr>    </vt:lpstr>
      <vt:lpstr>    (The Invasion of) The Body Snatchers comme une série littéraire parallèle</vt:lpstr>
    </vt:vector>
  </TitlesOfParts>
  <Company/>
  <LinksUpToDate>false</LinksUpToDate>
  <CharactersWithSpaces>36579</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241</cp:revision>
  <dcterms:created xsi:type="dcterms:W3CDTF">2016-12-18T17:57:00Z</dcterms:created>
  <dcterms:modified xsi:type="dcterms:W3CDTF">2016-12-22T20:47:00Z</dcterms:modified>
</cp:coreProperties>
</file>