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5D9E" w14:textId="77777777" w:rsidR="000A3C88" w:rsidRDefault="000A3C88" w:rsidP="00E80FD5">
      <w:pPr>
        <w:rPr>
          <w:rFonts w:cs="Times New Roman"/>
          <w:color w:val="000000"/>
          <w:lang w:val="en-US"/>
        </w:rPr>
      </w:pPr>
    </w:p>
    <w:p w14:paraId="78555FE5" w14:textId="77777777" w:rsidR="000A3C88" w:rsidRPr="00B81E15" w:rsidRDefault="000A3C88" w:rsidP="00541737">
      <w:pPr>
        <w:pStyle w:val="Heading1"/>
        <w:rPr>
          <w:lang w:val="fr-CH"/>
        </w:rPr>
      </w:pPr>
      <w:r w:rsidRPr="00B81E15">
        <w:rPr>
          <w:lang w:val="fr-CH"/>
        </w:rPr>
        <w:t>Mauvaises graines, de la nouvelle sérialisée au film</w:t>
      </w:r>
    </w:p>
    <w:p w14:paraId="7E4CCACD" w14:textId="77777777" w:rsidR="000A3C88" w:rsidRPr="00024386" w:rsidRDefault="000A3C88" w:rsidP="005545D7">
      <w:pPr>
        <w:pStyle w:val="Mmoire"/>
        <w:rPr>
          <w:lang w:val="fr-CH"/>
        </w:rPr>
      </w:pPr>
      <w:r>
        <w:rPr>
          <w:lang w:val="fr-CH"/>
        </w:rPr>
        <w:t xml:space="preserve">Ce chapitre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L’envergure de ce travail ne permettant pas de prendre en considération la masse considérable de théories et d’articles académiques consacrés aux théories de l’adaptation,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630D08FD" w14:textId="77777777" w:rsidR="000A3C88" w:rsidRDefault="000A3C88" w:rsidP="0003595A">
      <w:pPr>
        <w:pStyle w:val="Heading2"/>
      </w:pPr>
    </w:p>
    <w:p w14:paraId="061ECF1F" w14:textId="77777777" w:rsidR="000A3C88" w:rsidRPr="0003595A" w:rsidRDefault="000A3C88" w:rsidP="0003595A">
      <w:pPr>
        <w:pStyle w:val="Heading2"/>
      </w:pPr>
      <w:r w:rsidRPr="0003595A">
        <w:t>Adaptation : du feuilleton à la série B</w:t>
      </w:r>
    </w:p>
    <w:p w14:paraId="66FC7961" w14:textId="77777777" w:rsidR="000A3C88" w:rsidRPr="000E01C6" w:rsidRDefault="000A3C88" w:rsidP="00CB1744">
      <w:pPr>
        <w:pStyle w:val="Mmoire"/>
      </w:pPr>
      <w:r>
        <w:t>C’est dans le magazine bi-hebdomadaire</w:t>
      </w:r>
      <w:r>
        <w:rPr>
          <w:rStyle w:val="FootnoteReference"/>
        </w:rPr>
        <w:footnoteReference w:id="2"/>
      </w:r>
      <w:r>
        <w:t xml:space="preserve"> </w:t>
      </w:r>
      <w:r w:rsidRPr="002D503C">
        <w:rPr>
          <w:i/>
        </w:rPr>
        <w:t>Collider’s</w:t>
      </w:r>
      <w:r>
        <w:t xml:space="preserve">, </w:t>
      </w:r>
      <w:r w:rsidRPr="00B30410">
        <w:t>entre</w:t>
      </w:r>
      <w:r>
        <w:t xml:space="preserv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3"/>
      </w:r>
      <w:r>
        <w:t xml:space="preserve">. Dans une réponse à une lettre à Arthur LeGacy, l’auteur </w:t>
      </w:r>
      <w:r>
        <w:lastRenderedPageBreak/>
        <w:t>affirme « Tous mes livres sont écrits de cette manière [avec un film en tête] »</w:t>
      </w:r>
      <w:r>
        <w:rPr>
          <w:rStyle w:val="FootnoteReference"/>
        </w:rPr>
        <w:footnoteReference w:id="4"/>
      </w:r>
      <w:r>
        <w:t>, « j’ai toujours affirmé que ne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LeGacy et Finney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un style </w:t>
      </w:r>
      <w:r>
        <w:rPr>
          <w:i/>
        </w:rPr>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L’ombre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r>
        <w:rPr>
          <w:i/>
        </w:rPr>
        <w:t>low key</w:t>
      </w:r>
      <w:r>
        <w:t xml:space="preserve"> associée au film noir.</w:t>
      </w:r>
    </w:p>
    <w:p w14:paraId="7EC96303" w14:textId="77777777" w:rsidR="000A3C88" w:rsidRDefault="000A3C88" w:rsidP="00616D97">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0"/>
      </w:r>
      <w:r>
        <w:t>. Ces négociations aboutissent durant le mois de janvier 1955 et donnent lieu à un premier jet du scénario par Daniel Mainwaring le 10 février</w:t>
      </w:r>
      <w:r>
        <w:rPr>
          <w:rStyle w:val="FootnoteReference"/>
        </w:rPr>
        <w:footnoteReference w:id="11"/>
      </w:r>
      <w:r>
        <w:t xml:space="preserve">, et à un tournage bouclé </w:t>
      </w:r>
      <w:r>
        <w:lastRenderedPageBreak/>
        <w:t>en 23 jours entre mars et avril de la même année</w:t>
      </w:r>
      <w:r>
        <w:rPr>
          <w:rStyle w:val="FootnoteReference"/>
        </w:rPr>
        <w:footnoteReference w:id="12"/>
      </w:r>
      <w:r>
        <w:t>. Mais cet élan considérable</w:t>
      </w:r>
      <w:r>
        <w:rPr>
          <w:rStyle w:val="FootnoteReference"/>
        </w:rPr>
        <w:footnoteReference w:id="13"/>
      </w:r>
      <w:r>
        <w:t xml:space="preserve"> dans l’écriture 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projections test</w:t>
      </w:r>
      <w:r>
        <w:rPr>
          <w:rStyle w:val="FootnoteReference"/>
        </w:rPr>
        <w:footnoteReference w:id="16"/>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17"/>
      </w:r>
      <w:r>
        <w:t>. Le 8 juillet, après trois des projections-test, Wagner rédige un mémorandum adressé au studio suggérant –entre autres–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LaValley et McGee s’accordent à dire que ces changements manifestent 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sidRPr="00474C78">
        <w:rPr>
          <w:lang w:val="fr-CH"/>
        </w:rPr>
        <w:t xml:space="preserve">We shall </w:t>
      </w:r>
      <w:r w:rsidRPr="00474C78">
        <w:rPr>
          <w:lang w:val="fr-CH"/>
        </w:rPr>
        <w:lastRenderedPageBreak/>
        <w:t>fight them in the fields… </w:t>
      </w:r>
      <w:r>
        <w:t>» est cité dans les derniers paragraphes du feuilleton</w:t>
      </w:r>
      <w:r>
        <w:rPr>
          <w:rStyle w:val="FootnoteReference"/>
        </w:rPr>
        <w:footnoteReference w:id="24"/>
      </w:r>
      <w:r>
        <w:t>, la citation 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–à travers le contexte politique, </w:t>
      </w:r>
      <w:r>
        <w:rPr>
          <w:i/>
        </w:rPr>
        <w:t>la blacklist</w:t>
      </w:r>
      <w:r>
        <w:t xml:space="preserve">, le contexte de production et les aspirations individuelles des professionnels impliqués. Néanmoins, et probablement à cause du processus expéditif d’adaptation dans le cas de </w:t>
      </w:r>
      <w:r>
        <w:rPr>
          <w:i/>
        </w:rPr>
        <w:t>Invasion of the Body Snatchers</w:t>
      </w:r>
      <w:r>
        <w:t>, aucune étude ne se concentre sur les différences textuelles entre le film et son œuvre source. Il est pourtant difficile d’imaginer que le désaccord entre les parties impliquées n’ait pas trouvé racine dès l’écriture du scénario par Mainwaring. Ce chapitre propose donc, en acceptant le problème posé par certaines pièces manquantes</w:t>
      </w:r>
      <w:r>
        <w:rPr>
          <w:rStyle w:val="FootnoteReference"/>
        </w:rPr>
        <w:footnoteReference w:id="28"/>
      </w:r>
      <w:r>
        <w:t xml:space="preserve">, d’effectuer une comparaison entre le feuilleton publié dans </w:t>
      </w:r>
      <w:r>
        <w:rPr>
          <w:i/>
        </w:rPr>
        <w:t>Collider’s</w:t>
      </w:r>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p>
    <w:p w14:paraId="0EE8760F" w14:textId="77777777" w:rsidR="000A3C88" w:rsidRPr="002F7A81" w:rsidRDefault="000A3C88" w:rsidP="003D1296">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w:t>
      </w:r>
      <w:r>
        <w:lastRenderedPageBreak/>
        <w:t>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w:t>
      </w:r>
      <w:r w:rsidRPr="00141306">
        <w:t>, particulièrement sa fin. Selon eux</w:t>
      </w:r>
      <w:r>
        <w:t>,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w:t>
      </w:r>
      <w:r w:rsidRPr="00141306">
        <w:t xml:space="preserve">(bien que, comme le fait remarquer M. Keith Booker, « la possibilité que le FBI, la police et l’armée soit déjà contrôlées par les </w:t>
      </w:r>
      <w:r w:rsidRPr="00141306">
        <w:rPr>
          <w:i/>
        </w:rPr>
        <w:t>pod people</w:t>
      </w:r>
      <w:r w:rsidRPr="00141306">
        <w:t xml:space="preserve"> existe. »</w:t>
      </w:r>
      <w:r w:rsidRPr="00141306">
        <w:rPr>
          <w:rStyle w:val="FootnoteReference"/>
        </w:rPr>
        <w:footnoteReference w:id="37"/>
      </w:r>
      <w:r w:rsidRPr="00141306">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ce recours final à l’autorité qu’incarne le FBI et une résolution du conflit. Cette fin importe car le récit cadre </w:t>
      </w:r>
      <w:r w:rsidRPr="00674BEA">
        <w:rPr>
          <w:i/>
        </w:rPr>
        <w:t>imposé</w:t>
      </w:r>
      <w:r>
        <w:t xml:space="preserve"> par les studios est systématiquement perçu par la critique comme trahissant la volonté originale d’un auteur. Or, il s’avère que le tournage des deux scènes composant le récit cadre ait été dirigé par </w:t>
      </w:r>
      <w:r>
        <w:lastRenderedPageBreak/>
        <w:t>Siegel lui-même</w:t>
      </w:r>
      <w:r>
        <w:rPr>
          <w:rStyle w:val="FootnoteReference"/>
        </w:rPr>
        <w:footnoteReference w:id="42"/>
      </w:r>
      <w:r>
        <w:t xml:space="preserve"> et que celui-ci avoue que les ajouts apportés auraient aidé le film auraient</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sidRPr="002F7A81">
        <w:rPr>
          <w:i/>
        </w:rPr>
        <w:t>en devenir</w:t>
      </w:r>
      <w:r>
        <w:t xml:space="preserve"> de Mainwaring/Wagner/Siegel/Allied Artists. Mais l’ajout du récit cadre est loin d’être le seul changement apporté au feuilleton dans le cadre de son adaptation au grand écran : un certain nombre de passage sont modifiés ou supprimés, et un certain nombre de scènes sont ajoutées ; il s’agît à présent de s’intéresser à quelques-unes d’entre elles afin d’interpréter leur implication pour le texte filmique.</w:t>
      </w:r>
    </w:p>
    <w:p w14:paraId="0705DC9E" w14:textId="77777777" w:rsidR="000A3C88" w:rsidRDefault="000A3C88" w:rsidP="003D1296">
      <w:pPr>
        <w:pStyle w:val="Mmoire"/>
        <w:rPr>
          <w:lang w:val="fr-CH"/>
        </w:rPr>
      </w:pPr>
      <w:r>
        <w:tab/>
        <w:t>Un des changements importants à lieu dans la scène d’</w:t>
      </w:r>
      <w:r w:rsidRPr="003D1296">
        <w:rPr>
          <w:i/>
        </w:rPr>
        <w:t>explication</w:t>
      </w:r>
      <w:r>
        <w:t xml:space="preserve">, prenant la forme d’un dialogue entre Miles et un </w:t>
      </w:r>
      <w:r w:rsidRPr="00595786">
        <w:t>porte-parole</w:t>
      </w:r>
      <w:r>
        <w:t xml:space="preserv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non-transformés de se soumettre à leur destinée apparente. Pourtant, cette </w:t>
      </w:r>
      <w:r w:rsidRPr="00595786">
        <w:t>scène</w:t>
      </w:r>
      <w:r w:rsidRPr="00F62E57">
        <w:t xml:space="preserve"> </w:t>
      </w:r>
      <w:r w:rsidRPr="00595786">
        <w:t>clé</w:t>
      </w:r>
      <w:r>
        <w:t xml:space="preserve">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w:t>
      </w:r>
      <w:r>
        <w:lastRenderedPageBreak/>
        <w:t>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Dans le film, le personnage du Prof. Budlong est absent : le rôle de </w:t>
      </w:r>
      <w:r w:rsidRPr="000C2404">
        <w:t>porte-parole</w:t>
      </w:r>
      <w:r>
        <w:t xml:space="preserve"> est laissé au Dr. Danny Kaufman</w:t>
      </w:r>
      <w:r>
        <w:rPr>
          <w:rStyle w:val="FootnoteReference"/>
        </w:rPr>
        <w:footnoteReference w:id="58"/>
      </w:r>
      <w:r>
        <w:t xml:space="preserve">, ami de Miles et psychiatre de profession. Ce premier changement à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rends son discours et ton détaché d’autant plus troublant. Son explication et le </w:t>
      </w:r>
      <w:r w:rsidRPr="000C2404">
        <w:t>plaidoyer</w:t>
      </w:r>
      <w:r>
        <w:t xml:space="preserve"> qu’il offre en faveur des </w:t>
      </w:r>
      <w:r w:rsidRPr="000C2404">
        <w:rPr>
          <w:i/>
        </w:rPr>
        <w:t>pods</w:t>
      </w:r>
      <w:r>
        <w:t xml:space="preserve"> est bien moins scientifique en teneur que celle du Prof. Budlong. Danny insert des émotions</w:t>
      </w:r>
      <w:r>
        <w:rPr>
          <w:rStyle w:val="FootnoteReference"/>
        </w:rPr>
        <w:footnoteReference w:id="60"/>
      </w:r>
      <w:r>
        <w:t xml:space="preserve"> au cœur de son argumentation, au </w:t>
      </w:r>
      <w:r>
        <w:lastRenderedPageBreak/>
        <w:t>défaut de l’explication scientifique</w:t>
      </w:r>
      <w:r>
        <w:rPr>
          <w:rStyle w:val="FootnoteReference"/>
        </w:rPr>
        <w:footnoteReference w:id="61"/>
      </w:r>
      <w:r>
        <w:t>. Cette première différence diminue donc l’importance du cadre science-fictionnel du texte en privilégiant l’aspect émotionnel</w:t>
      </w:r>
      <w:r>
        <w:rPr>
          <w:rStyle w:val="FootnoteReference"/>
        </w:rPr>
        <w:footnoteReference w:id="62"/>
      </w:r>
      <w:r>
        <w:t xml:space="preserve"> sur l’explication rationnelle</w:t>
      </w:r>
      <w:r>
        <w:rPr>
          <w:rStyle w:val="FootnoteReference"/>
        </w:rPr>
        <w:footnoteReference w:id="63"/>
      </w:r>
      <w:r>
        <w:t xml:space="preserve">. Le deuxième changement réside dans la manière dont cette </w:t>
      </w:r>
      <w:r w:rsidRPr="000C2404">
        <w:t>confrontation</w:t>
      </w:r>
      <w:r w:rsidRPr="00043CAF">
        <w:t xml:space="preserve"> </w:t>
      </w:r>
      <w:r>
        <w:t xml:space="preserve">à lieu : dans le feuilleton, c’est Miles (et Becky) qui se rendent volontairement au domicile du </w:t>
      </w:r>
      <w:r w:rsidRPr="00E56738">
        <w:rPr>
          <w:i/>
        </w:rPr>
        <w:t>porte-parole</w:t>
      </w:r>
      <w:r>
        <w:rPr>
          <w:i/>
        </w:rPr>
        <w:t> </w:t>
      </w:r>
      <w:r>
        <w:t xml:space="preserve">; dans le film, Danny (accompagné de Jack et d’un officier de police) fait irruption dans le cabinet de Miles, alors que ce dernier et Becky tentent de se cacher pour éviter d’être capturés. Ce changement de dynamique, de la </w:t>
      </w:r>
      <w:r w:rsidRPr="000C2404">
        <w:t>visite cordiale</w:t>
      </w:r>
      <w:r w:rsidRPr="00043CAF">
        <w:t xml:space="preserve"> à la </w:t>
      </w:r>
      <w:r w:rsidRPr="000C2404">
        <w:t>prise au piège</w:t>
      </w:r>
      <w:r>
        <w:t xml:space="preserve"> –d’autant plus accentué par un représentant des forces de l’ordre–, confère </w:t>
      </w:r>
      <w:r>
        <w:rPr>
          <w:i/>
        </w:rPr>
        <w:t xml:space="preserve">dans </w:t>
      </w:r>
      <w:r w:rsidRPr="000C2404">
        <w:t>le</w:t>
      </w:r>
      <w:r>
        <w:rPr>
          <w:i/>
        </w:rPr>
        <w:t xml:space="preserve"> </w:t>
      </w:r>
      <w:r w:rsidRPr="000A7C28">
        <w:t>texte</w:t>
      </w:r>
      <w:r>
        <w:t xml:space="preserve"> </w:t>
      </w:r>
      <w:r w:rsidRPr="000A7C28">
        <w:t>à</w:t>
      </w:r>
      <w:r>
        <w:t xml:space="preserve">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sidRPr="00F73970">
        <w:rPr>
          <w:lang w:val="fr-CH"/>
        </w:rPr>
        <w:t>« Je veux aimer et être aimée. J</w:t>
      </w:r>
      <w:r>
        <w:rPr>
          <w:lang w:val="fr-CH"/>
        </w:rPr>
        <w:t>e veux t</w:t>
      </w:r>
      <w:r w:rsidRPr="00F73970">
        <w:rPr>
          <w:lang w:val="fr-CH"/>
        </w:rPr>
        <w:t>es enfants. Je ne veux pas vivre dans un monde sans amour, sans peine ou sans beauté. Je préfère mourir.</w:t>
      </w:r>
      <w:r w:rsidRPr="00BC4A5E">
        <w:rPr>
          <w:lang w:val="fr-CH"/>
        </w:rPr>
        <w:t xml:space="preserve"> »</w:t>
      </w:r>
      <w:r>
        <w:rPr>
          <w:rStyle w:val="FootnoteReference"/>
          <w:lang w:val="en-GB"/>
        </w:rPr>
        <w:footnoteReference w:id="65"/>
      </w:r>
      <w:r w:rsidRPr="00BC4A5E">
        <w:rPr>
          <w:lang w:val="fr-CH"/>
        </w:rPr>
        <w:t>.</w:t>
      </w:r>
      <w:r w:rsidRPr="00EB5345">
        <w:rPr>
          <w:lang w:val="fr-CH"/>
        </w:rPr>
        <w:t xml:space="preserve"> </w:t>
      </w:r>
      <w:r>
        <w:rPr>
          <w:lang w:val="fr-CH"/>
        </w:rPr>
        <w:t>Dans les deux textes, le personnage de Becky est défini à travers sa relation avec Miles, cette relation connaît toutefois un nombre important de changements dans l’adaptation cinématographique : le feuilleton décrit les deux personnages comme « s’étant marié, mais aucun des deux n’a réussi à faire fonctionner leur mariage [respectif] »</w:t>
      </w:r>
      <w:r>
        <w:rPr>
          <w:rStyle w:val="FootnoteReference"/>
          <w:lang w:val="fr-CH"/>
        </w:rPr>
        <w:footnoteReference w:id="66"/>
      </w:r>
      <w:r>
        <w:rPr>
          <w:lang w:val="fr-CH"/>
        </w:rPr>
        <w:t xml:space="preserve"> et précise le divorce dans un dialogue ou chaque personnage s’excuse pour le divorce de l’autre. Dans le film, la question est également abordée à travers un dialogue :</w:t>
      </w:r>
    </w:p>
    <w:p w14:paraId="06ED5199" w14:textId="77777777" w:rsidR="000A3C88" w:rsidRPr="00144865" w:rsidRDefault="000A3C88" w:rsidP="00144865">
      <w:pPr>
        <w:ind w:left="720"/>
        <w:rPr>
          <w:rFonts w:ascii="Garamond" w:hAnsi="Garamond"/>
          <w:lang w:val="en-GB"/>
        </w:rPr>
      </w:pPr>
      <w:r w:rsidRPr="00144865">
        <w:rPr>
          <w:rFonts w:ascii="Garamond" w:hAnsi="Garamond"/>
          <w:lang w:val="en-GB"/>
        </w:rPr>
        <w:t>MILES</w:t>
      </w:r>
      <w:r>
        <w:rPr>
          <w:rFonts w:ascii="Garamond" w:hAnsi="Garamond"/>
          <w:lang w:val="en-GB"/>
        </w:rPr>
        <w:t>:</w:t>
      </w:r>
      <w:r w:rsidRPr="00144865">
        <w:rPr>
          <w:rFonts w:ascii="Garamond" w:hAnsi="Garamond"/>
          <w:lang w:val="en-GB"/>
        </w:rPr>
        <w:t xml:space="preserve"> </w:t>
      </w:r>
      <w:r>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When did you get back?</w:t>
      </w:r>
    </w:p>
    <w:p w14:paraId="596016E6"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I came back from London two months ago. I’ve been to Reno.</w:t>
      </w:r>
    </w:p>
    <w:p w14:paraId="565B57DC" w14:textId="77777777" w:rsidR="000A3C88" w:rsidRPr="00144865" w:rsidRDefault="000A3C88" w:rsidP="00144865">
      <w:pPr>
        <w:ind w:left="720"/>
        <w:rPr>
          <w:rFonts w:ascii="Garamond" w:hAnsi="Garamond"/>
          <w:lang w:val="en-GB"/>
        </w:rPr>
      </w:pPr>
      <w:r w:rsidRPr="00144865">
        <w:rPr>
          <w:rFonts w:ascii="Garamond" w:hAnsi="Garamond"/>
          <w:lang w:val="en-GB"/>
        </w:rPr>
        <w:t xml:space="preserve">MILES: </w:t>
      </w:r>
      <w:r>
        <w:rPr>
          <w:rFonts w:ascii="Garamond" w:hAnsi="Garamond"/>
          <w:lang w:val="en-GB"/>
        </w:rPr>
        <w:tab/>
      </w:r>
      <w:r w:rsidRPr="00144865">
        <w:rPr>
          <w:rFonts w:ascii="Garamond" w:hAnsi="Garamond"/>
          <w:lang w:val="en-GB"/>
        </w:rPr>
        <w:t>Reno?</w:t>
      </w:r>
    </w:p>
    <w:p w14:paraId="094678C1" w14:textId="77777777" w:rsidR="000A3C88" w:rsidRPr="00144865" w:rsidRDefault="000A3C88" w:rsidP="00144865">
      <w:pPr>
        <w:ind w:left="720"/>
        <w:rPr>
          <w:rFonts w:ascii="Garamond" w:hAnsi="Garamond"/>
          <w:lang w:val="en-GB"/>
        </w:rPr>
      </w:pPr>
      <w:r w:rsidRPr="00144865">
        <w:rPr>
          <w:rFonts w:ascii="Garamond" w:hAnsi="Garamond"/>
          <w:lang w:val="en-GB"/>
        </w:rPr>
        <w:t xml:space="preserve">BECKY: </w:t>
      </w:r>
      <w:r>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6F9331D1" w14:textId="77777777" w:rsidR="000A3C88" w:rsidRPr="00402E6C" w:rsidRDefault="000A3C88" w:rsidP="00F91F3B">
      <w:pPr>
        <w:spacing w:after="120"/>
        <w:ind w:left="720"/>
        <w:rPr>
          <w:lang w:val="fr-CH"/>
        </w:rPr>
      </w:pPr>
      <w:r w:rsidRPr="00402E6C">
        <w:rPr>
          <w:rFonts w:ascii="Garamond" w:hAnsi="Garamond"/>
          <w:lang w:val="fr-CH"/>
        </w:rPr>
        <w:t xml:space="preserve">MILES: </w:t>
      </w:r>
      <w:r w:rsidRPr="00402E6C">
        <w:rPr>
          <w:rFonts w:ascii="Garamond" w:hAnsi="Garamond"/>
          <w:lang w:val="fr-CH"/>
        </w:rPr>
        <w:tab/>
      </w:r>
      <w:r w:rsidRPr="00BC4A5E">
        <w:rPr>
          <w:rFonts w:ascii="Garamond" w:hAnsi="Garamond"/>
          <w:lang w:val="fr-CH"/>
        </w:rPr>
        <w:t>Five months ago.</w:t>
      </w:r>
      <w:r>
        <w:rPr>
          <w:rStyle w:val="FootnoteReference"/>
          <w:rFonts w:ascii="Garamond" w:hAnsi="Garamond"/>
          <w:lang w:val="en-GB"/>
        </w:rPr>
        <w:footnoteReference w:id="67"/>
      </w:r>
    </w:p>
    <w:p w14:paraId="7CEB177B" w14:textId="77777777" w:rsidR="000A3C88" w:rsidRPr="0045694F" w:rsidRDefault="000A3C88" w:rsidP="003805A4">
      <w:pPr>
        <w:pStyle w:val="Mmoire"/>
        <w:rPr>
          <w:lang w:val="fr-CH"/>
        </w:rPr>
      </w:pPr>
      <w:r>
        <w:rPr>
          <w:lang w:val="fr-CH"/>
        </w:rPr>
        <w:lastRenderedPageBreak/>
        <w:t>Le film évoque implicitement le divorce sous le couvert</w:t>
      </w:r>
      <w:r w:rsidRPr="00932A69">
        <w:rPr>
          <w:lang w:val="fr-CH"/>
        </w:rPr>
        <w:t xml:space="preserve"> </w:t>
      </w:r>
      <w:r>
        <w:rPr>
          <w:lang w:val="fr-CH"/>
        </w:rPr>
        <w:t>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0"/>
      <w:r w:rsidRPr="00123E62">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0"/>
      <w:r w:rsidR="00123E62">
        <w:rPr>
          <w:rStyle w:val="CommentReference"/>
        </w:rPr>
        <w:commentReference w:id="0"/>
      </w:r>
      <w:r>
        <w:rPr>
          <w:lang w:val="fr-CH"/>
        </w:rPr>
        <w:t>Les moments romantiques, rares dans le feuilleton</w:t>
      </w:r>
      <w:r>
        <w:rPr>
          <w:rStyle w:val="FootnoteReference"/>
          <w:lang w:val="fr-CH"/>
        </w:rPr>
        <w:footnoteReference w:id="69"/>
      </w:r>
      <w:r>
        <w:rPr>
          <w:lang w:val="fr-CH"/>
        </w:rPr>
        <w:t>, sont multipliés dans le film : les plus prévalantes étant une scène de baiser dans une armoire, se terminant sur un fondu au noir et ouvrant sur un cendrier rempli de cigarettes et les deux amants assis proche l’un de l’autre au lendemain. Katrina Mann relève ses suggestions de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inédite au film, largement l’objet de commentaires dans les articles de Mann</w:t>
      </w:r>
      <w:r>
        <w:rPr>
          <w:rStyle w:val="FootnoteReference"/>
          <w:lang w:val="fr-CH"/>
        </w:rPr>
        <w:footnoteReference w:id="71"/>
      </w:r>
      <w:r>
        <w:rPr>
          <w:lang w:val="fr-CH"/>
        </w:rPr>
        <w:t>, 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 Elle articule également une forme de </w:t>
      </w:r>
      <w:r w:rsidRPr="009360E5">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sidRPr="004A73E3">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w:t>
      </w:r>
      <w:r>
        <w:rPr>
          <w:lang w:val="fr-CH"/>
        </w:rPr>
        <w:lastRenderedPageBreak/>
        <w:t>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le feuilleton, dans son épilogue,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1F0D3ED" w14:textId="77777777" w:rsidR="000A3C88" w:rsidRPr="009B617B" w:rsidRDefault="000A3C88" w:rsidP="00D36A8F">
      <w:pPr>
        <w:pStyle w:val="Mmoire"/>
        <w:ind w:firstLine="720"/>
        <w:rPr>
          <w:lang w:val="fr-CH"/>
        </w:rPr>
      </w:pPr>
      <w:r>
        <w:rPr>
          <w:lang w:val="fr-CH"/>
        </w:rPr>
        <w:t xml:space="preserve">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au texte opérés par l’adaptation renforcent l’aliénation du personnage principal.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p>
    <w:p w14:paraId="6EFF09E1" w14:textId="77777777" w:rsidR="000A3C88" w:rsidRDefault="000A3C88" w:rsidP="00D36A8F">
      <w:pPr>
        <w:pStyle w:val="Heading2"/>
      </w:pPr>
      <w:r>
        <w:t xml:space="preserve">Du feuilleton au roman : un premier </w:t>
      </w:r>
      <w:r>
        <w:rPr>
          <w:i/>
        </w:rPr>
        <w:t>remake </w:t>
      </w:r>
      <w:r>
        <w:t>?</w:t>
      </w:r>
    </w:p>
    <w:p w14:paraId="492AF453" w14:textId="77777777" w:rsidR="000A3C88" w:rsidRDefault="000A3C88" w:rsidP="000A0BC3">
      <w:pPr>
        <w:pStyle w:val="Mmoire"/>
      </w:pPr>
      <w:r>
        <w:t xml:space="preserve">Comme mentionné plus haut, l’écriture du premier jet du scénario a eu lieu dans les 40 premiers jours de l’année 1955. La première publication de l’histoire de Finney sous forme de roman a eu lieu en 1955 chez Dell Publishing aux Etats-Unis et </w:t>
      </w:r>
      <w:r w:rsidRPr="0088102A">
        <w:t>Eyre &amp; Spottiswoode</w:t>
      </w:r>
      <w:r>
        <w:t xml:space="preserve"> en Angleterre. Bien que la première édition publiée chez Dell mentionne une date de première impression en avril 1955, il est impossible de déterminer si le la rédaction du roman est ultérieure à l’écriture de scénario par Mainwaring</w:t>
      </w:r>
      <w:r>
        <w:rPr>
          <w:rStyle w:val="FootnoteReference"/>
        </w:rPr>
        <w:footnoteReference w:id="78"/>
      </w:r>
      <w:r>
        <w:t xml:space="preserve">. Il est également impossible de mesurer l’implication de Finney dans la rédaction du scénario car les fiches de production mentionnent seulement une rencontre entre Finney, Wagner, Siegel et Mainwaring durant « la première </w:t>
      </w:r>
      <w:r>
        <w:lastRenderedPageBreak/>
        <w:t>semaine de 1955 »</w:t>
      </w:r>
      <w:r>
        <w:rPr>
          <w:rStyle w:val="FootnoteReference"/>
        </w:rPr>
        <w:footnoteReference w:id="79"/>
      </w:r>
      <w:r>
        <w:t>. Ce chapitre se propose toutefois de comparer l’histoire dans sa version feuilltonée et romanesque, avec l’objectif d’évaluer si ces changements sont imputables à l’adaptation filmique de Mainwaring. En effet, le film transforme-t-il le roman, et pour quel effet ?</w:t>
      </w:r>
    </w:p>
    <w:p w14:paraId="0FEBEA19" w14:textId="77777777" w:rsidR="000A3C88" w:rsidRDefault="000A3C88" w:rsidP="000A0BC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688081AB" w14:textId="77777777" w:rsidR="000A3C88" w:rsidRDefault="000A3C88" w:rsidP="00D82FC9">
      <w:pPr>
        <w:spacing w:after="120"/>
        <w:ind w:left="720"/>
      </w:pP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All I can do is tell what I know.</w:t>
      </w:r>
      <w:r>
        <w:rPr>
          <w:rStyle w:val="FootnoteReference"/>
        </w:rPr>
        <w:footnoteReference w:id="81"/>
      </w:r>
    </w:p>
    <w:p w14:paraId="24FB6CFE" w14:textId="77777777" w:rsidR="000A3C88" w:rsidRDefault="000A3C88" w:rsidP="00D82FC9">
      <w:pPr>
        <w:pStyle w:val="Mmoire"/>
      </w:pPr>
      <w:r>
        <w:t xml:space="preserve">Cette ouverture, bien qu’elle ne corresponde en rien à celle introduite par le récit-cadre du film, à toutefois pour conséquence d’également nous livrer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w:t>
      </w:r>
      <w:r>
        <w:lastRenderedPageBreak/>
        <w:t>feu de l’action sans avertissement préalable</w:t>
      </w:r>
      <w:r>
        <w:rPr>
          <w:rStyle w:val="FootnoteReference"/>
        </w:rPr>
        <w:footnoteReference w:id="82"/>
      </w:r>
      <w:r>
        <w:t xml:space="preserve">, le roman opte –tout comme le film–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5C910704" w14:textId="77777777" w:rsidR="000A3C88" w:rsidRDefault="000A3C88" w:rsidP="00D82FC9">
      <w:pPr>
        <w:pStyle w:val="Mmoire"/>
      </w:pPr>
      <w:r>
        <w:tab/>
        <w:t>Un autre changement concerne la relation Miles/Becky : le roman ajoute, par des dialogues supplémentaires, des détails sur leur passé (« Tu te rappelles quand tu m’as appelé,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xml:space="preserve">, descriptions se calquant à la coupe de cheveux de </w:t>
      </w:r>
      <w:r w:rsidRPr="00787AE8">
        <w:t>Dana Wynter</w:t>
      </w:r>
      <w:r>
        <w:t xml:space="preserve">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xml:space="preserve">, apparaît dans le roman : alors que les protagonistes tentent de fuir Santa Mira, ils s’arrêtent dans un hôtel pour passer la nuit, or le chambre à lits séparés spécifiquement demandée par Miles s’avère être en réalité meublée par un lit double. </w:t>
      </w:r>
      <w:r>
        <w:lastRenderedPageBreak/>
        <w:t>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42C70DE1" w14:textId="77777777" w:rsidR="000A3C88" w:rsidRPr="004A73E3" w:rsidRDefault="000A3C88" w:rsidP="00F41896">
      <w:pPr>
        <w:spacing w:after="120"/>
        <w:ind w:left="720"/>
        <w:rPr>
          <w:lang w:val="fr-CH"/>
        </w:rPr>
      </w:pP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6848A2">
        <w:rPr>
          <w:lang w:val="fr-CH"/>
        </w:rPr>
        <w:t>We slept.</w:t>
      </w:r>
      <w:r>
        <w:rPr>
          <w:rStyle w:val="FootnoteReference"/>
          <w:lang w:val="en-GB"/>
        </w:rPr>
        <w:footnoteReference w:id="89"/>
      </w:r>
    </w:p>
    <w:p w14:paraId="696C3A04" w14:textId="77777777" w:rsidR="000A3C88" w:rsidRDefault="000A3C88" w:rsidP="00F41896">
      <w:pPr>
        <w:pStyle w:val="Mmoire"/>
        <w:rPr>
          <w:lang w:val="fr-CH"/>
        </w:rPr>
      </w:pPr>
      <w:r>
        <w:rPr>
          <w:lang w:val="fr-CH"/>
        </w:rPr>
        <w:t>Ce d</w:t>
      </w:r>
      <w:r w:rsidRPr="00C16016">
        <w:rPr>
          <w:lang w:val="fr-CH"/>
        </w:rPr>
        <w:t xml:space="preserve">oute se retrouve </w:t>
      </w:r>
      <w:r>
        <w:rPr>
          <w:lang w:val="fr-CH"/>
        </w:rPr>
        <w:t>accentué</w:t>
      </w:r>
      <w:r w:rsidRPr="00C16016">
        <w:rPr>
          <w:lang w:val="fr-CH"/>
        </w:rPr>
        <w:t xml:space="preserve"> dans le troisième paragraphe dans lequel Miles affirme </w:t>
      </w:r>
      <w:r>
        <w:rPr>
          <w:lang w:val="fr-CH"/>
        </w:rPr>
        <w:t>« Pour un long, long moment, la chaleur de son corps pressé contre le mien était assez, puis soudain ne l’était plus »</w:t>
      </w:r>
      <w:r>
        <w:rPr>
          <w:rStyle w:val="FootnoteReference"/>
          <w:lang w:val="fr-CH"/>
        </w:rPr>
        <w:footnoteReference w:id="90"/>
      </w:r>
      <w:r>
        <w:rPr>
          <w:lang w:val="fr-CH"/>
        </w:rPr>
        <w:t xml:space="preserve">. Si il se peut que le narrateur soit absolument sincère dans sa description des événements, il est aussi envisageable que, à la manière des fondus au noir dans le film, </w:t>
      </w:r>
      <w:commentRangeStart w:id="1"/>
      <w:r>
        <w:rPr>
          <w:lang w:val="fr-CH"/>
        </w:rPr>
        <w:t>ces passages soient une façon de suggérer une relation sexuelle entre les deux protagonistes.</w:t>
      </w:r>
      <w:commentRangeEnd w:id="1"/>
      <w:r>
        <w:rPr>
          <w:rStyle w:val="CommentReference"/>
        </w:rPr>
        <w:commentReference w:id="1"/>
      </w:r>
    </w:p>
    <w:p w14:paraId="77FA9E04" w14:textId="77777777" w:rsidR="000A3C88" w:rsidRDefault="000A3C88" w:rsidP="009D013F">
      <w:pPr>
        <w:pStyle w:val="Mmoire"/>
        <w:rPr>
          <w:lang w:val="fr-CH"/>
        </w:rPr>
      </w:pPr>
      <w:r>
        <w:rPr>
          <w:lang w:val="fr-CH"/>
        </w:rPr>
        <w:tab/>
        <w:t xml:space="preserve">La scène d’explication est le site d’un autre changement important, cette fois ci au niveau éditoriale, et rapproche le roman du film structurellement: comme abordé plus haut, la scène d’explication du feuilleton et celle du film varient par leur contenu mais aussi par leur place dans le récit. Dans le roman, la scène d’explication chez le Prof. Budlong est transposée manière presque exacte, mais une deuxième scène d’explication –cette fois-ci, axée sur le </w:t>
      </w:r>
      <w:r>
        <w:rPr>
          <w:i/>
          <w:lang w:val="fr-CH"/>
        </w:rPr>
        <w:t>plaidoyer</w:t>
      </w:r>
      <w:r>
        <w:rPr>
          <w:lang w:val="fr-CH"/>
        </w:rPr>
        <w:t xml:space="preserve"> en faveur des </w:t>
      </w:r>
      <w:r>
        <w:rPr>
          <w:i/>
          <w:lang w:val="fr-CH"/>
        </w:rPr>
        <w:t>pod people</w:t>
      </w:r>
      <w:r>
        <w:rPr>
          <w:lang w:val="fr-CH"/>
        </w:rPr>
        <w:t>– est ajoutée… ayant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w:t>
      </w:r>
      <w:r w:rsidRPr="002A6C0F">
        <w:rPr>
          <w:lang w:val="fr-CH"/>
        </w:rPr>
        <w:t>déplacement</w:t>
      </w:r>
      <w:r>
        <w:rPr>
          <w:lang w:val="fr-CH"/>
        </w:rPr>
        <w:t xml:space="preserve"> et ajout est la trace la plus significative de l’influence du texte filmique sur le roman, puisqu’il reproduit une des scènes pour l’inclure à nouveau plus tard dans le récit.</w:t>
      </w:r>
    </w:p>
    <w:p w14:paraId="648CF53D" w14:textId="77777777" w:rsidR="000A3C88" w:rsidRDefault="000A3C88" w:rsidP="007E4EEA">
      <w:pPr>
        <w:pStyle w:val="Mmoire"/>
        <w:rPr>
          <w:lang w:val="fr-CH"/>
        </w:rPr>
      </w:pPr>
      <w:r>
        <w:rPr>
          <w:lang w:val="fr-CH"/>
        </w:rPr>
        <w:lastRenderedPageBreak/>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w:t>
      </w:r>
      <w:r w:rsidRPr="006714B9">
        <w:rPr>
          <w:lang w:val="fr-CH"/>
        </w:rPr>
        <w:t xml:space="preserve"> </w:t>
      </w:r>
      <w:r>
        <w:rPr>
          <w:lang w:val="fr-CH"/>
        </w:rPr>
        <w:t xml:space="preserve">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0EA913AF" w14:textId="77777777" w:rsidR="000A3C88" w:rsidRDefault="000A3C88" w:rsidP="003C7CF1">
      <w:pPr>
        <w:pStyle w:val="Mmoire"/>
        <w:rPr>
          <w:lang w:val="fr-CH"/>
        </w:rPr>
      </w:pPr>
      <w:r>
        <w:rPr>
          <w:lang w:val="fr-CH"/>
        </w:rPr>
        <w:tab/>
        <w:t xml:space="preserve">Difficile de donner ici une réponse définitive quant à l’influence du film dans la conversion du feuilleton au roman, mais certains éléments permettent de au moins imaginer une certaine porosité entre les différentes versions. Dans tous les cas, cette comparaison a montré que les changements apportés par Finney à son histoire lors pour l’édition du roman ne sont pas uniquement imputables au changement de </w:t>
      </w:r>
      <w:r w:rsidRPr="00794963">
        <w:rPr>
          <w:i/>
          <w:lang w:val="fr-CH"/>
        </w:rPr>
        <w:t>format</w:t>
      </w:r>
      <w:r>
        <w:rPr>
          <w:lang w:val="fr-CH"/>
        </w:rPr>
        <w:t xml:space="preserve"> de publication : ils trahissent une volonté de l’auteur d’ajuster son histoire à travers des modifications de fond plus conséquentes. 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0764D0FB" w14:textId="77777777" w:rsidR="000A3C88" w:rsidRDefault="000A3C88" w:rsidP="003C7CF1">
      <w:pPr>
        <w:pStyle w:val="Heading2"/>
        <w:rPr>
          <w:lang w:val="fr-CH"/>
        </w:rPr>
      </w:pPr>
    </w:p>
    <w:p w14:paraId="41B1EDB2" w14:textId="77777777" w:rsidR="000A3C88" w:rsidRDefault="000A3C88" w:rsidP="003C7CF1">
      <w:pPr>
        <w:pStyle w:val="Heading2"/>
        <w:rPr>
          <w:lang w:val="fr-CH"/>
        </w:rPr>
      </w:pPr>
      <w:r w:rsidRPr="0084461A">
        <w:rPr>
          <w:lang w:val="fr-CH"/>
        </w:rPr>
        <w:t>(</w:t>
      </w:r>
      <w:r>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Pr>
          <w:lang w:val="fr-CH"/>
        </w:rPr>
        <w:t xml:space="preserve">littéraire </w:t>
      </w:r>
      <w:r w:rsidRPr="00A26343">
        <w:rPr>
          <w:lang w:val="fr-CH"/>
        </w:rPr>
        <w:t>parallèle</w:t>
      </w:r>
    </w:p>
    <w:p w14:paraId="61F8AE90" w14:textId="77777777" w:rsidR="000A3C88" w:rsidRDefault="000A3C88"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sidRPr="003724FD">
        <w:rPr>
          <w:rStyle w:val="FootnoteReference"/>
        </w:rPr>
        <w:footnoteReference w:id="97"/>
      </w:r>
      <w:r w:rsidRPr="003724FD">
        <w:t xml:space="preserve"> (fig. 1).</w:t>
      </w:r>
      <w:r>
        <w:t xml:space="preserve"> Ce titre sera conservé pour toutes les éditions ultérieures du roman</w:t>
      </w:r>
      <w:r>
        <w:rPr>
          <w:rStyle w:val="FootnoteReference"/>
        </w:rPr>
        <w:footnoteReference w:id="98"/>
      </w:r>
      <w:r>
        <w:t>, avec la mention « </w:t>
      </w:r>
      <w:r w:rsidRPr="00474C78">
        <w:rPr>
          <w:lang w:val="fr-CH"/>
        </w:rPr>
        <w:t xml:space="preserve">By Jack Finney, author of </w:t>
      </w:r>
      <w:r w:rsidRPr="00474C78">
        <w:rPr>
          <w:i/>
          <w:lang w:val="fr-CH"/>
        </w:rPr>
        <w:t>Time and Again</w:t>
      </w:r>
      <w:r w:rsidRPr="002A6C0F">
        <w:rPr>
          <w:lang w:val="fr-CH"/>
        </w:rPr>
        <w:t> </w:t>
      </w:r>
      <w:r>
        <w:t>» remplaçant la référence au film au Kaufman. L’édition « 60</w:t>
      </w:r>
      <w:r w:rsidRPr="00A45A79">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w:t>
      </w:r>
      <w:r w:rsidRPr="00122140">
        <w:t>(fig. 2)</w:t>
      </w:r>
      <w:r>
        <w:t>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celui-ci avec ses adaptations, probablement dans l’espoir que le succès du film de Kaufman attirera un nouveau lectorat.</w:t>
      </w:r>
    </w:p>
    <w:p w14:paraId="1C4DAF8B" w14:textId="77777777" w:rsidR="000A3C88" w:rsidRPr="00D13DB8" w:rsidRDefault="000A3C88" w:rsidP="0027639A">
      <w:pPr>
        <w:pStyle w:val="Mmoire"/>
      </w:pPr>
      <w:r>
        <w:tab/>
        <w:t>Au-delà des changements cosmétiques, les rééditions successives entraînent également leur lot de changements dans le corps même du texte. Une altération intéressante intervient en marge des corrections d’orthographes et de mise en page: alors que le feuilleton ne donne aucune indication quant a une date exacte</w:t>
      </w:r>
      <w:r>
        <w:rPr>
          <w:rStyle w:val="FootnoteReference"/>
        </w:rPr>
        <w:footnoteReference w:id="99"/>
      </w:r>
      <w:r>
        <w:t xml:space="preserve">, la première édition du roman par Dell évoque les dates très précises du « jeudi 13 aout 1953 » (à 6 heures précises, le début des événements du livre) et d’un événement passé s’étant déroulé le « 2 septembre 1944 ». À partir de l’édition de 1978, la deuxième date reste identique alors que le roman ouvre sur un « jeudi 28 octobre </w:t>
      </w:r>
      <w:r>
        <w:lastRenderedPageBreak/>
        <w:t xml:space="preserve">1976 » (toujours à 6 heures précise) : il est évident que ces deux éditions placent l’histoire deux années avant la publication. Afin d’éviter certains anachronismes, l’éditeur change également un autre élément </w:t>
      </w:r>
      <w:r w:rsidRPr="0018193E">
        <w:rPr>
          <w:i/>
        </w:rPr>
        <w:t>crucial</w:t>
      </w:r>
      <w:r>
        <w:rPr>
          <w:i/>
        </w:rPr>
        <w:t>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sidRPr="00743689">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 filmique qui bénéficie du publique de sa série parallèle, obéissant à une logique commerciale de synergies : les deux produits étant adressés à un public similaire</w:t>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–ou de </w:t>
      </w:r>
      <w:r>
        <w:rPr>
          <w:i/>
        </w:rPr>
        <w:t>produits dérivés</w:t>
      </w:r>
      <w:r>
        <w:t xml:space="preserve"> en général– permet à chacun des produits de profiter du retentissement médiatique de l’autre. Ces </w:t>
      </w:r>
      <w:r w:rsidRPr="00173844">
        <w:rPr>
          <w:i/>
        </w:rPr>
        <w:t>produits dérivés</w:t>
      </w:r>
      <w:r>
        <w:t xml:space="preserve"> ayant pour effet de solidifier la place du film dans la culture populaire par un processus d’artéfaction, créant des conditions idéales envers sa </w:t>
      </w:r>
      <w:r w:rsidRPr="002B7B48">
        <w:t>canonisation</w:t>
      </w:r>
      <w:r>
        <w:t>.</w:t>
      </w:r>
    </w:p>
    <w:p w14:paraId="3EDD77AB" w14:textId="6ADA1904" w:rsidR="00D11694" w:rsidRPr="00790665" w:rsidRDefault="00BC4A5E" w:rsidP="00790665">
      <w:pPr>
        <w:pStyle w:val="Mmoire"/>
      </w:pPr>
      <w:bookmarkStart w:id="2" w:name="_GoBack"/>
      <w:bookmarkEnd w:id="2"/>
      <w:r w:rsidRPr="004E1601">
        <w:rPr>
          <w:lang w:val="fr-CH"/>
        </w:rPr>
        <w:t xml:space="preserve"> </w:t>
      </w:r>
    </w:p>
    <w:sectPr w:rsidR="00D11694" w:rsidRPr="00790665"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3T17:54:00Z" w:initials="JB">
    <w:p w14:paraId="3ED744FB" w14:textId="4F9DF2C0" w:rsidR="00123E62" w:rsidRPr="00123E62" w:rsidRDefault="00123E62">
      <w:pPr>
        <w:pStyle w:val="CommentText"/>
        <w:rPr>
          <w:lang w:val="en-GB"/>
        </w:rPr>
      </w:pPr>
      <w:r>
        <w:rPr>
          <w:rStyle w:val="CommentReference"/>
        </w:rPr>
        <w:annotationRef/>
      </w:r>
      <w:r w:rsidRPr="00123E62">
        <w:rPr>
          <w:lang w:val="en-GB"/>
        </w:rPr>
        <w:t xml:space="preserve">« B » rating from the league of decency for the divorce ! </w:t>
      </w:r>
      <w:r>
        <w:rPr>
          <w:lang w:val="en-GB"/>
        </w:rPr>
        <w:t>+ MPAA (voir Hoberman, Army of Phantoms)</w:t>
      </w:r>
    </w:p>
  </w:comment>
  <w:comment w:id="1" w:author="Anas Sareen" w:date="2016-12-11T18:03:00Z" w:initials="AS">
    <w:p w14:paraId="21648742" w14:textId="77777777" w:rsidR="000A3C88" w:rsidRPr="002D503C" w:rsidRDefault="000A3C88">
      <w:pPr>
        <w:pStyle w:val="CommentText"/>
        <w:rPr>
          <w:lang w:val="en-GB"/>
        </w:rPr>
      </w:pPr>
      <w:r>
        <w:rPr>
          <w:rStyle w:val="CommentReference"/>
        </w:rPr>
        <w:annotationRef/>
      </w:r>
      <w:r w:rsidRPr="002D503C">
        <w:rPr>
          <w:lang w:val="en-GB"/>
        </w:rPr>
        <w:t xml:space="preserve">MAKE SOMETHING OF THIS : THE NOVEL GOES BEYOND THE HAYS CODE, AND FURTHERS THE EROTIC DIMENSION OF THE TEXT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744FB" w15:done="0"/>
  <w15:commentEx w15:paraId="216487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5451A" w14:textId="77777777" w:rsidR="002D3D18" w:rsidRDefault="002D3D18" w:rsidP="00173138">
      <w:r>
        <w:separator/>
      </w:r>
    </w:p>
  </w:endnote>
  <w:endnote w:type="continuationSeparator" w:id="0">
    <w:p w14:paraId="5A06680A" w14:textId="77777777" w:rsidR="002D3D18" w:rsidRDefault="002D3D18"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AB4A5E" w:rsidRDefault="00AB4A5E"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AB4A5E" w:rsidRDefault="00AB4A5E"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AB4A5E" w:rsidRPr="00A50EFA" w:rsidRDefault="00AB4A5E"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F15B16">
      <w:rPr>
        <w:rStyle w:val="PageNumber"/>
        <w:noProof/>
        <w:sz w:val="22"/>
      </w:rPr>
      <w:t>15</w:t>
    </w:r>
    <w:r w:rsidRPr="00A50EFA">
      <w:rPr>
        <w:rStyle w:val="PageNumber"/>
        <w:sz w:val="22"/>
      </w:rPr>
      <w:fldChar w:fldCharType="end"/>
    </w:r>
  </w:p>
  <w:p w14:paraId="6A6EF380" w14:textId="77777777" w:rsidR="00AB4A5E" w:rsidRDefault="00AB4A5E"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24D7C" w14:textId="77777777" w:rsidR="002D3D18" w:rsidRDefault="002D3D18" w:rsidP="00173138">
      <w:r>
        <w:separator/>
      </w:r>
    </w:p>
  </w:footnote>
  <w:footnote w:type="continuationSeparator" w:id="0">
    <w:p w14:paraId="07E8A38B" w14:textId="77777777" w:rsidR="002D3D18" w:rsidRDefault="002D3D18" w:rsidP="00173138">
      <w:r>
        <w:continuationSeparator/>
      </w:r>
    </w:p>
  </w:footnote>
  <w:footnote w:id="1">
    <w:p w14:paraId="28A5C37F" w14:textId="77777777" w:rsidR="000A3C88" w:rsidRPr="005E6AE3" w:rsidRDefault="000A3C88">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7A49B4C7" w14:textId="77777777" w:rsidR="000A3C88" w:rsidRPr="000453E3" w:rsidRDefault="000A3C88">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hyperlink r:id="rId1" w:history="1">
        <w:r w:rsidRPr="000453E3">
          <w:rPr>
            <w:rStyle w:val="Hyperlink"/>
            <w:lang w:val="fr-CH"/>
          </w:rPr>
          <w:t>http://spartacus-educational.com/USAcolliers.htm</w:t>
        </w:r>
      </w:hyperlink>
      <w:r w:rsidRPr="000453E3">
        <w:rPr>
          <w:lang w:val="fr-CH"/>
        </w:rPr>
        <w:t>, consulté le 09.12.2016</w:t>
      </w:r>
      <w:r>
        <w:rPr>
          <w:lang w:val="fr-CH"/>
        </w:rPr>
        <w:t>.</w:t>
      </w:r>
    </w:p>
  </w:footnote>
  <w:footnote w:id="3">
    <w:p w14:paraId="78A927BB" w14:textId="77777777" w:rsidR="000A3C88" w:rsidRPr="001F629C" w:rsidRDefault="000A3C88">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r w:rsidRPr="001F629C">
        <w:rPr>
          <w:lang w:val="en-GB"/>
        </w:rPr>
        <w:t>Voir « </w:t>
      </w:r>
      <w:r w:rsidRPr="001F629C">
        <w:rPr>
          <w:i/>
          <w:lang w:val="en-GB"/>
        </w:rPr>
        <w:t>5 Against the House</w:t>
      </w:r>
      <w:r w:rsidRPr="001F629C">
        <w:rPr>
          <w:lang w:val="en-GB"/>
        </w:rPr>
        <w:t xml:space="preserve"> », AFI : Catalog of Feature Films, </w:t>
      </w:r>
      <w:hyperlink r:id="rId2" w:history="1">
        <w:r w:rsidRPr="001954CB">
          <w:rPr>
            <w:rStyle w:val="Hyperlink"/>
            <w:lang w:val="en-GB"/>
          </w:rPr>
          <w:t>http://www.afi.com/members/catalog/DetailView.aspx?s=&amp;Movie=51499</w:t>
        </w:r>
      </w:hyperlink>
      <w:r>
        <w:rPr>
          <w:lang w:val="en-GB"/>
        </w:rPr>
        <w:t>, consulté le 09.12.2016.</w:t>
      </w:r>
    </w:p>
  </w:footnote>
  <w:footnote w:id="4">
    <w:p w14:paraId="0C663170" w14:textId="77777777" w:rsidR="000A3C88" w:rsidRPr="00AE43D1" w:rsidRDefault="000A3C88">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r w:rsidRPr="00AE43D1">
        <w:rPr>
          <w:i/>
          <w:lang w:val="en-US"/>
        </w:rPr>
        <w:t>Litterature/Film Quarterly</w:t>
      </w:r>
      <w:r>
        <w:rPr>
          <w:lang w:val="en-US"/>
        </w:rPr>
        <w:t>, Vol. 6, No. 3, été 1978, p</w:t>
      </w:r>
      <w:r w:rsidRPr="00AE43D1">
        <w:rPr>
          <w:lang w:val="en-US"/>
        </w:rPr>
        <w:t xml:space="preserve">. </w:t>
      </w:r>
      <w:r>
        <w:rPr>
          <w:lang w:val="en-US"/>
        </w:rPr>
        <w:t>287</w:t>
      </w:r>
      <w:r w:rsidRPr="00AE43D1">
        <w:rPr>
          <w:lang w:val="en-US"/>
        </w:rPr>
        <w:t>.</w:t>
      </w:r>
    </w:p>
  </w:footnote>
  <w:footnote w:id="5">
    <w:p w14:paraId="47835CF2" w14:textId="77777777" w:rsidR="000A3C88" w:rsidRPr="00DE294E" w:rsidRDefault="000A3C88">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15917FCA" w14:textId="77777777" w:rsidR="000A3C88" w:rsidRPr="001F2378" w:rsidRDefault="000A3C88">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9E033FD" w14:textId="77777777" w:rsidR="000A3C88" w:rsidRPr="00CB1744" w:rsidRDefault="000A3C88">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9372EF3" w14:textId="77777777" w:rsidR="000A3C88" w:rsidRPr="009C6629" w:rsidRDefault="000A3C88" w:rsidP="009C6629">
      <w:pPr>
        <w:pStyle w:val="FootnoteText"/>
        <w:rPr>
          <w:lang w:val="en-GB"/>
        </w:rPr>
      </w:pPr>
      <w:r>
        <w:rPr>
          <w:rStyle w:val="FootnoteReference"/>
        </w:rPr>
        <w:footnoteRef/>
      </w:r>
      <w:r w:rsidRPr="009C6629">
        <w:rPr>
          <w:lang w:val="en-GB"/>
        </w:rPr>
        <w:t xml:space="preserve"> </w:t>
      </w:r>
      <w:r w:rsidRPr="00AE43D1">
        <w:rPr>
          <w:lang w:val="en-GB"/>
        </w:rPr>
        <w:t>«</w:t>
      </w:r>
      <w:r>
        <w:rPr>
          <w:lang w:val="en-GB"/>
        </w:rPr>
        <w:t xml:space="preserve"> </w:t>
      </w:r>
      <w:r w:rsidRPr="009C6629">
        <w:rPr>
          <w:lang w:val="en-GB"/>
        </w:rPr>
        <w:t xml:space="preserve">The light over a billiard table is designed to light up the table surface brilliantly. It hangs low so it won't shine in your eyes as you play, and it </w:t>
      </w:r>
      <w:r>
        <w:rPr>
          <w:lang w:val="en-GB"/>
        </w:rPr>
        <w:t>leaves the ceiling in darkness.</w:t>
      </w:r>
      <w:r w:rsidRPr="009C6629">
        <w:rPr>
          <w:lang w:val="en-US"/>
        </w:rPr>
        <w:t xml:space="preserve"> </w:t>
      </w:r>
      <w:r w:rsidRPr="00AE43D1">
        <w:rPr>
          <w:lang w:val="en-US"/>
        </w:rPr>
        <w:t>»</w:t>
      </w:r>
      <w:r>
        <w:rPr>
          <w:lang w:val="en-US"/>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94.</w:t>
      </w:r>
    </w:p>
  </w:footnote>
  <w:footnote w:id="9">
    <w:p w14:paraId="55110967" w14:textId="77777777" w:rsidR="000A3C88" w:rsidRPr="00330D2B" w:rsidRDefault="000A3C88" w:rsidP="00330D2B">
      <w:pPr>
        <w:pStyle w:val="FootnoteText"/>
        <w:rPr>
          <w:lang w:val="en-GB"/>
        </w:rPr>
      </w:pPr>
      <w:r>
        <w:rPr>
          <w:rStyle w:val="FootnoteReference"/>
        </w:rPr>
        <w:footnoteRef/>
      </w:r>
      <w:r w:rsidRPr="00330D2B">
        <w:rPr>
          <w:lang w:val="en-GB"/>
        </w:rPr>
        <w:t xml:space="preserve"> </w:t>
      </w:r>
      <w:r w:rsidRPr="00AE43D1">
        <w:rPr>
          <w:lang w:val="en-GB"/>
        </w:rPr>
        <w:t>«</w:t>
      </w:r>
      <w:r>
        <w:rPr>
          <w:lang w:val="en-GB"/>
        </w:rPr>
        <w:t xml:space="preserve"> </w:t>
      </w:r>
      <w:r w:rsidRPr="00330D2B">
        <w:rPr>
          <w:lang w:val="en-GB"/>
        </w:rPr>
        <w:t>The shade still swung in a tiny half-inch arc, the light spilling off over the edge of the table, then retreating to the open eyes of the body, leaving the smooth forehead in semi-dark for an instant</w:t>
      </w:r>
      <w:r>
        <w:rPr>
          <w:lang w:val="en-GB"/>
        </w:rPr>
        <w:t xml:space="preserve">. </w:t>
      </w:r>
      <w:r w:rsidRPr="00DE294E">
        <w:rPr>
          <w:lang w:val="en-GB"/>
        </w:rPr>
        <w:t>»</w:t>
      </w:r>
      <w:r>
        <w:rPr>
          <w:lang w:val="en-GB"/>
        </w:rPr>
        <w:t>.</w:t>
      </w:r>
      <w:r w:rsidRPr="00330D2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97.</w:t>
      </w:r>
    </w:p>
  </w:footnote>
  <w:footnote w:id="10">
    <w:p w14:paraId="09A28844" w14:textId="77777777" w:rsidR="000A3C88" w:rsidRPr="00616D97" w:rsidRDefault="000A3C88">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 xml:space="preserve">(éd.), </w:t>
      </w:r>
      <w:r w:rsidRPr="00616D97">
        <w:rPr>
          <w:i/>
          <w:lang w:val="en-US"/>
        </w:rPr>
        <w:t>Invasion of the Body Snatchers</w:t>
      </w:r>
      <w:r w:rsidRPr="00616D97">
        <w:rPr>
          <w:lang w:val="en-US"/>
        </w:rPr>
        <w:t>, New Brunswick,</w:t>
      </w:r>
      <w:r>
        <w:rPr>
          <w:lang w:val="en-US"/>
        </w:rPr>
        <w:t xml:space="preserve"> Rutgers University Press, 1989, p. 3.</w:t>
      </w:r>
    </w:p>
  </w:footnote>
  <w:footnote w:id="11">
    <w:p w14:paraId="3B5255FF" w14:textId="77777777" w:rsidR="000A3C88" w:rsidRPr="001359D0" w:rsidRDefault="000A3C88">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ibid.</w:t>
      </w:r>
      <w:r>
        <w:rPr>
          <w:lang w:val="en-US"/>
        </w:rPr>
        <w:t>, p. 3.</w:t>
      </w:r>
    </w:p>
  </w:footnote>
  <w:footnote w:id="12">
    <w:p w14:paraId="60B9E170" w14:textId="77777777" w:rsidR="000A3C88" w:rsidRPr="00615115" w:rsidRDefault="000A3C88">
      <w:pPr>
        <w:pStyle w:val="FootnoteText"/>
        <w:rPr>
          <w:lang w:val="en-US"/>
        </w:rPr>
      </w:pPr>
      <w:r>
        <w:rPr>
          <w:rStyle w:val="FootnoteReference"/>
        </w:rPr>
        <w:footnoteRef/>
      </w:r>
      <w:r w:rsidRPr="00615115">
        <w:rPr>
          <w:lang w:val="en-GB"/>
        </w:rPr>
        <w:t xml:space="preserve"> </w:t>
      </w:r>
      <w:r w:rsidRPr="000453E3">
        <w:rPr>
          <w:lang w:val="en-US"/>
        </w:rPr>
        <w:t xml:space="preserve">Un compte rendu détaillé du tournage, jour-par-jour, est donné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Duncan, BearManor, 2012</w:t>
      </w:r>
      <w:r>
        <w:rPr>
          <w:lang w:val="en-US"/>
        </w:rPr>
        <w:t>, pp. 43-59</w:t>
      </w:r>
      <w:r w:rsidRPr="00615115">
        <w:rPr>
          <w:lang w:val="en-US"/>
        </w:rPr>
        <w:t>.</w:t>
      </w:r>
    </w:p>
  </w:footnote>
  <w:footnote w:id="13">
    <w:p w14:paraId="560A82AB" w14:textId="77777777" w:rsidR="000A3C88" w:rsidRPr="000453E3" w:rsidRDefault="000A3C88">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r w:rsidRPr="000453E3">
        <w:rPr>
          <w:lang w:val="en-GB"/>
        </w:rPr>
        <w:t xml:space="preserve">Cité dans Barry Keith Grant, </w:t>
      </w:r>
      <w:r w:rsidRPr="000453E3">
        <w:rPr>
          <w:i/>
          <w:lang w:val="en-GB"/>
        </w:rPr>
        <w:t>op. cit.</w:t>
      </w:r>
      <w:r w:rsidRPr="000453E3">
        <w:rPr>
          <w:lang w:val="en-GB"/>
        </w:rPr>
        <w:t>, p. 35.</w:t>
      </w:r>
    </w:p>
  </w:footnote>
  <w:footnote w:id="14">
    <w:p w14:paraId="6C43B30F" w14:textId="77777777" w:rsidR="000A3C88" w:rsidRPr="00714EA0" w:rsidRDefault="000A3C88">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5">
    <w:p w14:paraId="7C393796" w14:textId="77777777" w:rsidR="000A3C88" w:rsidRPr="00F150B4" w:rsidRDefault="000A3C88">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24 aout 1955, 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142.</w:t>
      </w:r>
    </w:p>
  </w:footnote>
  <w:footnote w:id="16">
    <w:p w14:paraId="3A16807C" w14:textId="77777777" w:rsidR="000A3C88" w:rsidRPr="00DA4D71" w:rsidRDefault="000A3C88">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7">
    <w:p w14:paraId="0C4BECCB" w14:textId="77777777" w:rsidR="000A3C88" w:rsidRPr="007D4D4D" w:rsidRDefault="000A3C88">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790665">
        <w:rPr>
          <w:lang w:val="fr-CH"/>
        </w:rPr>
        <w:t xml:space="preserve">Al LaValley (éd.), </w:t>
      </w:r>
      <w:r w:rsidRPr="00790665">
        <w:rPr>
          <w:i/>
          <w:lang w:val="fr-CH"/>
        </w:rPr>
        <w:t>op. cit.</w:t>
      </w:r>
      <w:r w:rsidRPr="00790665">
        <w:rPr>
          <w:lang w:val="fr-CH"/>
        </w:rPr>
        <w:t>, p. 132.</w:t>
      </w:r>
    </w:p>
  </w:footnote>
  <w:footnote w:id="18">
    <w:p w14:paraId="57C7CFC2" w14:textId="77777777" w:rsidR="000A3C88" w:rsidRPr="000453E3" w:rsidRDefault="000A3C88">
      <w:pPr>
        <w:pStyle w:val="FootnoteText"/>
        <w:rPr>
          <w:lang w:val="fr-CH"/>
        </w:rPr>
      </w:pPr>
      <w:r>
        <w:rPr>
          <w:rStyle w:val="FootnoteReference"/>
        </w:rPr>
        <w:footnoteRef/>
      </w:r>
      <w:r w:rsidRPr="000453E3">
        <w:rPr>
          <w:lang w:val="fr-CH"/>
        </w:rPr>
        <w:t xml:space="preserve"> Walter Wagner, « The Body Snatchers – Memorandum », 8 juillet 1955, reproduit dans Al LaValley (éd.), </w:t>
      </w:r>
      <w:r w:rsidRPr="000453E3">
        <w:rPr>
          <w:i/>
          <w:lang w:val="fr-CH"/>
        </w:rPr>
        <w:t>op. cit.</w:t>
      </w:r>
      <w:r w:rsidRPr="000453E3">
        <w:rPr>
          <w:lang w:val="fr-CH"/>
        </w:rPr>
        <w:t>, pp. 134-137.</w:t>
      </w:r>
    </w:p>
  </w:footnote>
  <w:footnote w:id="19">
    <w:p w14:paraId="277A1F2B" w14:textId="77777777" w:rsidR="000A3C88" w:rsidRPr="001647B1" w:rsidRDefault="000A3C88">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130A785C" w14:textId="77777777" w:rsidR="000A3C88" w:rsidRPr="002762C4" w:rsidRDefault="000A3C88">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1">
    <w:p w14:paraId="13B81CB1" w14:textId="77777777" w:rsidR="000A3C88" w:rsidRPr="00790665" w:rsidRDefault="000A3C88">
      <w:pPr>
        <w:pStyle w:val="FootnoteText"/>
        <w:rPr>
          <w:lang w:val="en-GB"/>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2">
    <w:p w14:paraId="19317FC8" w14:textId="77777777" w:rsidR="000A3C88" w:rsidRPr="005D1991" w:rsidRDefault="000A3C88">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14.</w:t>
      </w:r>
    </w:p>
  </w:footnote>
  <w:footnote w:id="23">
    <w:p w14:paraId="1AFFC817" w14:textId="77777777" w:rsidR="000A3C88" w:rsidRPr="00DD5163" w:rsidRDefault="000A3C88">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4">
    <w:p w14:paraId="61ABE92E" w14:textId="77777777" w:rsidR="000A3C88" w:rsidRPr="0033473D" w:rsidRDefault="000A3C88"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24 décembre</w:t>
      </w:r>
      <w:r>
        <w:rPr>
          <w:lang w:val="en-GB"/>
        </w:rPr>
        <w:t xml:space="preserve"> 1954, p. 73.</w:t>
      </w:r>
    </w:p>
  </w:footnote>
  <w:footnote w:id="25">
    <w:p w14:paraId="1B1D66D9" w14:textId="77777777" w:rsidR="000A3C88" w:rsidRPr="007272D0" w:rsidRDefault="000A3C88">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1FF6434" w14:textId="77777777" w:rsidR="000A3C88" w:rsidRPr="00E714B8" w:rsidRDefault="000A3C88">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4DB402C5" w14:textId="77777777" w:rsidR="000A3C88" w:rsidRPr="00273E7D" w:rsidRDefault="000A3C88">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15.</w:t>
      </w:r>
    </w:p>
  </w:footnote>
  <w:footnote w:id="28">
    <w:p w14:paraId="0DDB1E47" w14:textId="77777777" w:rsidR="000A3C88" w:rsidRPr="004453D9" w:rsidRDefault="000A3C88">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2A25540C" w14:textId="77777777" w:rsidR="000A3C88" w:rsidRPr="00473CD2" w:rsidRDefault="000A3C88">
      <w:pPr>
        <w:pStyle w:val="FootnoteText"/>
        <w:rPr>
          <w:lang w:val="fr-CH"/>
        </w:rPr>
      </w:pPr>
      <w:r>
        <w:rPr>
          <w:rStyle w:val="FootnoteReference"/>
        </w:rPr>
        <w:footnoteRef/>
      </w:r>
      <w:r>
        <w:t xml:space="preserve"> Don Siegel, « Letter to Walter Wagner »,  19 mai 1955, reproduit dans </w:t>
      </w:r>
      <w:r w:rsidRPr="00BD3D47">
        <w:rPr>
          <w:lang w:val="fr-CH"/>
        </w:rPr>
        <w:t xml:space="preserve">Al LaValley (éd.), </w:t>
      </w:r>
      <w:r w:rsidRPr="00BD3D47">
        <w:rPr>
          <w:i/>
          <w:lang w:val="fr-CH"/>
        </w:rPr>
        <w:t>op. cit.</w:t>
      </w:r>
      <w:r w:rsidRPr="00BD3D47">
        <w:rPr>
          <w:lang w:val="fr-CH"/>
        </w:rPr>
        <w:t xml:space="preserve">, pp. 129-132; </w:t>
      </w:r>
      <w:r>
        <w:t xml:space="preserve">Don Siegel, « Memorandum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30">
    <w:p w14:paraId="75162A6C" w14:textId="77777777" w:rsidR="000A3C88" w:rsidRPr="002835A0" w:rsidRDefault="000A3C88">
      <w:pPr>
        <w:pStyle w:val="FootnoteText"/>
        <w:rPr>
          <w:lang w:val="en-GB"/>
        </w:rPr>
      </w:pPr>
      <w:r>
        <w:rPr>
          <w:rStyle w:val="FootnoteReference"/>
        </w:rPr>
        <w:footnoteRef/>
      </w:r>
      <w:r w:rsidRPr="002835A0">
        <w:rPr>
          <w:lang w:val="en-GB"/>
        </w:rPr>
        <w:t xml:space="preserve"> Walter Wagner, « Suggestions for Additions to the Film », 3 mai 1955, </w:t>
      </w:r>
      <w:r w:rsidRPr="000453E3">
        <w:rPr>
          <w:lang w:val="en-GB"/>
        </w:rPr>
        <w:t>reproduit dans</w:t>
      </w:r>
      <w:r w:rsidRPr="002835A0">
        <w:rPr>
          <w:lang w:val="en-GB"/>
        </w:rPr>
        <w:t xml:space="preserve"> Al LaValley (éd.), </w:t>
      </w:r>
      <w:r w:rsidRPr="002835A0">
        <w:rPr>
          <w:i/>
          <w:lang w:val="en-GB"/>
        </w:rPr>
        <w:t>op. cit.</w:t>
      </w:r>
      <w:r w:rsidRPr="002835A0">
        <w:rPr>
          <w:lang w:val="en-GB"/>
        </w:rPr>
        <w:t xml:space="preserve">, pp. </w:t>
      </w:r>
      <w:r>
        <w:rPr>
          <w:lang w:val="en-GB"/>
        </w:rPr>
        <w:t xml:space="preserve">133-134; </w:t>
      </w:r>
      <w:r w:rsidRPr="00990D12">
        <w:rPr>
          <w:lang w:val="en-GB"/>
        </w:rPr>
        <w:t>Walter Wagner, « The Body Snatchers – Memorandum », 8 juillet 1955,</w:t>
      </w:r>
      <w:r>
        <w:rPr>
          <w:lang w:val="en-GB"/>
        </w:rPr>
        <w:t xml:space="preserve"> </w:t>
      </w:r>
      <w:r w:rsidRPr="000453E3">
        <w:rPr>
          <w:lang w:val="en-GB"/>
        </w:rPr>
        <w:t>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134-137.</w:t>
      </w:r>
    </w:p>
  </w:footnote>
  <w:footnote w:id="31">
    <w:p w14:paraId="6E6657CF" w14:textId="77777777" w:rsidR="000A3C88" w:rsidRPr="00F44F69" w:rsidRDefault="000A3C88">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674393A9" w14:textId="77777777" w:rsidR="000A3C88" w:rsidRPr="000453E3" w:rsidRDefault="000A3C88">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126.</w:t>
      </w:r>
    </w:p>
  </w:footnote>
  <w:footnote w:id="33">
    <w:p w14:paraId="2684B727" w14:textId="77777777" w:rsidR="000A3C88" w:rsidRPr="00F245C7" w:rsidRDefault="000A3C88">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Vol. 4, No. 5, m</w:t>
      </w:r>
      <w:r>
        <w:rPr>
          <w:lang w:val="en-US"/>
        </w:rPr>
        <w:t>ai 1994, p. 30</w:t>
      </w:r>
    </w:p>
  </w:footnote>
  <w:footnote w:id="34">
    <w:p w14:paraId="4C731734" w14:textId="77777777" w:rsidR="000A3C88" w:rsidRPr="0054296B" w:rsidRDefault="000A3C88">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5">
    <w:p w14:paraId="764DFD07" w14:textId="77777777" w:rsidR="000A3C88" w:rsidRPr="00BD7D03" w:rsidRDefault="000A3C88">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6">
    <w:p w14:paraId="28F0FF43" w14:textId="77777777" w:rsidR="000A3C88" w:rsidRPr="00674BEA" w:rsidRDefault="000A3C88">
      <w:pPr>
        <w:pStyle w:val="FootnoteText"/>
        <w:rPr>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Jr, </w:t>
      </w:r>
      <w:r w:rsidRPr="00674BEA">
        <w:rPr>
          <w:i/>
          <w:szCs w:val="20"/>
          <w:lang w:val="en-US"/>
        </w:rPr>
        <w:t>Hostile Aliens, Hollywood and Today’s News. 1950s Science Fiction Films and 9/11</w:t>
      </w:r>
      <w:r w:rsidRPr="00674BEA">
        <w:rPr>
          <w:szCs w:val="20"/>
          <w:lang w:val="en-US"/>
        </w:rPr>
        <w:t>, New York, Algora Publishing, 2007, p. 39.</w:t>
      </w:r>
    </w:p>
  </w:footnote>
  <w:footnote w:id="37">
    <w:p w14:paraId="407D81C9" w14:textId="77777777" w:rsidR="000A3C88" w:rsidRPr="00D43576" w:rsidRDefault="000A3C88">
      <w:pPr>
        <w:pStyle w:val="FootnoteText"/>
        <w:rPr>
          <w:szCs w:val="20"/>
          <w:lang w:val="en-US"/>
        </w:rPr>
      </w:pPr>
      <w:r w:rsidRPr="00674BEA">
        <w:rPr>
          <w:rStyle w:val="FootnoteReference"/>
          <w:szCs w:val="20"/>
        </w:rPr>
        <w:footnoteRef/>
      </w:r>
      <w:r w:rsidRPr="00674BEA">
        <w:rPr>
          <w:szCs w:val="20"/>
          <w:lang w:val="en-GB"/>
        </w:rPr>
        <w:t xml:space="preserve"> « The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Westport CT/London, Praeger, 2006, p. 64.</w:t>
      </w:r>
    </w:p>
  </w:footnote>
  <w:footnote w:id="38">
    <w:p w14:paraId="29E8CAB2" w14:textId="77777777" w:rsidR="000A3C88" w:rsidRPr="00B275A4" w:rsidRDefault="000A3C88">
      <w:pPr>
        <w:pStyle w:val="FootnoteText"/>
        <w:rPr>
          <w:szCs w:val="20"/>
          <w:lang w:val="fr-CH"/>
        </w:rPr>
      </w:pPr>
      <w:r w:rsidRPr="0030314E">
        <w:rPr>
          <w:rStyle w:val="FootnoteReference"/>
          <w:szCs w:val="20"/>
        </w:rPr>
        <w:footnoteRef/>
      </w:r>
      <w:r w:rsidRPr="00043CAF">
        <w:rPr>
          <w:szCs w:val="20"/>
        </w:rPr>
        <w:t xml:space="preserve"> S’aidant en réalité de « deux tablettes de Benzedrine », un des noms sous lesquels l’amphétamine était commerc</w:t>
      </w:r>
      <w:r w:rsidRPr="00F416FE">
        <w:rPr>
          <w:szCs w:val="20"/>
        </w:rPr>
        <w:t>ialisée. Le travail reviendra ultérieurement plus en détail sur l’utilisation de la drogue et le discours médical dans les films.</w:t>
      </w:r>
    </w:p>
  </w:footnote>
  <w:footnote w:id="39">
    <w:p w14:paraId="62B4DDDD"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40">
    <w:p w14:paraId="4FB040E6"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a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41">
    <w:p w14:paraId="37B69AB0"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 How the FBI had intercepted the people trying to take pods to other towns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
  </w:footnote>
  <w:footnote w:id="42">
    <w:p w14:paraId="73591153" w14:textId="77777777" w:rsidR="000A3C88" w:rsidRPr="00B275A4" w:rsidRDefault="000A3C88">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3">
    <w:p w14:paraId="3AFA909E" w14:textId="77777777" w:rsidR="000A3C88" w:rsidRPr="00F62E57" w:rsidRDefault="000A3C88">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r>
        <w:rPr>
          <w:szCs w:val="20"/>
          <w:lang w:val="fr-CH"/>
        </w:rPr>
        <w:t xml:space="preserve"> </w:t>
      </w:r>
      <w:r w:rsidRPr="00F62E57">
        <w:rPr>
          <w:szCs w:val="20"/>
          <w:lang w:val="fr-CH"/>
        </w:rPr>
        <w:t xml:space="preserve">du 21 septembre 1955. </w:t>
      </w:r>
      <w:r w:rsidRPr="00F62E57">
        <w:rPr>
          <w:szCs w:val="20"/>
          <w:lang w:val="en-GB"/>
        </w:rPr>
        <w:t xml:space="preserve">Barry Keith Grant, </w:t>
      </w:r>
      <w:r w:rsidRPr="00F62E57">
        <w:rPr>
          <w:i/>
          <w:szCs w:val="20"/>
          <w:lang w:val="en-GB"/>
        </w:rPr>
        <w:t>ibid.</w:t>
      </w:r>
    </w:p>
  </w:footnote>
  <w:footnote w:id="44">
    <w:p w14:paraId="398AD3CB" w14:textId="77777777" w:rsidR="000A3C88" w:rsidRPr="00D43576" w:rsidRDefault="000A3C88">
      <w:pPr>
        <w:pStyle w:val="FootnoteText"/>
        <w:rPr>
          <w:szCs w:val="20"/>
          <w:lang w:val="en-GB"/>
        </w:rPr>
      </w:pPr>
      <w:r w:rsidRPr="00D43576">
        <w:rPr>
          <w:rStyle w:val="FootnoteReference"/>
          <w:szCs w:val="20"/>
        </w:rPr>
        <w:footnoteRef/>
      </w:r>
      <w:r w:rsidRPr="00D43576">
        <w:rPr>
          <w:szCs w:val="20"/>
          <w:lang w:val="en-GB"/>
        </w:rPr>
        <w:t xml:space="preserve"> Stuart M. Kaminsky, « Don Siegel on the Pod Society », in Thomas R. Adkins (éd.), </w:t>
      </w:r>
      <w:r w:rsidRPr="00D43576">
        <w:rPr>
          <w:i/>
          <w:szCs w:val="20"/>
          <w:lang w:val="en-GB"/>
        </w:rPr>
        <w:t>Science Fiction Films</w:t>
      </w:r>
      <w:r w:rsidRPr="00D43576">
        <w:rPr>
          <w:szCs w:val="20"/>
          <w:lang w:val="en-GB"/>
        </w:rPr>
        <w:t>, New York, Simon and Schustrer, 1976, pp. 73-82.</w:t>
      </w:r>
    </w:p>
  </w:footnote>
  <w:footnote w:id="45">
    <w:p w14:paraId="1DEBD6C9" w14:textId="77777777" w:rsidR="000A3C88" w:rsidRPr="00F200CA" w:rsidRDefault="000A3C88">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r w:rsidRPr="00B275A4">
        <w:rPr>
          <w:szCs w:val="20"/>
          <w:lang w:val="en-GB"/>
        </w:rPr>
        <w:t xml:space="preserve">Voir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London, I.B. Tauris, 2014, p. 49.</w:t>
      </w:r>
    </w:p>
  </w:footnote>
  <w:footnote w:id="46">
    <w:p w14:paraId="7B9B8DCB" w14:textId="77777777" w:rsidR="000A3C88" w:rsidRPr="0036714B" w:rsidRDefault="000A3C88">
      <w:pPr>
        <w:pStyle w:val="FootnoteText"/>
        <w:rPr>
          <w:lang w:val="en-US"/>
        </w:rPr>
      </w:pPr>
      <w:r>
        <w:rPr>
          <w:rStyle w:val="FootnoteReference"/>
        </w:rPr>
        <w:footnoteRef/>
      </w:r>
      <w:r w:rsidRPr="0036714B">
        <w:rPr>
          <w:lang w:val="en-GB"/>
        </w:rPr>
        <w:t xml:space="preserve"> </w:t>
      </w:r>
      <w:r w:rsidRPr="00474C78">
        <w:rPr>
          <w:lang w:val="en-GB"/>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7">
    <w:p w14:paraId="199BAE78" w14:textId="77777777" w:rsidR="000A3C88" w:rsidRPr="002367B5" w:rsidRDefault="000A3C88">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0480DFAE" w14:textId="77777777" w:rsidR="000A3C88" w:rsidRPr="005D0D75" w:rsidRDefault="000A3C88">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sidRPr="005D0D75">
        <w:rPr>
          <w:lang w:val="en-GB"/>
        </w:rPr>
        <w:t xml:space="preserve">Voir J. P. Telotte, </w:t>
      </w:r>
      <w:r w:rsidRPr="005D0D75">
        <w:rPr>
          <w:i/>
          <w:lang w:val="en-GB"/>
        </w:rPr>
        <w:t>Science Fiction Film</w:t>
      </w:r>
      <w:r w:rsidRPr="005D0D75">
        <w:rPr>
          <w:lang w:val="en-GB"/>
        </w:rPr>
        <w:t>, Cambridge, Cambridg</w:t>
      </w:r>
      <w:r>
        <w:rPr>
          <w:lang w:val="en-GB"/>
        </w:rPr>
        <w:t>e University Press, 2004 [2001], p. 14.</w:t>
      </w:r>
    </w:p>
  </w:footnote>
  <w:footnote w:id="49">
    <w:p w14:paraId="5F11BE85" w14:textId="77777777" w:rsidR="000A3C88" w:rsidRPr="00687CF3" w:rsidRDefault="000A3C88">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6C6E9E1" w14:textId="77777777" w:rsidR="000A3C88" w:rsidRPr="00B13E43" w:rsidRDefault="000A3C88">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 p. 117.</w:t>
      </w:r>
    </w:p>
  </w:footnote>
  <w:footnote w:id="51">
    <w:p w14:paraId="5807365A" w14:textId="77777777" w:rsidR="000A3C88" w:rsidRPr="002358EB" w:rsidRDefault="000A3C88">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2">
    <w:p w14:paraId="27BCFDD4" w14:textId="77777777" w:rsidR="000A3C88" w:rsidRPr="00790665" w:rsidRDefault="000A3C88">
      <w:pPr>
        <w:pStyle w:val="FootnoteText"/>
        <w:rPr>
          <w:lang w:val="en-GB"/>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rsidRPr="00790665">
        <w:rPr>
          <w:lang w:val="en-GB"/>
        </w:rPr>
        <w:t>pp. 122-124</w:t>
      </w:r>
    </w:p>
  </w:footnote>
  <w:footnote w:id="53">
    <w:p w14:paraId="18626D68" w14:textId="77777777" w:rsidR="000A3C88" w:rsidRPr="007A72D6" w:rsidRDefault="000A3C88">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130BFBE3" w14:textId="77777777" w:rsidR="000A3C88" w:rsidRPr="00E10598" w:rsidRDefault="000A3C88">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5">
    <w:p w14:paraId="4DCAE36B" w14:textId="77777777" w:rsidR="000A3C88" w:rsidRPr="00EA50A4" w:rsidRDefault="000A3C88">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6">
    <w:p w14:paraId="7B83634C" w14:textId="77777777" w:rsidR="000A3C88" w:rsidRPr="00281E86" w:rsidRDefault="000A3C88">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7A855C3B" w14:textId="77777777" w:rsidR="000A3C88" w:rsidRPr="00790665" w:rsidRDefault="000A3C88">
      <w:pPr>
        <w:pStyle w:val="FootnoteText"/>
        <w:rPr>
          <w:lang w:val="en-GB"/>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3724FD">
        <w:rPr>
          <w:lang w:val="fr-CH"/>
        </w:rPr>
        <w:t xml:space="preserve">completely evolved life, its ultimate form.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8">
    <w:p w14:paraId="69304CED" w14:textId="77777777" w:rsidR="000A3C88" w:rsidRPr="007D0637" w:rsidRDefault="000A3C88">
      <w:pPr>
        <w:pStyle w:val="FootnoteText"/>
        <w:rPr>
          <w:lang w:val="fr-CH"/>
        </w:rPr>
      </w:pPr>
      <w:r>
        <w:rPr>
          <w:rStyle w:val="FootnoteReference"/>
        </w:rPr>
        <w:footnoteRef/>
      </w:r>
      <w:r>
        <w:t xml:space="preserve"> Personnage également présent dans le feuilleton sous le nom de « Dr. Mannie Kaufman ».</w:t>
      </w:r>
    </w:p>
  </w:footnote>
  <w:footnote w:id="59">
    <w:p w14:paraId="7D0405EC" w14:textId="77777777" w:rsidR="000A3C88" w:rsidRPr="00425F00" w:rsidRDefault="000A3C88">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60">
    <w:p w14:paraId="1E64292B" w14:textId="77777777" w:rsidR="000A3C88" w:rsidRPr="006C23DA" w:rsidRDefault="000A3C88">
      <w:pPr>
        <w:pStyle w:val="FootnoteText"/>
        <w:rPr>
          <w:lang w:val="fr-CH"/>
        </w:rPr>
      </w:pPr>
      <w:r>
        <w:rPr>
          <w:rStyle w:val="FootnoteReference"/>
        </w:rPr>
        <w:footnoteRef/>
      </w:r>
      <w:r>
        <w:t xml:space="preserve"> </w:t>
      </w:r>
      <w:r>
        <w:rPr>
          <w:lang w:val="fr-CH"/>
        </w:rPr>
        <w:t>Ou plutôt le manque d’émotions.</w:t>
      </w:r>
    </w:p>
  </w:footnote>
  <w:footnote w:id="61">
    <w:p w14:paraId="038C28F9" w14:textId="77777777" w:rsidR="000A3C88" w:rsidRPr="0040795E" w:rsidRDefault="000A3C88">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330C7D79" w14:textId="77777777" w:rsidR="000A3C88" w:rsidRPr="009019DB" w:rsidRDefault="000A3C88">
      <w:pPr>
        <w:pStyle w:val="FootnoteText"/>
      </w:pPr>
      <w:r>
        <w:rPr>
          <w:rStyle w:val="FootnoteReference"/>
        </w:rPr>
        <w:footnoteRef/>
      </w:r>
      <w:r>
        <w:t xml:space="preserve"> Plus lié au genre de l’horreur.</w:t>
      </w:r>
    </w:p>
  </w:footnote>
  <w:footnote w:id="63">
    <w:p w14:paraId="01365A76" w14:textId="77777777" w:rsidR="000A3C88" w:rsidRPr="00AA6A79" w:rsidRDefault="000A3C88">
      <w:pPr>
        <w:pStyle w:val="FootnoteText"/>
      </w:pPr>
      <w:r>
        <w:rPr>
          <w:rStyle w:val="FootnoteReference"/>
        </w:rPr>
        <w:footnoteRef/>
      </w:r>
      <w:r>
        <w:t xml:space="preserve"> Relevant, elle, plus du domaine de la science-fiction.</w:t>
      </w:r>
    </w:p>
  </w:footnote>
  <w:footnote w:id="64">
    <w:p w14:paraId="1D3909A1" w14:textId="77777777" w:rsidR="000A3C88" w:rsidRPr="00B46DBA" w:rsidRDefault="000A3C88">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30333823" w14:textId="77777777" w:rsidR="000A3C88" w:rsidRPr="00790665" w:rsidRDefault="000A3C88">
      <w:pPr>
        <w:pStyle w:val="FootnoteText"/>
        <w:rPr>
          <w:lang w:val="en-GB"/>
        </w:rPr>
      </w:pPr>
      <w:r>
        <w:rPr>
          <w:rStyle w:val="FootnoteReference"/>
        </w:rPr>
        <w:footnoteRef/>
      </w:r>
      <w:r w:rsidRPr="00790665">
        <w:rPr>
          <w:lang w:val="fr-CH"/>
        </w:rPr>
        <w:t xml:space="preserve"> « I want to love and be loved. </w:t>
      </w:r>
      <w:r w:rsidRPr="004035C7">
        <w:rPr>
          <w:lang w:val="en-GB"/>
        </w:rPr>
        <w:t>I want your children. I don’t want a world without love or grief or beauty. I’d rather die. »</w:t>
      </w:r>
      <w:r>
        <w:rPr>
          <w:lang w:val="en-GB"/>
        </w:rPr>
        <w:t xml:space="preserve">. </w:t>
      </w:r>
      <w:r w:rsidRPr="002835A0">
        <w:rPr>
          <w:lang w:val="en-GB"/>
        </w:rPr>
        <w:t xml:space="preserve">Al LaValley (éd.), </w:t>
      </w:r>
      <w:r w:rsidRPr="002835A0">
        <w:rPr>
          <w:i/>
          <w:lang w:val="en-GB"/>
        </w:rPr>
        <w:t>op. cit.</w:t>
      </w:r>
      <w:r w:rsidRPr="002835A0">
        <w:rPr>
          <w:lang w:val="en-GB"/>
        </w:rPr>
        <w:t>,</w:t>
      </w:r>
      <w:r>
        <w:rPr>
          <w:lang w:val="en-GB"/>
        </w:rPr>
        <w:t xml:space="preserve"> p. 89.</w:t>
      </w:r>
    </w:p>
  </w:footnote>
  <w:footnote w:id="66">
    <w:p w14:paraId="37FD631B" w14:textId="77777777" w:rsidR="000A3C88" w:rsidRPr="00632CE0" w:rsidRDefault="000A3C88">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26.</w:t>
      </w:r>
    </w:p>
  </w:footnote>
  <w:footnote w:id="67">
    <w:p w14:paraId="0ECFD07A" w14:textId="77777777" w:rsidR="000A3C88" w:rsidRPr="00161509" w:rsidRDefault="000A3C88">
      <w:pPr>
        <w:pStyle w:val="FootnoteText"/>
        <w:rPr>
          <w:lang w:val="fr-CH"/>
        </w:rPr>
      </w:pPr>
      <w:r>
        <w:rPr>
          <w:rStyle w:val="FootnoteReference"/>
        </w:rPr>
        <w:footnoteRef/>
      </w:r>
      <w:r>
        <w:t xml:space="preserve"> </w:t>
      </w:r>
      <w:r w:rsidRPr="00411989">
        <w:rPr>
          <w:lang w:val="fr-CH"/>
        </w:rPr>
        <w:t xml:space="preserve">Al LaValley (éd.), </w:t>
      </w:r>
      <w:r w:rsidRPr="00411989">
        <w:rPr>
          <w:i/>
          <w:lang w:val="fr-CH"/>
        </w:rPr>
        <w:t>op. cit.</w:t>
      </w:r>
      <w:r w:rsidRPr="00411989">
        <w:rPr>
          <w:lang w:val="fr-CH"/>
        </w:rPr>
        <w:t>, pp. 38-39.</w:t>
      </w:r>
    </w:p>
  </w:footnote>
  <w:footnote w:id="68">
    <w:p w14:paraId="557D8307" w14:textId="77777777" w:rsidR="000A3C88" w:rsidRPr="00D24C04" w:rsidRDefault="000A3C88">
      <w:pPr>
        <w:pStyle w:val="FootnoteText"/>
        <w:rPr>
          <w:lang w:val="fr-CH"/>
        </w:rPr>
      </w:pPr>
      <w:r>
        <w:rPr>
          <w:rStyle w:val="FootnoteReference"/>
        </w:rPr>
        <w:footnoteRef/>
      </w:r>
      <w:r>
        <w:t xml:space="preserve"> </w:t>
      </w:r>
      <w:r>
        <w:rPr>
          <w:lang w:val="fr-CH"/>
        </w:rPr>
        <w:t xml:space="preserve">Voir « Divorce in Reno », TVTropes, </w:t>
      </w:r>
      <w:hyperlink r:id="rId3" w:history="1">
        <w:r w:rsidRPr="006939A8">
          <w:rPr>
            <w:rStyle w:val="Hyperlink"/>
            <w:lang w:val="fr-CH"/>
          </w:rPr>
          <w:t>http://tvtropes.org/pmwiki/pmwiki.php/Main/DivorceInReno</w:t>
        </w:r>
      </w:hyperlink>
      <w:r>
        <w:rPr>
          <w:lang w:val="fr-CH"/>
        </w:rPr>
        <w:t>, consulté le 10.12.2016.</w:t>
      </w:r>
    </w:p>
  </w:footnote>
  <w:footnote w:id="69">
    <w:p w14:paraId="4B1891E9" w14:textId="77777777" w:rsidR="000A3C88" w:rsidRPr="0048561F" w:rsidRDefault="000A3C88">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08A286D8" w14:textId="77777777" w:rsidR="000A3C88" w:rsidRPr="00B579A2" w:rsidRDefault="000A3C88">
      <w:pPr>
        <w:pStyle w:val="FootnoteText"/>
        <w:rPr>
          <w:lang w:val="en-GB"/>
        </w:rPr>
      </w:pPr>
      <w:r>
        <w:rPr>
          <w:rStyle w:val="FootnoteReference"/>
        </w:rPr>
        <w:footnoteRef/>
      </w:r>
      <w:r w:rsidRPr="00B579A2">
        <w:rPr>
          <w:lang w:val="en-GB"/>
        </w:rPr>
        <w:t xml:space="preserve"> « postcoital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automne 2004, p. 61.</w:t>
      </w:r>
    </w:p>
  </w:footnote>
  <w:footnote w:id="71">
    <w:p w14:paraId="5E1BAEDC" w14:textId="77777777" w:rsidR="000A3C88" w:rsidRPr="00E47B37" w:rsidRDefault="000A3C88">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72">
    <w:p w14:paraId="67101612" w14:textId="77777777" w:rsidR="000A3C88" w:rsidRPr="00531173" w:rsidRDefault="000A3C88">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Steffen-Fluhr</w:t>
      </w:r>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Vol. 11, No. 2, juillet 1984, pp. 139-153.</w:t>
      </w:r>
    </w:p>
  </w:footnote>
  <w:footnote w:id="73">
    <w:p w14:paraId="6F2B9CCF" w14:textId="77777777" w:rsidR="000A3C88" w:rsidRPr="00A65BB6" w:rsidRDefault="000A3C88">
      <w:pPr>
        <w:pStyle w:val="FootnoteText"/>
        <w:rPr>
          <w:lang w:val="en-GB"/>
        </w:rPr>
      </w:pPr>
      <w:r>
        <w:rPr>
          <w:rStyle w:val="FootnoteReference"/>
        </w:rPr>
        <w:footnoteRef/>
      </w:r>
      <w:r w:rsidRPr="00A65BB6">
        <w:rPr>
          <w:lang w:val="en-GB"/>
        </w:rPr>
        <w:t xml:space="preserve"> Mich</w:t>
      </w:r>
      <w:r>
        <w:rPr>
          <w:lang w:val="en-GB"/>
        </w:rPr>
        <w:t>a</w:t>
      </w:r>
      <w:r w:rsidRPr="00A65BB6">
        <w:rPr>
          <w:lang w:val="en-GB"/>
        </w:rPr>
        <w:t>el Rogin, « </w:t>
      </w:r>
      <w:r w:rsidRPr="00A65BB6">
        <w:rPr>
          <w:i/>
          <w:lang w:val="en-GB"/>
        </w:rPr>
        <w:t>Kiss me Deadly </w:t>
      </w:r>
      <w:r w:rsidRPr="00A65BB6">
        <w:rPr>
          <w:lang w:val="en-GB"/>
        </w:rPr>
        <w:t xml:space="preserve">: Communism, Motherhood and Cold War Movies » </w:t>
      </w:r>
      <w:r>
        <w:rPr>
          <w:i/>
          <w:lang w:val="en-GB"/>
        </w:rPr>
        <w:t>in</w:t>
      </w:r>
      <w:r>
        <w:rPr>
          <w:lang w:val="en-GB"/>
        </w:rPr>
        <w:t xml:space="preserve"> Michael Rogin,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4">
    <w:p w14:paraId="772B9D18" w14:textId="77777777" w:rsidR="000A3C88" w:rsidRPr="004C0BE1" w:rsidRDefault="000A3C88">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5">
    <w:p w14:paraId="5F369123" w14:textId="77777777" w:rsidR="000A3C88" w:rsidRPr="00344BAC" w:rsidRDefault="000A3C88">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6">
    <w:p w14:paraId="4B6AC973" w14:textId="77777777" w:rsidR="000A3C88" w:rsidRPr="00323D4E" w:rsidRDefault="000A3C88">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5ABF2388" w14:textId="77777777" w:rsidR="000A3C88" w:rsidRPr="0045694F" w:rsidRDefault="000A3C88">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8">
    <w:p w14:paraId="71C301AE" w14:textId="77777777" w:rsidR="000A3C88" w:rsidRPr="00665545" w:rsidRDefault="000A3C88">
      <w:pPr>
        <w:pStyle w:val="FootnoteText"/>
        <w:rPr>
          <w:lang w:val="fr-CH"/>
        </w:rPr>
      </w:pPr>
      <w:r>
        <w:rPr>
          <w:rStyle w:val="FootnoteReference"/>
        </w:rPr>
        <w:footnoteRef/>
      </w:r>
      <w:r w:rsidRPr="00665545">
        <w:rPr>
          <w:lang w:val="fr-CH"/>
        </w:rPr>
        <w:t xml:space="preserve"> </w:t>
      </w:r>
      <w:r>
        <w:rPr>
          <w:lang w:val="fr-CH"/>
        </w:rPr>
        <w:t>La possibilité subsiste</w:t>
      </w:r>
      <w:r w:rsidRPr="00665545">
        <w:rPr>
          <w:lang w:val="fr-CH"/>
        </w:rPr>
        <w:t xml:space="preserve"> </w:t>
      </w:r>
      <w:r>
        <w:rPr>
          <w:lang w:val="fr-CH"/>
        </w:rPr>
        <w:t>car l</w:t>
      </w:r>
      <w:r w:rsidRPr="00665545">
        <w:rPr>
          <w:lang w:val="fr-CH"/>
        </w:rPr>
        <w:t xml:space="preserve">a première version du scenario ayant été terminée </w:t>
      </w:r>
      <w:r>
        <w:rPr>
          <w:lang w:val="fr-CH"/>
        </w:rPr>
        <w:t>le 10 février.</w:t>
      </w:r>
    </w:p>
  </w:footnote>
  <w:footnote w:id="79">
    <w:p w14:paraId="612451EA" w14:textId="77777777" w:rsidR="000A3C88" w:rsidRPr="004D441C" w:rsidRDefault="000A3C88">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LaValley (éd.), </w:t>
      </w:r>
      <w:r w:rsidRPr="002835A0">
        <w:rPr>
          <w:i/>
          <w:lang w:val="en-GB"/>
        </w:rPr>
        <w:t>op. cit.</w:t>
      </w:r>
      <w:r w:rsidRPr="002835A0">
        <w:rPr>
          <w:lang w:val="en-GB"/>
        </w:rPr>
        <w:t>,</w:t>
      </w:r>
      <w:r>
        <w:rPr>
          <w:lang w:val="en-GB"/>
        </w:rPr>
        <w:t xml:space="preserve"> p. 3.</w:t>
      </w:r>
    </w:p>
  </w:footnote>
  <w:footnote w:id="80">
    <w:p w14:paraId="496778D1" w14:textId="77777777" w:rsidR="000A3C88" w:rsidRPr="00A83481" w:rsidRDefault="000A3C88" w:rsidP="003B4C2B">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xml:space="preserve">, New York/London/Toronto/Syndney/New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2192B89A" w14:textId="77777777" w:rsidR="000A3C88" w:rsidRPr="006C6F20" w:rsidRDefault="000A3C88">
      <w:pPr>
        <w:pStyle w:val="FootnoteText"/>
        <w:rPr>
          <w:lang w:val="en-GB"/>
        </w:rPr>
      </w:pPr>
      <w:r>
        <w:rPr>
          <w:rStyle w:val="FootnoteReference"/>
        </w:rPr>
        <w:footnoteRef/>
      </w:r>
      <w:r w:rsidRPr="006C6F20">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14C0BB26" w14:textId="77777777" w:rsidR="000A3C88" w:rsidRPr="00863EA4" w:rsidRDefault="000A3C88">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40D8540E" w14:textId="77777777" w:rsidR="000A3C88" w:rsidRPr="009A2AB3" w:rsidRDefault="000A3C88">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461D8037" w14:textId="77777777" w:rsidR="000A3C88" w:rsidRPr="00342C59" w:rsidRDefault="000A3C88">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74CCA3BB" w14:textId="77777777" w:rsidR="000A3C88" w:rsidRPr="007621D1" w:rsidRDefault="000A3C88">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69B23065" w14:textId="77777777" w:rsidR="000A3C88" w:rsidRPr="00C7092D" w:rsidRDefault="000A3C88">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73F78F72" w14:textId="77777777" w:rsidR="000A3C88" w:rsidRPr="00C12F5A" w:rsidRDefault="000A3C88">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7B46F2CF" w14:textId="77777777" w:rsidR="000A3C88" w:rsidRPr="0042120F" w:rsidRDefault="000A3C88">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6BDDECB4" w14:textId="77777777" w:rsidR="000A3C88" w:rsidRPr="00D47381" w:rsidRDefault="000A3C88">
      <w:pPr>
        <w:pStyle w:val="FootnoteText"/>
        <w:rPr>
          <w:lang w:val="en-GB"/>
        </w:rPr>
      </w:pPr>
      <w:r>
        <w:rPr>
          <w:rStyle w:val="FootnoteReference"/>
        </w:rPr>
        <w:footnoteRef/>
      </w:r>
      <w:r w:rsidRPr="00D47381">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3BCE98D2" w14:textId="77777777" w:rsidR="000A3C88" w:rsidRPr="00E36A1B" w:rsidRDefault="000A3C88">
      <w:pPr>
        <w:pStyle w:val="FootnoteText"/>
        <w:rPr>
          <w:lang w:val="fr-CH"/>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E36A1B">
        <w:rPr>
          <w:lang w:val="fr-CH"/>
        </w:rPr>
        <w:t xml:space="preserve">Jack Finney, </w:t>
      </w:r>
      <w:r w:rsidRPr="00E36A1B">
        <w:rPr>
          <w:rFonts w:cs="Times New Roman"/>
          <w:i/>
          <w:color w:val="000000"/>
          <w:lang w:val="fr-CH"/>
        </w:rPr>
        <w:t>Invasion of the Body Snatchers</w:t>
      </w:r>
      <w:r w:rsidRPr="00E36A1B">
        <w:rPr>
          <w:rFonts w:cs="Times New Roman"/>
          <w:color w:val="000000"/>
          <w:lang w:val="fr-CH"/>
        </w:rPr>
        <w:t>,</w:t>
      </w:r>
      <w:r w:rsidRPr="00E36A1B">
        <w:rPr>
          <w:rFonts w:cs="Times New Roman"/>
          <w:i/>
          <w:color w:val="000000"/>
          <w:lang w:val="fr-CH"/>
        </w:rPr>
        <w:t xml:space="preserve"> ibid</w:t>
      </w:r>
      <w:r w:rsidRPr="00E36A1B">
        <w:rPr>
          <w:rFonts w:cs="Times New Roman"/>
          <w:color w:val="000000"/>
          <w:lang w:val="fr-CH"/>
        </w:rPr>
        <w:t>.</w:t>
      </w:r>
    </w:p>
  </w:footnote>
  <w:footnote w:id="91">
    <w:p w14:paraId="7FC98BA0" w14:textId="77777777" w:rsidR="000A3C88" w:rsidRPr="00790665" w:rsidRDefault="000A3C88">
      <w:pPr>
        <w:pStyle w:val="FootnoteText"/>
        <w:rPr>
          <w:lang w:val="en-GB"/>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71FE6312" w14:textId="77777777" w:rsidR="000A3C88" w:rsidRPr="007E4EEA" w:rsidRDefault="000A3C88">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472BA3BF" w14:textId="77777777" w:rsidR="000A3C88" w:rsidRPr="0048334F" w:rsidRDefault="000A3C88">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035BA1D" w14:textId="77777777" w:rsidR="000A3C88" w:rsidRPr="00AB0180" w:rsidRDefault="000A3C88">
      <w:pPr>
        <w:pStyle w:val="FootnoteText"/>
        <w:rPr>
          <w:lang w:val="fr-CH"/>
        </w:rPr>
      </w:pPr>
      <w:r>
        <w:rPr>
          <w:rStyle w:val="FootnoteReference"/>
        </w:rPr>
        <w:footnoteRef/>
      </w:r>
      <w:r>
        <w:t xml:space="preserve"> </w:t>
      </w:r>
      <w:r>
        <w:rPr>
          <w:lang w:val="fr-CH"/>
        </w:rPr>
        <w:t>Inédite au film de Siegel.</w:t>
      </w:r>
    </w:p>
  </w:footnote>
  <w:footnote w:id="95">
    <w:p w14:paraId="5831E1AC" w14:textId="77777777" w:rsidR="000A3C88" w:rsidRPr="002A6C0F" w:rsidRDefault="000A3C88">
      <w:pPr>
        <w:pStyle w:val="FootnoteText"/>
        <w:rPr>
          <w:lang w:val="fr-CH"/>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A6C0F">
        <w:rPr>
          <w:lang w:val="fr-CH"/>
        </w:rPr>
        <w:t xml:space="preserve">Al LaValley (éd.), </w:t>
      </w:r>
      <w:r w:rsidRPr="002A6C0F">
        <w:rPr>
          <w:i/>
          <w:lang w:val="fr-CH"/>
        </w:rPr>
        <w:t>op. cit.</w:t>
      </w:r>
      <w:r w:rsidRPr="002A6C0F">
        <w:rPr>
          <w:lang w:val="fr-CH"/>
        </w:rPr>
        <w:t>, p. 35.</w:t>
      </w:r>
    </w:p>
  </w:footnote>
  <w:footnote w:id="96">
    <w:p w14:paraId="0CAB5622" w14:textId="77777777" w:rsidR="000A3C88" w:rsidRPr="00CA54AB" w:rsidRDefault="000A3C88">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2414173E" w14:textId="77777777" w:rsidR="000A3C88" w:rsidRPr="00CA46D7" w:rsidRDefault="000A3C88">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31CC648A" w14:textId="77777777" w:rsidR="000A3C88" w:rsidRPr="00F13CAD" w:rsidRDefault="000A3C88">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0939D2C2" w14:textId="77777777" w:rsidR="000A3C88" w:rsidRPr="000E2124" w:rsidRDefault="000A3C88">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0A57210A" w14:textId="77777777" w:rsidR="000A3C88" w:rsidRPr="00003EE7" w:rsidRDefault="000A3C88">
      <w:pPr>
        <w:pStyle w:val="FootnoteText"/>
        <w:rPr>
          <w:lang w:val="en-GB"/>
        </w:rPr>
      </w:pPr>
      <w:r>
        <w:rPr>
          <w:rStyle w:val="FootnoteReference"/>
        </w:rPr>
        <w:footnoteRef/>
      </w:r>
      <w:r w:rsidRPr="00003EE7">
        <w:rPr>
          <w:lang w:val="en-GB"/>
        </w:rPr>
        <w:t xml:space="preserve"> « Bazin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Koos </w:t>
      </w:r>
      <w:r w:rsidRPr="001F6A49">
        <w:rPr>
          <w:lang w:val="en-US"/>
        </w:rPr>
        <w:t>(éd</w:t>
      </w:r>
      <w:r>
        <w:rPr>
          <w:lang w:val="en-US"/>
        </w:rPr>
        <w:t>s</w:t>
      </w:r>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4B9B37D3" w14:textId="77777777" w:rsidR="000A3C88" w:rsidRPr="00743689" w:rsidRDefault="000A3C88">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1CB98687" w14:textId="77777777" w:rsidR="000A3C88" w:rsidRPr="00D13DB8" w:rsidRDefault="000A3C88">
      <w:pPr>
        <w:pStyle w:val="FootnoteText"/>
      </w:pPr>
      <w:r>
        <w:rPr>
          <w:rStyle w:val="FootnoteReference"/>
        </w:rPr>
        <w:footnoteRef/>
      </w:r>
      <w:r>
        <w:t xml:space="preserve"> Dans ce cas précis, des lecteurs-spectateurs friands de science-fiction et/ou d’horreur.</w:t>
      </w:r>
    </w:p>
  </w:footnote>
  <w:footnote w:id="103">
    <w:p w14:paraId="146A9999" w14:textId="77777777" w:rsidR="000A3C88" w:rsidRPr="00E616EE" w:rsidRDefault="000A3C88">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couts de production.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AB4A5E" w:rsidRPr="00173138" w:rsidRDefault="00AB4A5E"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AB4A5E" w:rsidRPr="00173138" w:rsidRDefault="00AB4A5E"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AB4A5E" w:rsidRPr="008138ED" w:rsidRDefault="00AB4A5E"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AB4A5E" w:rsidRPr="00A60B3A" w:rsidRDefault="00AB4A5E"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AB4A5E" w:rsidRPr="00A60B3A" w:rsidRDefault="00AB4A5E">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176CB"/>
    <w:rsid w:val="00024386"/>
    <w:rsid w:val="00026DEC"/>
    <w:rsid w:val="000277EA"/>
    <w:rsid w:val="00030601"/>
    <w:rsid w:val="00031E71"/>
    <w:rsid w:val="0003595A"/>
    <w:rsid w:val="000368A7"/>
    <w:rsid w:val="00040872"/>
    <w:rsid w:val="00040A85"/>
    <w:rsid w:val="00043CAF"/>
    <w:rsid w:val="000453E3"/>
    <w:rsid w:val="000559F1"/>
    <w:rsid w:val="0005693B"/>
    <w:rsid w:val="000634E0"/>
    <w:rsid w:val="00065592"/>
    <w:rsid w:val="00066439"/>
    <w:rsid w:val="00071057"/>
    <w:rsid w:val="0008260D"/>
    <w:rsid w:val="00083709"/>
    <w:rsid w:val="00083F7C"/>
    <w:rsid w:val="00084162"/>
    <w:rsid w:val="00084430"/>
    <w:rsid w:val="000963CE"/>
    <w:rsid w:val="000A0BC3"/>
    <w:rsid w:val="000A3C88"/>
    <w:rsid w:val="000A7032"/>
    <w:rsid w:val="000A7C28"/>
    <w:rsid w:val="000A7FC0"/>
    <w:rsid w:val="000B5190"/>
    <w:rsid w:val="000B6222"/>
    <w:rsid w:val="000C200C"/>
    <w:rsid w:val="000C2404"/>
    <w:rsid w:val="000C346A"/>
    <w:rsid w:val="000D04D2"/>
    <w:rsid w:val="000D05D2"/>
    <w:rsid w:val="000D2034"/>
    <w:rsid w:val="000D7EC9"/>
    <w:rsid w:val="000E01C6"/>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17DF8"/>
    <w:rsid w:val="00122140"/>
    <w:rsid w:val="00123E62"/>
    <w:rsid w:val="0013396A"/>
    <w:rsid w:val="001359D0"/>
    <w:rsid w:val="001359D4"/>
    <w:rsid w:val="0014073B"/>
    <w:rsid w:val="00141306"/>
    <w:rsid w:val="00141DE2"/>
    <w:rsid w:val="00144865"/>
    <w:rsid w:val="00144EE3"/>
    <w:rsid w:val="00146748"/>
    <w:rsid w:val="0016047F"/>
    <w:rsid w:val="00161509"/>
    <w:rsid w:val="001647B1"/>
    <w:rsid w:val="00165D3F"/>
    <w:rsid w:val="00173138"/>
    <w:rsid w:val="0017320C"/>
    <w:rsid w:val="00173844"/>
    <w:rsid w:val="00173E13"/>
    <w:rsid w:val="0018193E"/>
    <w:rsid w:val="0018263C"/>
    <w:rsid w:val="00185D3E"/>
    <w:rsid w:val="001863CF"/>
    <w:rsid w:val="00187527"/>
    <w:rsid w:val="0018765E"/>
    <w:rsid w:val="001928C0"/>
    <w:rsid w:val="00194B42"/>
    <w:rsid w:val="00194EA7"/>
    <w:rsid w:val="001A1430"/>
    <w:rsid w:val="001A3843"/>
    <w:rsid w:val="001A3A2C"/>
    <w:rsid w:val="001A6750"/>
    <w:rsid w:val="001A6A02"/>
    <w:rsid w:val="001B0652"/>
    <w:rsid w:val="001B4F1E"/>
    <w:rsid w:val="001B56F7"/>
    <w:rsid w:val="001B5C9A"/>
    <w:rsid w:val="001C09E3"/>
    <w:rsid w:val="001C73D6"/>
    <w:rsid w:val="001C7833"/>
    <w:rsid w:val="001D4DF7"/>
    <w:rsid w:val="001D5EDC"/>
    <w:rsid w:val="001E0916"/>
    <w:rsid w:val="001F134E"/>
    <w:rsid w:val="001F1423"/>
    <w:rsid w:val="001F2378"/>
    <w:rsid w:val="001F629C"/>
    <w:rsid w:val="00203883"/>
    <w:rsid w:val="00207CE6"/>
    <w:rsid w:val="00207DF1"/>
    <w:rsid w:val="00211C03"/>
    <w:rsid w:val="00220532"/>
    <w:rsid w:val="002210A4"/>
    <w:rsid w:val="002235F1"/>
    <w:rsid w:val="00223874"/>
    <w:rsid w:val="002275F6"/>
    <w:rsid w:val="002337BD"/>
    <w:rsid w:val="00233CBF"/>
    <w:rsid w:val="002358EB"/>
    <w:rsid w:val="002367B5"/>
    <w:rsid w:val="00237C1E"/>
    <w:rsid w:val="00243AF4"/>
    <w:rsid w:val="00254653"/>
    <w:rsid w:val="00257C69"/>
    <w:rsid w:val="002652E8"/>
    <w:rsid w:val="00266588"/>
    <w:rsid w:val="00273E7D"/>
    <w:rsid w:val="002762C4"/>
    <w:rsid w:val="0027639A"/>
    <w:rsid w:val="002816FF"/>
    <w:rsid w:val="00281E86"/>
    <w:rsid w:val="002835A0"/>
    <w:rsid w:val="00283880"/>
    <w:rsid w:val="00284838"/>
    <w:rsid w:val="00285164"/>
    <w:rsid w:val="00291917"/>
    <w:rsid w:val="002A5353"/>
    <w:rsid w:val="002A6C0F"/>
    <w:rsid w:val="002B28DA"/>
    <w:rsid w:val="002B3D84"/>
    <w:rsid w:val="002B7B48"/>
    <w:rsid w:val="002C35A2"/>
    <w:rsid w:val="002D24EA"/>
    <w:rsid w:val="002D257C"/>
    <w:rsid w:val="002D3D18"/>
    <w:rsid w:val="002D503C"/>
    <w:rsid w:val="002D513A"/>
    <w:rsid w:val="002D772A"/>
    <w:rsid w:val="002D7B33"/>
    <w:rsid w:val="002F015C"/>
    <w:rsid w:val="002F1683"/>
    <w:rsid w:val="002F436A"/>
    <w:rsid w:val="002F7A81"/>
    <w:rsid w:val="0030064E"/>
    <w:rsid w:val="0030216F"/>
    <w:rsid w:val="0030314E"/>
    <w:rsid w:val="003035ED"/>
    <w:rsid w:val="00313F77"/>
    <w:rsid w:val="0031516F"/>
    <w:rsid w:val="00315298"/>
    <w:rsid w:val="0032195C"/>
    <w:rsid w:val="00323D4E"/>
    <w:rsid w:val="00325886"/>
    <w:rsid w:val="00327516"/>
    <w:rsid w:val="00327ABA"/>
    <w:rsid w:val="00330D2B"/>
    <w:rsid w:val="0033473D"/>
    <w:rsid w:val="00336723"/>
    <w:rsid w:val="003404E5"/>
    <w:rsid w:val="00341536"/>
    <w:rsid w:val="003423A7"/>
    <w:rsid w:val="00342C59"/>
    <w:rsid w:val="00343BEB"/>
    <w:rsid w:val="00344BAC"/>
    <w:rsid w:val="00344D50"/>
    <w:rsid w:val="00345374"/>
    <w:rsid w:val="00345CEB"/>
    <w:rsid w:val="0035154E"/>
    <w:rsid w:val="0035324C"/>
    <w:rsid w:val="00353B3C"/>
    <w:rsid w:val="003629C2"/>
    <w:rsid w:val="0036714B"/>
    <w:rsid w:val="00370132"/>
    <w:rsid w:val="00371D86"/>
    <w:rsid w:val="003724FD"/>
    <w:rsid w:val="00375833"/>
    <w:rsid w:val="003805A4"/>
    <w:rsid w:val="003859D2"/>
    <w:rsid w:val="0038713A"/>
    <w:rsid w:val="003873C4"/>
    <w:rsid w:val="003878FF"/>
    <w:rsid w:val="003905E9"/>
    <w:rsid w:val="003915C2"/>
    <w:rsid w:val="00392846"/>
    <w:rsid w:val="00397954"/>
    <w:rsid w:val="003B44C8"/>
    <w:rsid w:val="003B4C2B"/>
    <w:rsid w:val="003C136D"/>
    <w:rsid w:val="003C1FB2"/>
    <w:rsid w:val="003C3C3F"/>
    <w:rsid w:val="003C4007"/>
    <w:rsid w:val="003C7CF1"/>
    <w:rsid w:val="003D1296"/>
    <w:rsid w:val="003D1369"/>
    <w:rsid w:val="003D711A"/>
    <w:rsid w:val="003E168C"/>
    <w:rsid w:val="003E3BBF"/>
    <w:rsid w:val="003E52B7"/>
    <w:rsid w:val="003E5422"/>
    <w:rsid w:val="003E611C"/>
    <w:rsid w:val="003E715E"/>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2800"/>
    <w:rsid w:val="00473CD2"/>
    <w:rsid w:val="00474C42"/>
    <w:rsid w:val="00474C78"/>
    <w:rsid w:val="0048334F"/>
    <w:rsid w:val="00483A54"/>
    <w:rsid w:val="0048561F"/>
    <w:rsid w:val="00486C16"/>
    <w:rsid w:val="00492779"/>
    <w:rsid w:val="004930C6"/>
    <w:rsid w:val="004A5EC6"/>
    <w:rsid w:val="004A5FF9"/>
    <w:rsid w:val="004A73E3"/>
    <w:rsid w:val="004A7775"/>
    <w:rsid w:val="004B1784"/>
    <w:rsid w:val="004B3582"/>
    <w:rsid w:val="004B3BA2"/>
    <w:rsid w:val="004B4329"/>
    <w:rsid w:val="004B6C03"/>
    <w:rsid w:val="004C0BE1"/>
    <w:rsid w:val="004C1638"/>
    <w:rsid w:val="004C4C04"/>
    <w:rsid w:val="004D441C"/>
    <w:rsid w:val="004D4B6F"/>
    <w:rsid w:val="004E025C"/>
    <w:rsid w:val="004E1601"/>
    <w:rsid w:val="004E62A3"/>
    <w:rsid w:val="004E732D"/>
    <w:rsid w:val="004E747B"/>
    <w:rsid w:val="004F6744"/>
    <w:rsid w:val="004F6B35"/>
    <w:rsid w:val="00500CC2"/>
    <w:rsid w:val="00510CB6"/>
    <w:rsid w:val="00515D4E"/>
    <w:rsid w:val="00515D8C"/>
    <w:rsid w:val="00521DAB"/>
    <w:rsid w:val="005224A6"/>
    <w:rsid w:val="00531173"/>
    <w:rsid w:val="00531886"/>
    <w:rsid w:val="00533ECB"/>
    <w:rsid w:val="00536AD8"/>
    <w:rsid w:val="00541737"/>
    <w:rsid w:val="00541F81"/>
    <w:rsid w:val="005426C8"/>
    <w:rsid w:val="0054296B"/>
    <w:rsid w:val="005545D7"/>
    <w:rsid w:val="005575CD"/>
    <w:rsid w:val="0056170C"/>
    <w:rsid w:val="00566544"/>
    <w:rsid w:val="00577270"/>
    <w:rsid w:val="00581670"/>
    <w:rsid w:val="00581E90"/>
    <w:rsid w:val="00584083"/>
    <w:rsid w:val="005842E3"/>
    <w:rsid w:val="00584A63"/>
    <w:rsid w:val="005857FD"/>
    <w:rsid w:val="00587A5C"/>
    <w:rsid w:val="00587FA5"/>
    <w:rsid w:val="00595786"/>
    <w:rsid w:val="00596CCC"/>
    <w:rsid w:val="00597748"/>
    <w:rsid w:val="005A0318"/>
    <w:rsid w:val="005A2E14"/>
    <w:rsid w:val="005A3284"/>
    <w:rsid w:val="005A5341"/>
    <w:rsid w:val="005B199B"/>
    <w:rsid w:val="005B59B9"/>
    <w:rsid w:val="005C21BC"/>
    <w:rsid w:val="005C262F"/>
    <w:rsid w:val="005C5BD7"/>
    <w:rsid w:val="005C6BF4"/>
    <w:rsid w:val="005D0D75"/>
    <w:rsid w:val="005D1991"/>
    <w:rsid w:val="005D6855"/>
    <w:rsid w:val="005D6E2E"/>
    <w:rsid w:val="005E3A27"/>
    <w:rsid w:val="005E65B7"/>
    <w:rsid w:val="005E6AE3"/>
    <w:rsid w:val="005F3756"/>
    <w:rsid w:val="005F3C37"/>
    <w:rsid w:val="00604B4B"/>
    <w:rsid w:val="00610863"/>
    <w:rsid w:val="006123B3"/>
    <w:rsid w:val="006127A9"/>
    <w:rsid w:val="00614584"/>
    <w:rsid w:val="00615115"/>
    <w:rsid w:val="0061689F"/>
    <w:rsid w:val="00616D97"/>
    <w:rsid w:val="00622075"/>
    <w:rsid w:val="0062652C"/>
    <w:rsid w:val="00630AB0"/>
    <w:rsid w:val="00632CE0"/>
    <w:rsid w:val="00651BBE"/>
    <w:rsid w:val="00663B0A"/>
    <w:rsid w:val="00665545"/>
    <w:rsid w:val="00665C44"/>
    <w:rsid w:val="006714B9"/>
    <w:rsid w:val="00674BE2"/>
    <w:rsid w:val="00674BEA"/>
    <w:rsid w:val="00676AEE"/>
    <w:rsid w:val="006848A2"/>
    <w:rsid w:val="00687CF3"/>
    <w:rsid w:val="00691F8F"/>
    <w:rsid w:val="006A01BD"/>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0A50"/>
    <w:rsid w:val="00714EA0"/>
    <w:rsid w:val="007206C2"/>
    <w:rsid w:val="00720D82"/>
    <w:rsid w:val="00722301"/>
    <w:rsid w:val="007272D0"/>
    <w:rsid w:val="00732974"/>
    <w:rsid w:val="0073415D"/>
    <w:rsid w:val="007344B8"/>
    <w:rsid w:val="0073541F"/>
    <w:rsid w:val="0074045B"/>
    <w:rsid w:val="00743689"/>
    <w:rsid w:val="0074692C"/>
    <w:rsid w:val="007609D3"/>
    <w:rsid w:val="00760E5C"/>
    <w:rsid w:val="007621D1"/>
    <w:rsid w:val="00763033"/>
    <w:rsid w:val="00766D6F"/>
    <w:rsid w:val="00776A50"/>
    <w:rsid w:val="00776E9F"/>
    <w:rsid w:val="00782CBD"/>
    <w:rsid w:val="0078373E"/>
    <w:rsid w:val="00786BED"/>
    <w:rsid w:val="00787AE8"/>
    <w:rsid w:val="00790665"/>
    <w:rsid w:val="007914D6"/>
    <w:rsid w:val="00794963"/>
    <w:rsid w:val="00796617"/>
    <w:rsid w:val="0079780B"/>
    <w:rsid w:val="007A0071"/>
    <w:rsid w:val="007A3A39"/>
    <w:rsid w:val="007A72D6"/>
    <w:rsid w:val="007A7A71"/>
    <w:rsid w:val="007B2A5B"/>
    <w:rsid w:val="007B301A"/>
    <w:rsid w:val="007C3F0F"/>
    <w:rsid w:val="007D0637"/>
    <w:rsid w:val="007D4D4D"/>
    <w:rsid w:val="007D593E"/>
    <w:rsid w:val="007E0AA0"/>
    <w:rsid w:val="007E15AF"/>
    <w:rsid w:val="007E4EEA"/>
    <w:rsid w:val="007F0F50"/>
    <w:rsid w:val="00801F85"/>
    <w:rsid w:val="0080297C"/>
    <w:rsid w:val="00804C3B"/>
    <w:rsid w:val="008074F7"/>
    <w:rsid w:val="0081034D"/>
    <w:rsid w:val="008138ED"/>
    <w:rsid w:val="0081523E"/>
    <w:rsid w:val="0081693C"/>
    <w:rsid w:val="0083411D"/>
    <w:rsid w:val="008349BE"/>
    <w:rsid w:val="00835396"/>
    <w:rsid w:val="008411A0"/>
    <w:rsid w:val="0084461A"/>
    <w:rsid w:val="00852715"/>
    <w:rsid w:val="008530F6"/>
    <w:rsid w:val="0085797C"/>
    <w:rsid w:val="00863EA4"/>
    <w:rsid w:val="0087243D"/>
    <w:rsid w:val="00873E3E"/>
    <w:rsid w:val="00875AB1"/>
    <w:rsid w:val="0088102A"/>
    <w:rsid w:val="00881660"/>
    <w:rsid w:val="008864AF"/>
    <w:rsid w:val="00887DF6"/>
    <w:rsid w:val="008920D7"/>
    <w:rsid w:val="00897A27"/>
    <w:rsid w:val="008A323A"/>
    <w:rsid w:val="008A3891"/>
    <w:rsid w:val="008A5A41"/>
    <w:rsid w:val="008B2E34"/>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19DB"/>
    <w:rsid w:val="009052C0"/>
    <w:rsid w:val="0091721D"/>
    <w:rsid w:val="00917414"/>
    <w:rsid w:val="00920E18"/>
    <w:rsid w:val="00923E14"/>
    <w:rsid w:val="00925377"/>
    <w:rsid w:val="00930BA0"/>
    <w:rsid w:val="00932A69"/>
    <w:rsid w:val="00932DDA"/>
    <w:rsid w:val="0093468C"/>
    <w:rsid w:val="00934FC9"/>
    <w:rsid w:val="009360E5"/>
    <w:rsid w:val="0094205E"/>
    <w:rsid w:val="00944F28"/>
    <w:rsid w:val="00945FF0"/>
    <w:rsid w:val="00950680"/>
    <w:rsid w:val="00955815"/>
    <w:rsid w:val="0095587F"/>
    <w:rsid w:val="00956B62"/>
    <w:rsid w:val="0096089B"/>
    <w:rsid w:val="00962F49"/>
    <w:rsid w:val="009675C6"/>
    <w:rsid w:val="00970CC6"/>
    <w:rsid w:val="009750B7"/>
    <w:rsid w:val="00976CAD"/>
    <w:rsid w:val="00977317"/>
    <w:rsid w:val="009810EF"/>
    <w:rsid w:val="009815AD"/>
    <w:rsid w:val="00984F37"/>
    <w:rsid w:val="0098579C"/>
    <w:rsid w:val="00987BDF"/>
    <w:rsid w:val="0099055C"/>
    <w:rsid w:val="00990D12"/>
    <w:rsid w:val="00995129"/>
    <w:rsid w:val="00995AE9"/>
    <w:rsid w:val="009962FA"/>
    <w:rsid w:val="009971E2"/>
    <w:rsid w:val="009A1671"/>
    <w:rsid w:val="009A26C4"/>
    <w:rsid w:val="009A2AB3"/>
    <w:rsid w:val="009A62CF"/>
    <w:rsid w:val="009A6E04"/>
    <w:rsid w:val="009A7696"/>
    <w:rsid w:val="009A77CD"/>
    <w:rsid w:val="009B0582"/>
    <w:rsid w:val="009B1242"/>
    <w:rsid w:val="009B205A"/>
    <w:rsid w:val="009B43D7"/>
    <w:rsid w:val="009B617B"/>
    <w:rsid w:val="009C43E8"/>
    <w:rsid w:val="009C4C51"/>
    <w:rsid w:val="009C6629"/>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27536"/>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A6A79"/>
    <w:rsid w:val="00AB0180"/>
    <w:rsid w:val="00AB4A5E"/>
    <w:rsid w:val="00AB4DF5"/>
    <w:rsid w:val="00AB71A4"/>
    <w:rsid w:val="00AC471C"/>
    <w:rsid w:val="00AD586C"/>
    <w:rsid w:val="00AD62CD"/>
    <w:rsid w:val="00AD64B9"/>
    <w:rsid w:val="00AE0DC4"/>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2EB2"/>
    <w:rsid w:val="00B859D0"/>
    <w:rsid w:val="00B903D1"/>
    <w:rsid w:val="00B96B22"/>
    <w:rsid w:val="00B97D1C"/>
    <w:rsid w:val="00BA67A8"/>
    <w:rsid w:val="00BA6F90"/>
    <w:rsid w:val="00BA72D1"/>
    <w:rsid w:val="00BB6E40"/>
    <w:rsid w:val="00BB7B6C"/>
    <w:rsid w:val="00BC4A5E"/>
    <w:rsid w:val="00BD163D"/>
    <w:rsid w:val="00BD1D61"/>
    <w:rsid w:val="00BD323F"/>
    <w:rsid w:val="00BD3D47"/>
    <w:rsid w:val="00BD7D03"/>
    <w:rsid w:val="00BE0700"/>
    <w:rsid w:val="00BE4919"/>
    <w:rsid w:val="00BE638A"/>
    <w:rsid w:val="00BF0810"/>
    <w:rsid w:val="00BF14DD"/>
    <w:rsid w:val="00BF32E7"/>
    <w:rsid w:val="00C00EFC"/>
    <w:rsid w:val="00C03C7A"/>
    <w:rsid w:val="00C103A2"/>
    <w:rsid w:val="00C1120A"/>
    <w:rsid w:val="00C115FF"/>
    <w:rsid w:val="00C11EC0"/>
    <w:rsid w:val="00C12F5A"/>
    <w:rsid w:val="00C16016"/>
    <w:rsid w:val="00C20CB1"/>
    <w:rsid w:val="00C25610"/>
    <w:rsid w:val="00C27606"/>
    <w:rsid w:val="00C30FA4"/>
    <w:rsid w:val="00C32EB3"/>
    <w:rsid w:val="00C40CFE"/>
    <w:rsid w:val="00C412F4"/>
    <w:rsid w:val="00C439CE"/>
    <w:rsid w:val="00C451C9"/>
    <w:rsid w:val="00C45E5D"/>
    <w:rsid w:val="00C47035"/>
    <w:rsid w:val="00C5001D"/>
    <w:rsid w:val="00C50457"/>
    <w:rsid w:val="00C50AD0"/>
    <w:rsid w:val="00C5547A"/>
    <w:rsid w:val="00C56027"/>
    <w:rsid w:val="00C577B2"/>
    <w:rsid w:val="00C60477"/>
    <w:rsid w:val="00C61B05"/>
    <w:rsid w:val="00C625B7"/>
    <w:rsid w:val="00C65644"/>
    <w:rsid w:val="00C65C53"/>
    <w:rsid w:val="00C7092D"/>
    <w:rsid w:val="00C70B5B"/>
    <w:rsid w:val="00C740A2"/>
    <w:rsid w:val="00C75684"/>
    <w:rsid w:val="00C7731E"/>
    <w:rsid w:val="00C81FC1"/>
    <w:rsid w:val="00C8691C"/>
    <w:rsid w:val="00C9181F"/>
    <w:rsid w:val="00C92102"/>
    <w:rsid w:val="00C955DF"/>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13DB8"/>
    <w:rsid w:val="00D2493B"/>
    <w:rsid w:val="00D24C04"/>
    <w:rsid w:val="00D26AA7"/>
    <w:rsid w:val="00D31576"/>
    <w:rsid w:val="00D31DA2"/>
    <w:rsid w:val="00D32C48"/>
    <w:rsid w:val="00D36A8F"/>
    <w:rsid w:val="00D3758F"/>
    <w:rsid w:val="00D37A10"/>
    <w:rsid w:val="00D42550"/>
    <w:rsid w:val="00D42CAE"/>
    <w:rsid w:val="00D43576"/>
    <w:rsid w:val="00D46285"/>
    <w:rsid w:val="00D47381"/>
    <w:rsid w:val="00D52454"/>
    <w:rsid w:val="00D5422B"/>
    <w:rsid w:val="00D60196"/>
    <w:rsid w:val="00D60C44"/>
    <w:rsid w:val="00D62069"/>
    <w:rsid w:val="00D63F8F"/>
    <w:rsid w:val="00D648EA"/>
    <w:rsid w:val="00D64E62"/>
    <w:rsid w:val="00D677CE"/>
    <w:rsid w:val="00D71064"/>
    <w:rsid w:val="00D7319E"/>
    <w:rsid w:val="00D7527F"/>
    <w:rsid w:val="00D77592"/>
    <w:rsid w:val="00D82FC9"/>
    <w:rsid w:val="00D856F1"/>
    <w:rsid w:val="00D85D1D"/>
    <w:rsid w:val="00D90E6D"/>
    <w:rsid w:val="00D949C8"/>
    <w:rsid w:val="00D95E23"/>
    <w:rsid w:val="00D95F06"/>
    <w:rsid w:val="00DA4D71"/>
    <w:rsid w:val="00DA7EEF"/>
    <w:rsid w:val="00DB57AB"/>
    <w:rsid w:val="00DB5F20"/>
    <w:rsid w:val="00DB7F91"/>
    <w:rsid w:val="00DC196A"/>
    <w:rsid w:val="00DC38E2"/>
    <w:rsid w:val="00DC4E85"/>
    <w:rsid w:val="00DD4527"/>
    <w:rsid w:val="00DD4D4D"/>
    <w:rsid w:val="00DD4F15"/>
    <w:rsid w:val="00DD5163"/>
    <w:rsid w:val="00DE294E"/>
    <w:rsid w:val="00DE6510"/>
    <w:rsid w:val="00DF001E"/>
    <w:rsid w:val="00DF542D"/>
    <w:rsid w:val="00DF59C3"/>
    <w:rsid w:val="00E027DF"/>
    <w:rsid w:val="00E0481F"/>
    <w:rsid w:val="00E04A91"/>
    <w:rsid w:val="00E10598"/>
    <w:rsid w:val="00E11EB0"/>
    <w:rsid w:val="00E16E4E"/>
    <w:rsid w:val="00E217C0"/>
    <w:rsid w:val="00E22D03"/>
    <w:rsid w:val="00E240F8"/>
    <w:rsid w:val="00E256C7"/>
    <w:rsid w:val="00E25763"/>
    <w:rsid w:val="00E3164F"/>
    <w:rsid w:val="00E31FDC"/>
    <w:rsid w:val="00E34144"/>
    <w:rsid w:val="00E36A1B"/>
    <w:rsid w:val="00E37FAA"/>
    <w:rsid w:val="00E40A0C"/>
    <w:rsid w:val="00E40B7B"/>
    <w:rsid w:val="00E47B37"/>
    <w:rsid w:val="00E53742"/>
    <w:rsid w:val="00E53E01"/>
    <w:rsid w:val="00E56738"/>
    <w:rsid w:val="00E616EE"/>
    <w:rsid w:val="00E6478A"/>
    <w:rsid w:val="00E656EC"/>
    <w:rsid w:val="00E714B8"/>
    <w:rsid w:val="00E73289"/>
    <w:rsid w:val="00E76227"/>
    <w:rsid w:val="00E773D5"/>
    <w:rsid w:val="00E80FD5"/>
    <w:rsid w:val="00E87D4F"/>
    <w:rsid w:val="00E87F8A"/>
    <w:rsid w:val="00E91206"/>
    <w:rsid w:val="00EA0A53"/>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AB3"/>
    <w:rsid w:val="00F04FE8"/>
    <w:rsid w:val="00F056F6"/>
    <w:rsid w:val="00F05B38"/>
    <w:rsid w:val="00F100BD"/>
    <w:rsid w:val="00F11331"/>
    <w:rsid w:val="00F13CAD"/>
    <w:rsid w:val="00F150B4"/>
    <w:rsid w:val="00F15B16"/>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3CDC"/>
    <w:rsid w:val="00F8693F"/>
    <w:rsid w:val="00F91F3B"/>
    <w:rsid w:val="00F95A52"/>
    <w:rsid w:val="00F97574"/>
    <w:rsid w:val="00FA0DA1"/>
    <w:rsid w:val="00FA48CC"/>
    <w:rsid w:val="00FA506D"/>
    <w:rsid w:val="00FA5D8B"/>
    <w:rsid w:val="00FA7F29"/>
    <w:rsid w:val="00FB175A"/>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4788"/>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 w:type="paragraph" w:styleId="NoSpacing">
    <w:name w:val="No Spacing"/>
    <w:uiPriority w:val="1"/>
    <w:qFormat/>
    <w:rsid w:val="004C1638"/>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3933">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7454B52-E13B-164C-9279-804BAB10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4757</Words>
  <Characters>25694</Characters>
  <Application>Microsoft Macintosh Word</Application>
  <DocSecurity>0</DocSecurity>
  <Lines>1976</Lines>
  <Paragraphs>2175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98</cp:revision>
  <dcterms:created xsi:type="dcterms:W3CDTF">2016-12-11T16:54:00Z</dcterms:created>
  <dcterms:modified xsi:type="dcterms:W3CDTF">2016-12-17T14:05:00Z</dcterms:modified>
</cp:coreProperties>
</file>