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74AA4FDE" w14:textId="3EA66067" w:rsidR="00F12CD8" w:rsidRPr="002D4827" w:rsidRDefault="00F12CD8" w:rsidP="00F12CD8">
      <w:pPr>
        <w:pStyle w:val="Mmoire"/>
        <w:rPr>
          <w:rFonts w:eastAsiaTheme="majorEastAsia" w:cstheme="majorBidi"/>
          <w:b/>
          <w:color w:val="000000" w:themeColor="text1"/>
          <w:sz w:val="28"/>
          <w:szCs w:val="32"/>
          <w:lang w:val="fr-CH"/>
        </w:rPr>
      </w:pPr>
      <w:r>
        <w:rPr>
          <w:rFonts w:eastAsiaTheme="majorEastAsia" w:cstheme="majorBidi"/>
          <w:b/>
          <w:color w:val="000000" w:themeColor="text1"/>
          <w:sz w:val="28"/>
          <w:szCs w:val="32"/>
          <w:lang w:val="fr-CH"/>
        </w:rPr>
        <w:t>Remake, sérialité et épidémiologie des représentations</w:t>
      </w:r>
    </w:p>
    <w:p w14:paraId="43E9272C" w14:textId="46A0C94E" w:rsidR="00C644F3" w:rsidRDefault="0047271E" w:rsidP="005A3EBC">
      <w:pPr>
        <w:pStyle w:val="Heading2"/>
        <w:spacing w:before="120" w:after="120"/>
        <w:rPr>
          <w:sz w:val="26"/>
        </w:rPr>
      </w:pPr>
      <w:r w:rsidRPr="005A3EBC">
        <w:rPr>
          <w:sz w:val="26"/>
        </w:rPr>
        <w:t>Éléments de définition</w:t>
      </w:r>
    </w:p>
    <w:p w14:paraId="1936D48E" w14:textId="454048CC" w:rsidR="008A39A8" w:rsidRDefault="008A39A8" w:rsidP="008A39A8">
      <w:pPr>
        <w:pStyle w:val="Mmoire"/>
      </w:pPr>
      <w:r>
        <w:t>Dans l’optique de parvenir en fin de chapitre à un</w:t>
      </w:r>
      <w:r w:rsidR="0093138B">
        <w:t xml:space="preserve">e ébauche de modèle épidémiologique des représentations filmiques </w:t>
      </w:r>
      <w:r w:rsidR="00313C3A">
        <w:t>qui sera mise à l’épreuve sur</w:t>
      </w:r>
      <w:r w:rsidR="00A145C5">
        <w:t xml:space="preserve"> la série des </w:t>
      </w:r>
      <w:r w:rsidR="00A145C5">
        <w:rPr>
          <w:i/>
        </w:rPr>
        <w:t>Invasion of the Body Snatchers</w:t>
      </w:r>
      <w:r w:rsidR="00A145C5">
        <w:t xml:space="preserve">, </w:t>
      </w:r>
      <w:r w:rsidR="00313C3A">
        <w:t xml:space="preserve">il faut dans un premier temps revenir sur certains concepts clés (remake, série et mimétique) </w:t>
      </w:r>
      <w:r w:rsidR="00B07BD9">
        <w:t xml:space="preserve">afin de voir </w:t>
      </w:r>
      <w:r w:rsidR="000E7303">
        <w:t>comment ces derniers sont définis, évoluent et s’articulent entre eux. Il s’agira ensuite de reconsidérer l’impact de la notion du cinéma comme représentation publique sur les phénomènes de mimétique et de conscience collective, et, finalement, de considérer la sérialité et le remake comme un</w:t>
      </w:r>
      <w:r w:rsidR="001A4B11">
        <w:t xml:space="preserve"> processus de</w:t>
      </w:r>
      <w:r w:rsidR="000E7303">
        <w:t xml:space="preserve"> </w:t>
      </w:r>
      <w:r w:rsidR="000E7303" w:rsidRPr="005B4F61">
        <w:rPr>
          <w:i/>
        </w:rPr>
        <w:t>sélection naturelle</w:t>
      </w:r>
      <w:r w:rsidR="000E7303">
        <w:t xml:space="preserve"> des représentations culturelles.</w:t>
      </w:r>
    </w:p>
    <w:p w14:paraId="6541FA96" w14:textId="0B39BCDD" w:rsidR="00D724E7" w:rsidRPr="00242DD4" w:rsidRDefault="00D724E7" w:rsidP="00D724E7">
      <w:pPr>
        <w:pStyle w:val="Mmoire"/>
      </w:pPr>
      <w:r>
        <w:tab/>
        <w:t xml:space="preserve">Le choix de commencer ce chapitre par une manifestation particulière de la sérialité que constitue le remake est conscient : le but est ici de partir d’un concept à priori précis en le déconstruisant étape-par-étape avant de finalement le reconsidérer au sein d’un mécanisme de sérialité plus vaste. </w:t>
      </w:r>
      <w:r w:rsidR="00242DD4">
        <w:t>Ces reconsidérations devraient permettre d’accorder au remake un sens plus large et, idéalement, plus productif</w:t>
      </w:r>
      <w:r>
        <w:t xml:space="preserve"> </w:t>
      </w:r>
      <w:r w:rsidR="00242DD4">
        <w:t xml:space="preserve">lors de la discussion de ce qui constitue l’objet sériel </w:t>
      </w:r>
      <w:r w:rsidR="00242DD4">
        <w:rPr>
          <w:i/>
        </w:rPr>
        <w:t>Invasion of the Body Snatchers</w:t>
      </w:r>
      <w:r w:rsidR="00242DD4">
        <w:t>.</w:t>
      </w:r>
    </w:p>
    <w:p w14:paraId="5E59394B" w14:textId="1FF7CE09" w:rsidR="00C644F3" w:rsidRPr="005A3EBC" w:rsidRDefault="00C644F3" w:rsidP="005A3EBC">
      <w:pPr>
        <w:pStyle w:val="Heading3"/>
        <w:spacing w:before="120"/>
        <w:rPr>
          <w:b/>
        </w:rPr>
      </w:pPr>
      <w:r w:rsidRPr="005A3EBC">
        <w:rPr>
          <w:b/>
        </w:rPr>
        <w:t>Remake</w:t>
      </w:r>
    </w:p>
    <w:p w14:paraId="0EB19C7C" w14:textId="4DA49695" w:rsidR="003B7A10" w:rsidRDefault="007B542C" w:rsidP="00C644F3">
      <w:pPr>
        <w:pStyle w:val="Mmoire"/>
      </w:pPr>
      <w:r>
        <w:t>Le Petit Robert (édition 2012) déf</w:t>
      </w:r>
      <w:r w:rsidR="003B7A10">
        <w:t>init le remake comme :</w:t>
      </w:r>
    </w:p>
    <w:p w14:paraId="36D4B1B8" w14:textId="3AC4E7E3" w:rsidR="00C644F3" w:rsidRDefault="003B7A10" w:rsidP="003B7A10">
      <w:pPr>
        <w:ind w:left="720"/>
      </w:pPr>
      <w:r>
        <w:t xml:space="preserve">n.m. – 1946 ; mot angl., de </w:t>
      </w:r>
      <w:r>
        <w:rPr>
          <w:i/>
        </w:rPr>
        <w:t>to remake</w:t>
      </w:r>
      <w:r>
        <w:t xml:space="preserve"> « refaire » 1. masse* (encadré) </w:t>
      </w:r>
      <w:r>
        <w:sym w:font="Symbol" w:char="F0A8"/>
      </w:r>
      <w:r w:rsidRPr="00D52369">
        <w:rPr>
          <w:smallCaps/>
          <w:sz w:val="22"/>
        </w:rPr>
        <w:t>ANGLIC.</w:t>
      </w:r>
      <w:r>
        <w:t xml:space="preserve"> Film reproduisant, avec de nouveaux acteurs, la première version d’un film à succès. – Nouvelle version (d’un œuvre littéraire).</w:t>
      </w:r>
    </w:p>
    <w:p w14:paraId="67C5BE0E" w14:textId="77777777" w:rsidR="00545763" w:rsidRDefault="00545763" w:rsidP="003B7A10">
      <w:pPr>
        <w:ind w:left="720"/>
      </w:pPr>
    </w:p>
    <w:p w14:paraId="0E096431" w14:textId="77777777" w:rsidR="00885201" w:rsidRDefault="00A008E9" w:rsidP="003E7BC5">
      <w:pPr>
        <w:pStyle w:val="Mmoire"/>
      </w:pPr>
      <w:r>
        <w:t xml:space="preserve">L’intérêt de s’intéresser à la définition de remake tirée d’un dictionnaire de langue plutôt que celle d’un ouvrage spécialisé est ici de voir comment le concept de remake est perçu pour un public « profane » aux théories sur la sérialité. </w:t>
      </w:r>
      <w:r w:rsidR="00545763">
        <w:t>La première constatation, assez surprenante, est la mention « d’œuvre littéraire »</w:t>
      </w:r>
      <w:r>
        <w:t xml:space="preserve"> : il en sera question plus tard dans ce chapitre à travers les pistes de réflexion proposées par Gérard Genette dans </w:t>
      </w:r>
      <w:r>
        <w:rPr>
          <w:i/>
        </w:rPr>
        <w:t>Palimpsestes</w:t>
      </w:r>
      <w:r>
        <w:t xml:space="preserve">. La deuxième constatation est </w:t>
      </w:r>
      <w:r>
        <w:lastRenderedPageBreak/>
        <w:t xml:space="preserve">l’entrée </w:t>
      </w:r>
      <w:r w:rsidR="002777D4">
        <w:t>relativement tardive du mot dans le dictionnaire</w:t>
      </w:r>
      <w:r w:rsidR="002777D4">
        <w:rPr>
          <w:rStyle w:val="FootnoteReference"/>
        </w:rPr>
        <w:footnoteReference w:id="1"/>
      </w:r>
      <w:r w:rsidR="00885201">
        <w:t xml:space="preserve">, particulièrement pour un terme qui se vaudrait également valable dans le cadre d’œuvres littéraires. Finalement, la définition donnée par le dictionnaire du remake cinématographique semble très restrictive : le remake devrait comporter de nouveaux acteurs et reproduire une première version d’un film à succès. Un film en reproduisant un autre tout en comportant les mêmes acteurs ou en se basant sur un film n’ayant connu aucun succès serait, selon cette définition, par un remake. </w:t>
      </w:r>
    </w:p>
    <w:p w14:paraId="0C3BE7C5" w14:textId="58A27D8E" w:rsidR="003E7BC5" w:rsidRPr="007F4F8A" w:rsidRDefault="00885201" w:rsidP="00885201">
      <w:pPr>
        <w:pStyle w:val="Mmoire"/>
        <w:ind w:firstLine="720"/>
        <w:rPr>
          <w:lang w:val="fr-CH"/>
        </w:rPr>
      </w:pPr>
      <w:r>
        <w:t xml:space="preserve">Si cet exercice semble un peu </w:t>
      </w:r>
      <w:r w:rsidR="000B6B61">
        <w:t>vain</w:t>
      </w:r>
      <w:r>
        <w:t xml:space="preserve"> à priori, il symptomatise pourtant le problème le plus conséquent qui touche tous les ouvrages académiques traitant du remake : </w:t>
      </w:r>
      <w:r w:rsidR="0017529D">
        <w:t>l’impossibilité d’offrir une taxonomie définitive du remake.</w:t>
      </w:r>
      <w:r w:rsidR="00376712">
        <w:t xml:space="preserve"> Dans un article, </w:t>
      </w:r>
      <w:r w:rsidR="00DC712C">
        <w:t>Robert E</w:t>
      </w:r>
      <w:r w:rsidR="002254F2">
        <w:t>b</w:t>
      </w:r>
      <w:r w:rsidR="00DC712C">
        <w:t>erwein</w:t>
      </w:r>
      <w:r w:rsidR="00DC712C">
        <w:rPr>
          <w:rStyle w:val="FootnoteReference"/>
        </w:rPr>
        <w:footnoteReference w:id="2"/>
      </w:r>
      <w:r w:rsidR="00CC23E3">
        <w:t xml:space="preserve"> propose une catégorisation des remakes : le résultat est un ensemble de 15 catégories (comprenant chacune entre 2 et 5 sous-</w:t>
      </w:r>
      <w:r w:rsidR="00F0242F">
        <w:t>catégories) dont</w:t>
      </w:r>
      <w:r w:rsidR="00CC23E3">
        <w:t xml:space="preserve"> l’auteur finit pa</w:t>
      </w:r>
      <w:r w:rsidR="00606EEA">
        <w:t>r</w:t>
      </w:r>
      <w:r w:rsidR="00CC23E3">
        <w:t xml:space="preserve"> avouer qu’il est insuffisant et que certains films occuperaient plusieurs catégories simultanément</w:t>
      </w:r>
      <w:r w:rsidR="00CC23E3">
        <w:rPr>
          <w:rStyle w:val="FootnoteReference"/>
        </w:rPr>
        <w:footnoteReference w:id="3"/>
      </w:r>
      <w:r w:rsidR="00CC23E3">
        <w:t>.</w:t>
      </w:r>
      <w:r w:rsidR="004F1697">
        <w:t xml:space="preserve"> La complexité que certains remakes entretiennent avec </w:t>
      </w:r>
      <w:r w:rsidR="00101132">
        <w:t>leur film original</w:t>
      </w:r>
      <w:r w:rsidR="004F1697">
        <w:t xml:space="preserve"> est telle que toute tentative de classification semble non seulement vouée à l’échec mais en plus peu prod</w:t>
      </w:r>
      <w:r w:rsidR="00555506">
        <w:t xml:space="preserve">uctive ; c’est pourquoi une majorité des ouvrages et académiques concernant de remake se limitent à une série (ou un </w:t>
      </w:r>
      <w:r w:rsidR="00555506">
        <w:rPr>
          <w:i/>
        </w:rPr>
        <w:t>cas</w:t>
      </w:r>
      <w:r w:rsidR="00555506">
        <w:t xml:space="preserve">) en particulier afin d’aborder la question. </w:t>
      </w:r>
      <w:r w:rsidR="008B4E67" w:rsidRPr="00017D3A">
        <w:rPr>
          <w:lang w:val="fr-CH"/>
        </w:rPr>
        <w:t>Dans l’introduction de</w:t>
      </w:r>
      <w:r w:rsidR="008B4E67" w:rsidRPr="006A402A">
        <w:rPr>
          <w:lang w:val="en-GB"/>
        </w:rPr>
        <w:t xml:space="preserve"> </w:t>
      </w:r>
      <w:r w:rsidR="008B4E67" w:rsidRPr="006A402A">
        <w:rPr>
          <w:i/>
          <w:lang w:val="en-GB"/>
        </w:rPr>
        <w:t>Play it again, Sam – Retakes on Remakes</w:t>
      </w:r>
      <w:r w:rsidR="006A402A">
        <w:rPr>
          <w:rStyle w:val="FootnoteReference"/>
          <w:i/>
          <w:lang w:val="en-GB"/>
        </w:rPr>
        <w:footnoteReference w:id="4"/>
      </w:r>
      <w:r w:rsidR="00521049" w:rsidRPr="006A402A">
        <w:rPr>
          <w:lang w:val="en-GB"/>
        </w:rPr>
        <w:t xml:space="preserve">, </w:t>
      </w:r>
      <w:r w:rsidR="006A402A">
        <w:rPr>
          <w:lang w:val="en-GB"/>
        </w:rPr>
        <w:t xml:space="preserve">Andrew Horton et Stuart Y. McDougal </w:t>
      </w:r>
      <w:r w:rsidR="00017D3A" w:rsidRPr="00017D3A">
        <w:rPr>
          <w:lang w:val="fr-CH"/>
        </w:rPr>
        <w:t xml:space="preserve">se lamentent du manque </w:t>
      </w:r>
      <w:r w:rsidR="00017D3A">
        <w:rPr>
          <w:lang w:val="fr-CH"/>
        </w:rPr>
        <w:t>de « </w:t>
      </w:r>
      <w:r w:rsidR="00017D3A" w:rsidRPr="00177905">
        <w:rPr>
          <w:lang w:val="en-US"/>
        </w:rPr>
        <w:t>critical attention</w:t>
      </w:r>
      <w:r w:rsidR="00017D3A">
        <w:rPr>
          <w:lang w:val="fr-CH"/>
        </w:rPr>
        <w:t xml:space="preserve"> »</w:t>
      </w:r>
      <w:r w:rsidR="00017D3A">
        <w:rPr>
          <w:rStyle w:val="FootnoteReference"/>
          <w:lang w:val="fr-CH"/>
        </w:rPr>
        <w:footnoteReference w:id="5"/>
      </w:r>
      <w:r w:rsidR="00017D3A">
        <w:rPr>
          <w:lang w:val="fr-CH"/>
        </w:rPr>
        <w:t xml:space="preserve"> que reçoivent les remakes</w:t>
      </w:r>
      <w:r w:rsidR="00C15D57">
        <w:rPr>
          <w:rStyle w:val="FootnoteReference"/>
          <w:lang w:val="fr-CH"/>
        </w:rPr>
        <w:footnoteReference w:id="6"/>
      </w:r>
      <w:r w:rsidR="007158DA">
        <w:rPr>
          <w:lang w:val="fr-CH"/>
        </w:rPr>
        <w:t xml:space="preserve"> malgré l’intérêt porté par le monde académique sur </w:t>
      </w:r>
      <w:r w:rsidR="00D90E8B">
        <w:rPr>
          <w:lang w:val="fr-CH"/>
        </w:rPr>
        <w:t>le film comme médium intertextuel et la prévalence du remake comme stratégie commerciale.</w:t>
      </w:r>
      <w:r w:rsidR="00D442A3">
        <w:rPr>
          <w:lang w:val="fr-CH"/>
        </w:rPr>
        <w:t xml:space="preserve"> Ils proposent donc d’approcher le remake par une série d’essais se concentrant sur un aspect particulier (« </w:t>
      </w:r>
      <w:r w:rsidR="00D442A3" w:rsidRPr="00D442A3">
        <w:rPr>
          <w:lang w:val="en-US"/>
        </w:rPr>
        <w:t>the personal (psychological), the sociocultural (political-cultural-anthropological), and the artistic (cinematic narrative : style-substance-presentation </w:t>
      </w:r>
      <w:r w:rsidR="00D442A3">
        <w:rPr>
          <w:lang w:val="fr-CH"/>
        </w:rPr>
        <w:t>»</w:t>
      </w:r>
      <w:r w:rsidR="00D442A3">
        <w:rPr>
          <w:rStyle w:val="FootnoteReference"/>
          <w:lang w:val="fr-CH"/>
        </w:rPr>
        <w:footnoteReference w:id="7"/>
      </w:r>
      <w:r w:rsidR="00D442A3">
        <w:rPr>
          <w:lang w:val="fr-CH"/>
        </w:rPr>
        <w:t>)</w:t>
      </w:r>
      <w:r w:rsidR="00DE4D1F">
        <w:rPr>
          <w:lang w:val="fr-CH"/>
        </w:rPr>
        <w:t xml:space="preserve"> tout en précisant les catégories d’intertextualités définies par Genette, cas ces dernières « do not take us far enough »</w:t>
      </w:r>
      <w:r w:rsidR="00DE4D1F">
        <w:rPr>
          <w:rStyle w:val="FootnoteReference"/>
          <w:lang w:val="fr-CH"/>
        </w:rPr>
        <w:footnoteReference w:id="8"/>
      </w:r>
      <w:r w:rsidR="00C20B20">
        <w:rPr>
          <w:lang w:val="fr-CH"/>
        </w:rPr>
        <w:t xml:space="preserve">. </w:t>
      </w:r>
      <w:r w:rsidR="00C47547">
        <w:rPr>
          <w:lang w:val="fr-CH"/>
        </w:rPr>
        <w:t xml:space="preserve">La série d’essais composant l’ouvrage </w:t>
      </w:r>
      <w:r w:rsidR="005A078D">
        <w:rPr>
          <w:lang w:val="fr-CH"/>
        </w:rPr>
        <w:t>offrent une perspective sur le remake à travers diverses approches : McDougal opte par exemple pour une approche auteuriale via la figure d’Hitchcock</w:t>
      </w:r>
      <w:r w:rsidR="005A078D">
        <w:rPr>
          <w:rStyle w:val="FootnoteReference"/>
          <w:lang w:val="fr-CH"/>
        </w:rPr>
        <w:footnoteReference w:id="9"/>
      </w:r>
      <w:r w:rsidR="00DF2ED6">
        <w:rPr>
          <w:lang w:val="fr-CH"/>
        </w:rPr>
        <w:t xml:space="preserve"> et de ses deux versions de </w:t>
      </w:r>
      <w:r w:rsidR="00DF2ED6">
        <w:rPr>
          <w:i/>
          <w:lang w:val="fr-CH"/>
        </w:rPr>
        <w:t>The Man Who Knew Too Much</w:t>
      </w:r>
      <w:r w:rsidR="00DF2ED6">
        <w:rPr>
          <w:rStyle w:val="FootnoteReference"/>
          <w:i/>
          <w:lang w:val="fr-CH"/>
        </w:rPr>
        <w:footnoteReference w:id="10"/>
      </w:r>
      <w:r w:rsidR="00503D00">
        <w:rPr>
          <w:lang w:val="fr-CH"/>
        </w:rPr>
        <w:t xml:space="preserve">, </w:t>
      </w:r>
      <w:r w:rsidR="00070B0D">
        <w:rPr>
          <w:lang w:val="fr-CH"/>
        </w:rPr>
        <w:t>Lyold Michaels</w:t>
      </w:r>
      <w:r w:rsidR="00070B0D">
        <w:rPr>
          <w:rStyle w:val="FootnoteReference"/>
          <w:lang w:val="fr-CH"/>
        </w:rPr>
        <w:footnoteReference w:id="11"/>
      </w:r>
      <w:r w:rsidR="00070B0D">
        <w:rPr>
          <w:lang w:val="fr-CH"/>
        </w:rPr>
        <w:t xml:space="preserve"> et Ira Konigsberg</w:t>
      </w:r>
      <w:r w:rsidR="00070B0D">
        <w:rPr>
          <w:rStyle w:val="FootnoteReference"/>
          <w:lang w:val="fr-CH"/>
        </w:rPr>
        <w:footnoteReference w:id="12"/>
      </w:r>
      <w:r w:rsidR="003C4830">
        <w:rPr>
          <w:lang w:val="fr-CH"/>
        </w:rPr>
        <w:t xml:space="preserve"> s’intéressent à la récurrence thématique de la figure de Nosferatu/Dracula ou Luca Somligi</w:t>
      </w:r>
      <w:r w:rsidR="003C4830">
        <w:rPr>
          <w:rStyle w:val="FootnoteReference"/>
          <w:lang w:val="fr-CH"/>
        </w:rPr>
        <w:footnoteReference w:id="13"/>
      </w:r>
      <w:r w:rsidR="007F4F8A">
        <w:rPr>
          <w:lang w:val="fr-CH"/>
        </w:rPr>
        <w:t xml:space="preserve"> qui considère l’adaptation de </w:t>
      </w:r>
      <w:r w:rsidR="007F4F8A">
        <w:rPr>
          <w:i/>
          <w:lang w:val="fr-CH"/>
        </w:rPr>
        <w:t>comics</w:t>
      </w:r>
      <w:r w:rsidR="007F4F8A">
        <w:rPr>
          <w:lang w:val="fr-CH"/>
        </w:rPr>
        <w:t xml:space="preserve"> au cinéma comme une pratique de remake.</w:t>
      </w:r>
      <w:r w:rsidR="00AC354A">
        <w:rPr>
          <w:lang w:val="fr-CH"/>
        </w:rPr>
        <w:t xml:space="preserve"> Ces textes et la variété des approches illustrent</w:t>
      </w:r>
      <w:r w:rsidR="00432B66">
        <w:rPr>
          <w:lang w:val="fr-CH"/>
        </w:rPr>
        <w:t xml:space="preserve"> l’ampleur des pratiques liées au remake et, mis-à-part les quelques tentatives d’établir une </w:t>
      </w:r>
      <w:bookmarkStart w:id="0" w:name="_GoBack"/>
      <w:bookmarkEnd w:id="0"/>
      <w:r w:rsidR="000455D6">
        <w:rPr>
          <w:lang w:val="fr-CH"/>
        </w:rPr>
        <w:t>taxonomie, aucun</w:t>
      </w:r>
      <w:r w:rsidR="00432B66">
        <w:rPr>
          <w:lang w:val="fr-CH"/>
        </w:rPr>
        <w:t xml:space="preserve"> des auteurs ne prétend adopter un modèle universel. </w:t>
      </w:r>
    </w:p>
    <w:sectPr w:rsidR="003E7BC5" w:rsidRPr="007F4F8A"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4B0D2" w14:textId="77777777" w:rsidR="003C0E9B" w:rsidRDefault="003C0E9B" w:rsidP="00173138">
      <w:r>
        <w:separator/>
      </w:r>
    </w:p>
  </w:endnote>
  <w:endnote w:type="continuationSeparator" w:id="0">
    <w:p w14:paraId="4CF95C20" w14:textId="77777777" w:rsidR="003C0E9B" w:rsidRDefault="003C0E9B"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0455D6">
      <w:rPr>
        <w:rStyle w:val="PageNumber"/>
        <w:noProof/>
        <w:sz w:val="22"/>
      </w:rPr>
      <w:t>3</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4A8AD" w14:textId="77777777" w:rsidR="003C0E9B" w:rsidRDefault="003C0E9B" w:rsidP="00173138">
      <w:r>
        <w:separator/>
      </w:r>
    </w:p>
  </w:footnote>
  <w:footnote w:type="continuationSeparator" w:id="0">
    <w:p w14:paraId="365AD5E5" w14:textId="77777777" w:rsidR="003C0E9B" w:rsidRDefault="003C0E9B" w:rsidP="00173138">
      <w:r>
        <w:continuationSeparator/>
      </w:r>
    </w:p>
  </w:footnote>
  <w:footnote w:id="1">
    <w:p w14:paraId="0D16DF6B" w14:textId="4A6E8D7B" w:rsidR="002777D4" w:rsidRPr="002777D4" w:rsidRDefault="002777D4">
      <w:pPr>
        <w:pStyle w:val="FootnoteText"/>
        <w:rPr>
          <w:lang w:val="fr-CH"/>
        </w:rPr>
      </w:pPr>
      <w:r>
        <w:rPr>
          <w:rStyle w:val="FootnoteReference"/>
        </w:rPr>
        <w:footnoteRef/>
      </w:r>
      <w:r>
        <w:t xml:space="preserve"> </w:t>
      </w:r>
      <w:r>
        <w:rPr>
          <w:lang w:val="fr-CH"/>
        </w:rPr>
        <w:t>Pour comparaison, le terme purement cinématographique de « travelling » est daté de 1927</w:t>
      </w:r>
      <w:r w:rsidR="008F5ECA">
        <w:rPr>
          <w:lang w:val="fr-CH"/>
        </w:rPr>
        <w:t xml:space="preserve"> par le dictionnaire</w:t>
      </w:r>
      <w:r w:rsidR="00885201">
        <w:rPr>
          <w:lang w:val="fr-CH"/>
        </w:rPr>
        <w:t>.</w:t>
      </w:r>
    </w:p>
  </w:footnote>
  <w:footnote w:id="2">
    <w:p w14:paraId="6EEAA55A" w14:textId="3788D5BE" w:rsidR="00DC712C" w:rsidRPr="00DC712C" w:rsidRDefault="00DC712C">
      <w:pPr>
        <w:pStyle w:val="FootnoteText"/>
        <w:rPr>
          <w:lang w:val="en-US"/>
        </w:rPr>
      </w:pPr>
      <w:r>
        <w:rPr>
          <w:rStyle w:val="FootnoteReference"/>
        </w:rPr>
        <w:footnoteRef/>
      </w:r>
      <w:r w:rsidRPr="00DC712C">
        <w:rPr>
          <w:lang w:val="en-GB"/>
        </w:rPr>
        <w:t xml:space="preserve"> Robert Eberwein, « Remakes and Cultural Studies »</w:t>
      </w:r>
      <w:r>
        <w:rPr>
          <w:lang w:val="en-GB"/>
        </w:rPr>
        <w:t xml:space="preserve"> </w:t>
      </w:r>
      <w:r>
        <w:rPr>
          <w:i/>
          <w:lang w:val="en-GB"/>
        </w:rPr>
        <w:t>in</w:t>
      </w:r>
      <w:r w:rsidRPr="00DC712C">
        <w:rPr>
          <w:lang w:val="en-US"/>
        </w:rPr>
        <w:t xml:space="preserve"> Andrew</w:t>
      </w:r>
      <w:r>
        <w:rPr>
          <w:lang w:val="en-US"/>
        </w:rPr>
        <w:t xml:space="preserve"> Horton</w:t>
      </w:r>
      <w:r w:rsidRPr="00DC712C">
        <w:rPr>
          <w:lang w:val="en-US"/>
        </w:rPr>
        <w:t xml:space="preserve"> et Stuart Y.</w:t>
      </w:r>
      <w:r>
        <w:rPr>
          <w:lang w:val="en-US"/>
        </w:rPr>
        <w:t xml:space="preserve"> McDougal</w:t>
      </w:r>
      <w:r w:rsidRPr="00DC712C">
        <w:rPr>
          <w:lang w:val="en-US"/>
        </w:rPr>
        <w:t xml:space="preserve"> (éd</w:t>
      </w:r>
      <w:r w:rsidR="00712515">
        <w:rPr>
          <w:lang w:val="en-US"/>
        </w:rPr>
        <w:t>s.</w:t>
      </w:r>
      <w:r w:rsidRPr="00DC712C">
        <w:rPr>
          <w:lang w:val="en-US"/>
        </w:rPr>
        <w:t xml:space="preserve">), </w:t>
      </w:r>
      <w:r w:rsidRPr="00DC712C">
        <w:rPr>
          <w:i/>
          <w:lang w:val="en-US"/>
        </w:rPr>
        <w:t>Play it again, Sam – Retakes on Remakes</w:t>
      </w:r>
      <w:r w:rsidRPr="00DC712C">
        <w:rPr>
          <w:lang w:val="en-US"/>
        </w:rPr>
        <w:t>, Berkeley/Los Angeles, London, Unive</w:t>
      </w:r>
      <w:r w:rsidR="00825629">
        <w:rPr>
          <w:lang w:val="en-US"/>
        </w:rPr>
        <w:t>rsity of California Press, 1998, pp. 15-33.</w:t>
      </w:r>
    </w:p>
  </w:footnote>
  <w:footnote w:id="3">
    <w:p w14:paraId="7A12F8F4" w14:textId="776A194A" w:rsidR="00CC23E3" w:rsidRPr="00CC23E3" w:rsidRDefault="00CC23E3">
      <w:pPr>
        <w:pStyle w:val="FootnoteText"/>
        <w:rPr>
          <w:lang w:val="fr-CH"/>
        </w:rPr>
      </w:pPr>
      <w:r>
        <w:rPr>
          <w:rStyle w:val="FootnoteReference"/>
        </w:rPr>
        <w:footnoteRef/>
      </w:r>
      <w:r>
        <w:t xml:space="preserve"> </w:t>
      </w:r>
      <w:r w:rsidRPr="00DC712C">
        <w:rPr>
          <w:lang w:val="en-GB"/>
        </w:rPr>
        <w:t>Robert Eberwein</w:t>
      </w:r>
      <w:r>
        <w:rPr>
          <w:lang w:val="en-GB"/>
        </w:rPr>
        <w:t xml:space="preserve">, </w:t>
      </w:r>
      <w:r>
        <w:rPr>
          <w:i/>
          <w:lang w:val="en-GB"/>
        </w:rPr>
        <w:t>op. cit.</w:t>
      </w:r>
      <w:r>
        <w:rPr>
          <w:lang w:val="en-GB"/>
        </w:rPr>
        <w:t>, p. 30.</w:t>
      </w:r>
    </w:p>
  </w:footnote>
  <w:footnote w:id="4">
    <w:p w14:paraId="7D56A5C4" w14:textId="39E3813E" w:rsidR="006A402A" w:rsidRPr="006A402A" w:rsidRDefault="006A402A">
      <w:pPr>
        <w:pStyle w:val="FootnoteText"/>
        <w:rPr>
          <w:lang w:val="en-GB"/>
        </w:rPr>
      </w:pPr>
      <w:r>
        <w:rPr>
          <w:rStyle w:val="FootnoteReference"/>
        </w:rPr>
        <w:footnoteRef/>
      </w:r>
      <w:r w:rsidRPr="006A402A">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w:t>
      </w:r>
      <w:r w:rsidRPr="00DC712C">
        <w:rPr>
          <w:lang w:val="en-US"/>
        </w:rPr>
        <w:t xml:space="preserve"> (éd</w:t>
      </w:r>
      <w:r>
        <w:rPr>
          <w:lang w:val="en-US"/>
        </w:rPr>
        <w:t>s.</w:t>
      </w:r>
      <w:r w:rsidRPr="00DC712C">
        <w:rPr>
          <w:lang w:val="en-US"/>
        </w:rPr>
        <w:t xml:space="preserve">), </w:t>
      </w:r>
      <w:r w:rsidRPr="00DC712C">
        <w:rPr>
          <w:i/>
          <w:lang w:val="en-US"/>
        </w:rPr>
        <w:t>Play it again, Sam – Retakes on Remakes</w:t>
      </w:r>
      <w:r w:rsidRPr="00DC712C">
        <w:rPr>
          <w:lang w:val="en-US"/>
        </w:rPr>
        <w:t>, Berkeley/Los Angeles, London, Unive</w:t>
      </w:r>
      <w:r>
        <w:rPr>
          <w:lang w:val="en-US"/>
        </w:rPr>
        <w:t>rsity of California Press, 1998,</w:t>
      </w:r>
      <w:r>
        <w:rPr>
          <w:lang w:val="en-US"/>
        </w:rPr>
        <w:t xml:space="preserve"> pp. 1-11.</w:t>
      </w:r>
    </w:p>
  </w:footnote>
  <w:footnote w:id="5">
    <w:p w14:paraId="4278A841" w14:textId="2E5EFA70" w:rsidR="00017D3A" w:rsidRPr="00017D3A" w:rsidRDefault="00017D3A">
      <w:pPr>
        <w:pStyle w:val="FootnoteText"/>
        <w:rPr>
          <w:lang w:val="fr-CH"/>
        </w:rPr>
      </w:pPr>
      <w:r>
        <w:rPr>
          <w:rStyle w:val="FootnoteReference"/>
        </w:rPr>
        <w:footnoteRef/>
      </w:r>
      <w: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w:t>
      </w:r>
      <w:r w:rsidRPr="00DC712C">
        <w:rPr>
          <w:lang w:val="en-US"/>
        </w:rPr>
        <w:t xml:space="preserve"> (éd</w:t>
      </w:r>
      <w:r>
        <w:rPr>
          <w:lang w:val="en-US"/>
        </w:rPr>
        <w:t>s.</w:t>
      </w:r>
      <w:r w:rsidRPr="00DC712C">
        <w:rPr>
          <w:lang w:val="en-US"/>
        </w:rPr>
        <w:t>),</w:t>
      </w:r>
      <w:r>
        <w:rPr>
          <w:lang w:val="en-US"/>
        </w:rPr>
        <w:t xml:space="preserve"> </w:t>
      </w:r>
      <w:r>
        <w:rPr>
          <w:i/>
          <w:lang w:val="en-US"/>
        </w:rPr>
        <w:t>op. cit.</w:t>
      </w:r>
      <w:r>
        <w:rPr>
          <w:lang w:val="en-US"/>
        </w:rPr>
        <w:t>, p. 1.</w:t>
      </w:r>
    </w:p>
  </w:footnote>
  <w:footnote w:id="6">
    <w:p w14:paraId="6C24F4AD" w14:textId="7C54BBE0" w:rsidR="00C15D57" w:rsidRPr="00C15D57" w:rsidRDefault="00C15D57">
      <w:pPr>
        <w:pStyle w:val="FootnoteText"/>
        <w:rPr>
          <w:lang w:val="fr-CH"/>
        </w:rPr>
      </w:pPr>
      <w:r>
        <w:rPr>
          <w:rStyle w:val="FootnoteReference"/>
        </w:rPr>
        <w:footnoteRef/>
      </w:r>
      <w:r>
        <w:t xml:space="preserve"> </w:t>
      </w:r>
      <w:r>
        <w:rPr>
          <w:lang w:val="fr-CH"/>
        </w:rPr>
        <w:t>Au moment de la publication de leur livre, les seuls ouvrages dédiés au remake consistaient en une liste de films et de leur synopsis sans aucune critique approfondie.</w:t>
      </w:r>
    </w:p>
  </w:footnote>
  <w:footnote w:id="7">
    <w:p w14:paraId="34640527" w14:textId="145251BC" w:rsidR="00D442A3" w:rsidRPr="00D442A3" w:rsidRDefault="00D442A3">
      <w:pPr>
        <w:pStyle w:val="FootnoteText"/>
        <w:rPr>
          <w:lang w:val="fr-CH"/>
        </w:rPr>
      </w:pPr>
      <w:r>
        <w:rPr>
          <w:rStyle w:val="FootnoteReference"/>
        </w:rPr>
        <w:footnoteRef/>
      </w:r>
      <w:r>
        <w:t xml:space="preserve"> </w:t>
      </w:r>
      <w:r w:rsidRPr="00C20B20">
        <w:rPr>
          <w:lang w:val="fr-CH"/>
        </w:rPr>
        <w:t xml:space="preserve">Andrew Horton et Stuart Y. McDougal (éds.), </w:t>
      </w:r>
      <w:r w:rsidRPr="00C20B20">
        <w:rPr>
          <w:i/>
          <w:lang w:val="fr-CH"/>
        </w:rPr>
        <w:t xml:space="preserve">op. </w:t>
      </w:r>
      <w:proofErr w:type="gramStart"/>
      <w:r w:rsidRPr="00C20B20">
        <w:rPr>
          <w:i/>
          <w:lang w:val="fr-CH"/>
        </w:rPr>
        <w:t>cit</w:t>
      </w:r>
      <w:proofErr w:type="gramEnd"/>
      <w:r w:rsidRPr="00C20B20">
        <w:rPr>
          <w:i/>
          <w:lang w:val="fr-CH"/>
        </w:rPr>
        <w:t>.</w:t>
      </w:r>
      <w:r w:rsidRPr="00C20B20">
        <w:rPr>
          <w:lang w:val="fr-CH"/>
        </w:rPr>
        <w:t>, p. 6-7</w:t>
      </w:r>
      <w:r w:rsidR="00DE4D1F" w:rsidRPr="00C20B20">
        <w:rPr>
          <w:lang w:val="fr-CH"/>
        </w:rPr>
        <w:t>.</w:t>
      </w:r>
    </w:p>
  </w:footnote>
  <w:footnote w:id="8">
    <w:p w14:paraId="3680667E" w14:textId="3252C7B3" w:rsidR="00DE4D1F" w:rsidRPr="00C20B20" w:rsidRDefault="00DE4D1F">
      <w:pPr>
        <w:pStyle w:val="FootnoteText"/>
        <w:rPr>
          <w:lang w:val="fr-CH"/>
        </w:rPr>
      </w:pPr>
      <w:r>
        <w:rPr>
          <w:rStyle w:val="FootnoteReference"/>
        </w:rPr>
        <w:footnoteRef/>
      </w:r>
      <w:r>
        <w:t xml:space="preserve"> </w:t>
      </w:r>
      <w:r w:rsidRPr="00C20B20">
        <w:rPr>
          <w:lang w:val="fr-CH"/>
        </w:rPr>
        <w:t xml:space="preserve">Andrew Horton et Stuart Y. McDougal (éds.), </w:t>
      </w:r>
      <w:r w:rsidRPr="00C20B20">
        <w:rPr>
          <w:i/>
          <w:lang w:val="fr-CH"/>
        </w:rPr>
        <w:t xml:space="preserve">op. </w:t>
      </w:r>
      <w:proofErr w:type="gramStart"/>
      <w:r w:rsidRPr="00C20B20">
        <w:rPr>
          <w:i/>
          <w:lang w:val="fr-CH"/>
        </w:rPr>
        <w:t>cit</w:t>
      </w:r>
      <w:proofErr w:type="gramEnd"/>
      <w:r w:rsidRPr="00C20B20">
        <w:rPr>
          <w:i/>
          <w:lang w:val="fr-CH"/>
        </w:rPr>
        <w:t>.</w:t>
      </w:r>
      <w:r w:rsidRPr="00C20B20">
        <w:rPr>
          <w:lang w:val="fr-CH"/>
        </w:rPr>
        <w:t xml:space="preserve">, p. </w:t>
      </w:r>
      <w:r w:rsidRPr="00C20B20">
        <w:rPr>
          <w:lang w:val="fr-CH"/>
        </w:rPr>
        <w:t>4.</w:t>
      </w:r>
    </w:p>
  </w:footnote>
  <w:footnote w:id="9">
    <w:p w14:paraId="5AA941D4" w14:textId="0CA8F705" w:rsidR="005A078D" w:rsidRPr="005A078D" w:rsidRDefault="005A078D">
      <w:pPr>
        <w:pStyle w:val="FootnoteText"/>
        <w:rPr>
          <w:lang w:val="en-GB"/>
        </w:rPr>
      </w:pPr>
      <w:r>
        <w:rPr>
          <w:rStyle w:val="FootnoteReference"/>
        </w:rPr>
        <w:footnoteRef/>
      </w:r>
      <w:r w:rsidRPr="005A078D">
        <w:rPr>
          <w:lang w:val="en-GB"/>
        </w:rPr>
        <w:t xml:space="preserve"> Stuart Y. McDougal, « The Director Who Knew Too Much: Hitchcock Remakes Himself » </w:t>
      </w:r>
      <w:r w:rsidRPr="005A078D">
        <w:rPr>
          <w:i/>
          <w:lang w:val="en-GB"/>
        </w:rPr>
        <w:t>in</w:t>
      </w:r>
      <w:r>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w:t>
      </w:r>
      <w:r>
        <w:rPr>
          <w:lang w:val="en-US"/>
        </w:rPr>
        <w:t xml:space="preserve">, </w:t>
      </w:r>
      <w:r>
        <w:rPr>
          <w:i/>
          <w:lang w:val="en-US"/>
        </w:rPr>
        <w:t>op. cit.</w:t>
      </w:r>
      <w:r>
        <w:rPr>
          <w:lang w:val="en-US"/>
        </w:rPr>
        <w:t>, pp. 52-69.</w:t>
      </w:r>
    </w:p>
  </w:footnote>
  <w:footnote w:id="10">
    <w:p w14:paraId="7D65E04B" w14:textId="735A46F6" w:rsidR="00DF2ED6" w:rsidRPr="00DF2ED6" w:rsidRDefault="00DF2ED6">
      <w:pPr>
        <w:pStyle w:val="FootnoteText"/>
        <w:rPr>
          <w:lang w:val="en-GB"/>
        </w:rPr>
      </w:pPr>
      <w:r>
        <w:rPr>
          <w:rStyle w:val="FootnoteReference"/>
        </w:rPr>
        <w:footnoteRef/>
      </w:r>
      <w:r w:rsidRPr="00DF2ED6">
        <w:rPr>
          <w:lang w:val="en-GB"/>
        </w:rPr>
        <w:t xml:space="preserve"> </w:t>
      </w:r>
      <w:r w:rsidRPr="00DF2ED6">
        <w:rPr>
          <w:i/>
          <w:lang w:val="en-GB"/>
        </w:rPr>
        <w:t>The Man Who Knew Too Much</w:t>
      </w:r>
      <w:r>
        <w:rPr>
          <w:lang w:val="en-GB"/>
        </w:rPr>
        <w:t xml:space="preserve"> (</w:t>
      </w:r>
      <w:r w:rsidRPr="00DF2ED6">
        <w:rPr>
          <w:i/>
          <w:lang w:val="en-GB"/>
        </w:rPr>
        <w:t>L'Homme qui en savait trop</w:t>
      </w:r>
      <w:r w:rsidR="00271C09">
        <w:rPr>
          <w:lang w:val="en-GB"/>
        </w:rPr>
        <w:t>, Alfred Hitchcock, 1934</w:t>
      </w:r>
      <w:r>
        <w:rPr>
          <w:lang w:val="en-GB"/>
        </w:rPr>
        <w:t>)</w:t>
      </w:r>
      <w:r w:rsidR="00271C09">
        <w:rPr>
          <w:lang w:val="en-GB"/>
        </w:rPr>
        <w:t xml:space="preserve"> et </w:t>
      </w:r>
      <w:r w:rsidR="00271C09" w:rsidRPr="00DF2ED6">
        <w:rPr>
          <w:i/>
          <w:lang w:val="en-GB"/>
        </w:rPr>
        <w:t>The Man Who Knew Too Much</w:t>
      </w:r>
      <w:r w:rsidR="00271C09">
        <w:rPr>
          <w:lang w:val="en-GB"/>
        </w:rPr>
        <w:t xml:space="preserve"> (</w:t>
      </w:r>
      <w:r w:rsidR="00271C09" w:rsidRPr="00DF2ED6">
        <w:rPr>
          <w:i/>
          <w:lang w:val="en-GB"/>
        </w:rPr>
        <w:t>L'Homme qui en savait trop</w:t>
      </w:r>
      <w:r w:rsidR="00271C09">
        <w:rPr>
          <w:lang w:val="en-GB"/>
        </w:rPr>
        <w:t>, Alfred Hitchcock, 19</w:t>
      </w:r>
      <w:r w:rsidR="00124C43">
        <w:rPr>
          <w:lang w:val="en-GB"/>
        </w:rPr>
        <w:t>56</w:t>
      </w:r>
      <w:r w:rsidR="00271C09">
        <w:rPr>
          <w:lang w:val="en-GB"/>
        </w:rPr>
        <w:t>)</w:t>
      </w:r>
      <w:r w:rsidR="00503D00">
        <w:rPr>
          <w:lang w:val="en-GB"/>
        </w:rPr>
        <w:t>.</w:t>
      </w:r>
    </w:p>
  </w:footnote>
  <w:footnote w:id="11">
    <w:p w14:paraId="617DCF54" w14:textId="6EACC0F2" w:rsidR="00070B0D" w:rsidRPr="00070B0D" w:rsidRDefault="00070B0D">
      <w:pPr>
        <w:pStyle w:val="FootnoteText"/>
        <w:rPr>
          <w:lang w:val="en-GB"/>
        </w:rPr>
      </w:pPr>
      <w:r>
        <w:rPr>
          <w:rStyle w:val="FootnoteReference"/>
        </w:rPr>
        <w:footnoteRef/>
      </w:r>
      <w:r w:rsidRPr="00070B0D">
        <w:rPr>
          <w:lang w:val="en-GB"/>
        </w:rPr>
        <w:t xml:space="preserve"> Lloyd Michaels, « </w:t>
      </w:r>
      <w:r w:rsidRPr="00070B0D">
        <w:rPr>
          <w:i/>
          <w:lang w:val="en-GB"/>
        </w:rPr>
        <w:t>Nosferatu</w:t>
      </w:r>
      <w:r w:rsidRPr="00070B0D">
        <w:rPr>
          <w:lang w:val="en-GB"/>
        </w:rPr>
        <w:t>, or the Phantom of Cinema »</w:t>
      </w:r>
      <w:r>
        <w:rPr>
          <w:lang w:val="en-GB"/>
        </w:rPr>
        <w:t xml:space="preserve"> </w:t>
      </w:r>
      <w:r w:rsidRPr="005A078D">
        <w:rPr>
          <w:i/>
          <w:lang w:val="en-GB"/>
        </w:rPr>
        <w:t>in</w:t>
      </w:r>
      <w:r>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 </w:t>
      </w:r>
      <w:r>
        <w:rPr>
          <w:i/>
          <w:lang w:val="en-US"/>
        </w:rPr>
        <w:t>op. cit.</w:t>
      </w:r>
      <w:r>
        <w:rPr>
          <w:lang w:val="en-GB"/>
        </w:rPr>
        <w:t>, pp. 238-249.</w:t>
      </w:r>
    </w:p>
  </w:footnote>
  <w:footnote w:id="12">
    <w:p w14:paraId="0F6C81F7" w14:textId="4E5E753C" w:rsidR="00070B0D" w:rsidRPr="00070B0D" w:rsidRDefault="00070B0D">
      <w:pPr>
        <w:pStyle w:val="FootnoteText"/>
        <w:rPr>
          <w:lang w:val="en-GB"/>
        </w:rPr>
      </w:pPr>
      <w:r>
        <w:rPr>
          <w:rStyle w:val="FootnoteReference"/>
        </w:rPr>
        <w:footnoteRef/>
      </w:r>
      <w:r w:rsidRPr="00070B0D">
        <w:rPr>
          <w:lang w:val="en-GB"/>
        </w:rPr>
        <w:t xml:space="preserve"> Ira Konigsberg, « How Many Draculas Does It Take to Change a </w:t>
      </w:r>
      <w:proofErr w:type="gramStart"/>
      <w:r w:rsidRPr="00070B0D">
        <w:rPr>
          <w:lang w:val="en-GB"/>
        </w:rPr>
        <w:t>Lightbulb ?</w:t>
      </w:r>
      <w:proofErr w:type="gramEnd"/>
      <w:r w:rsidRPr="00070B0D">
        <w:rPr>
          <w:lang w:val="en-GB"/>
        </w:rPr>
        <w:t> »</w:t>
      </w:r>
      <w:r w:rsidRPr="00070B0D">
        <w:rPr>
          <w:i/>
          <w:lang w:val="en-GB"/>
        </w:rPr>
        <w:t xml:space="preserve"> </w:t>
      </w:r>
      <w:r w:rsidRPr="005A078D">
        <w:rPr>
          <w:i/>
          <w:lang w:val="en-GB"/>
        </w:rPr>
        <w:t>in</w:t>
      </w:r>
      <w:r>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w:t>
      </w:r>
      <w:r w:rsidR="00FE0E6A">
        <w:rPr>
          <w:lang w:val="en-US"/>
        </w:rPr>
        <w:t xml:space="preserve"> </w:t>
      </w:r>
      <w:r w:rsidR="00FE0E6A">
        <w:rPr>
          <w:i/>
          <w:lang w:val="en-US"/>
        </w:rPr>
        <w:t>ibid.</w:t>
      </w:r>
      <w:r>
        <w:rPr>
          <w:lang w:val="en-GB"/>
        </w:rPr>
        <w:t>,</w:t>
      </w:r>
      <w:r w:rsidR="007D630F">
        <w:rPr>
          <w:lang w:val="en-GB"/>
        </w:rPr>
        <w:t xml:space="preserve"> </w:t>
      </w:r>
      <w:r>
        <w:rPr>
          <w:lang w:val="en-GB"/>
        </w:rPr>
        <w:t>pp. 250-275</w:t>
      </w:r>
      <w:r w:rsidR="007D630F">
        <w:rPr>
          <w:lang w:val="en-GB"/>
        </w:rPr>
        <w:t>.</w:t>
      </w:r>
    </w:p>
  </w:footnote>
  <w:footnote w:id="13">
    <w:p w14:paraId="65BBA435" w14:textId="00CF232D" w:rsidR="003C4830" w:rsidRPr="003C4830" w:rsidRDefault="003C4830">
      <w:pPr>
        <w:pStyle w:val="FootnoteText"/>
        <w:rPr>
          <w:lang w:val="en-GB"/>
        </w:rPr>
      </w:pPr>
      <w:r>
        <w:rPr>
          <w:rStyle w:val="FootnoteReference"/>
        </w:rPr>
        <w:footnoteRef/>
      </w:r>
      <w:r w:rsidRPr="003C4830">
        <w:rPr>
          <w:lang w:val="en-GB"/>
        </w:rPr>
        <w:t xml:space="preserve"> Luca Somligi, « The Superhero with a Thousand Faces: Visual Narratives on Film and Paper »</w:t>
      </w:r>
      <w:r>
        <w:rPr>
          <w:lang w:val="en-GB"/>
        </w:rPr>
        <w:t xml:space="preserve"> </w:t>
      </w:r>
      <w:r w:rsidRPr="005A078D">
        <w:rPr>
          <w:i/>
          <w:lang w:val="en-GB"/>
        </w:rPr>
        <w:t>in</w:t>
      </w:r>
      <w:r>
        <w:rPr>
          <w:lang w:val="en-GB"/>
        </w:rPr>
        <w:t xml:space="preserve"> </w:t>
      </w:r>
      <w:r w:rsidRPr="00DC712C">
        <w:rPr>
          <w:lang w:val="en-US"/>
        </w:rPr>
        <w:t>Andrew</w:t>
      </w:r>
      <w:r>
        <w:rPr>
          <w:lang w:val="en-US"/>
        </w:rPr>
        <w:t xml:space="preserve"> Horton</w:t>
      </w:r>
      <w:r w:rsidRPr="00DC712C">
        <w:rPr>
          <w:lang w:val="en-US"/>
        </w:rPr>
        <w:t xml:space="preserve"> et Stuart Y.</w:t>
      </w:r>
      <w:r>
        <w:rPr>
          <w:lang w:val="en-US"/>
        </w:rPr>
        <w:t xml:space="preserve"> McDougal, </w:t>
      </w:r>
      <w:r>
        <w:rPr>
          <w:i/>
          <w:lang w:val="en-US"/>
        </w:rPr>
        <w:t>ibid.</w:t>
      </w:r>
      <w:r>
        <w:rPr>
          <w:lang w:val="en-GB"/>
        </w:rPr>
        <w:t xml:space="preserve">, pp. </w:t>
      </w:r>
      <w:r>
        <w:rPr>
          <w:lang w:val="en-GB"/>
        </w:rPr>
        <w:t>279-294</w:t>
      </w:r>
      <w:r>
        <w:rPr>
          <w:lang w:val="en-GB"/>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FDF2E6E"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F12CD8">
      <w:rPr>
        <w:rFonts w:ascii="Baskerville" w:hAnsi="Baskerville"/>
        <w:b/>
        <w:color w:val="7F7F7F" w:themeColor="text1" w:themeTint="80"/>
        <w:sz w:val="20"/>
      </w:rPr>
      <w:t>Chapitre 2</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05E71"/>
    <w:rsid w:val="00017D3A"/>
    <w:rsid w:val="00026DEC"/>
    <w:rsid w:val="00040872"/>
    <w:rsid w:val="000455D6"/>
    <w:rsid w:val="000634E0"/>
    <w:rsid w:val="00070B0D"/>
    <w:rsid w:val="00083709"/>
    <w:rsid w:val="00084430"/>
    <w:rsid w:val="000B5190"/>
    <w:rsid w:val="000B6B61"/>
    <w:rsid w:val="000D04D2"/>
    <w:rsid w:val="000D2034"/>
    <w:rsid w:val="000E0580"/>
    <w:rsid w:val="000E1BCE"/>
    <w:rsid w:val="000E7303"/>
    <w:rsid w:val="000F68B8"/>
    <w:rsid w:val="00101132"/>
    <w:rsid w:val="00106EE2"/>
    <w:rsid w:val="00111C76"/>
    <w:rsid w:val="00124C43"/>
    <w:rsid w:val="0014073B"/>
    <w:rsid w:val="00146748"/>
    <w:rsid w:val="00165D3F"/>
    <w:rsid w:val="00173138"/>
    <w:rsid w:val="0017320C"/>
    <w:rsid w:val="0017529D"/>
    <w:rsid w:val="00177905"/>
    <w:rsid w:val="001A1430"/>
    <w:rsid w:val="001A4B11"/>
    <w:rsid w:val="001C7833"/>
    <w:rsid w:val="00211C03"/>
    <w:rsid w:val="00220532"/>
    <w:rsid w:val="002210A4"/>
    <w:rsid w:val="002235F1"/>
    <w:rsid w:val="002254F2"/>
    <w:rsid w:val="00237C1E"/>
    <w:rsid w:val="00242DD4"/>
    <w:rsid w:val="00266588"/>
    <w:rsid w:val="00271C09"/>
    <w:rsid w:val="002777D4"/>
    <w:rsid w:val="00283880"/>
    <w:rsid w:val="00291917"/>
    <w:rsid w:val="002B786D"/>
    <w:rsid w:val="002D513A"/>
    <w:rsid w:val="002D772A"/>
    <w:rsid w:val="002D7B33"/>
    <w:rsid w:val="0030216F"/>
    <w:rsid w:val="00313C3A"/>
    <w:rsid w:val="00313F77"/>
    <w:rsid w:val="00336723"/>
    <w:rsid w:val="003404E5"/>
    <w:rsid w:val="003423A7"/>
    <w:rsid w:val="00344D50"/>
    <w:rsid w:val="00357E2A"/>
    <w:rsid w:val="00371D86"/>
    <w:rsid w:val="00376712"/>
    <w:rsid w:val="003873C4"/>
    <w:rsid w:val="003878FF"/>
    <w:rsid w:val="003905E9"/>
    <w:rsid w:val="003B73E7"/>
    <w:rsid w:val="003B7A10"/>
    <w:rsid w:val="003C0E9B"/>
    <w:rsid w:val="003C4830"/>
    <w:rsid w:val="003D298F"/>
    <w:rsid w:val="003E168C"/>
    <w:rsid w:val="003E611C"/>
    <w:rsid w:val="003E71E3"/>
    <w:rsid w:val="003E7BC5"/>
    <w:rsid w:val="004025E2"/>
    <w:rsid w:val="00411460"/>
    <w:rsid w:val="00417F55"/>
    <w:rsid w:val="00423903"/>
    <w:rsid w:val="00432B66"/>
    <w:rsid w:val="00461A37"/>
    <w:rsid w:val="00465ED2"/>
    <w:rsid w:val="0047271E"/>
    <w:rsid w:val="0047279B"/>
    <w:rsid w:val="00474C42"/>
    <w:rsid w:val="004B4329"/>
    <w:rsid w:val="004C4C04"/>
    <w:rsid w:val="004D4B6F"/>
    <w:rsid w:val="004E62A3"/>
    <w:rsid w:val="004E747B"/>
    <w:rsid w:val="004F1697"/>
    <w:rsid w:val="004F6744"/>
    <w:rsid w:val="00503D00"/>
    <w:rsid w:val="00510CB6"/>
    <w:rsid w:val="00515D4E"/>
    <w:rsid w:val="00515D8C"/>
    <w:rsid w:val="00521049"/>
    <w:rsid w:val="00541737"/>
    <w:rsid w:val="00541F81"/>
    <w:rsid w:val="00545763"/>
    <w:rsid w:val="00555506"/>
    <w:rsid w:val="00581670"/>
    <w:rsid w:val="00581E90"/>
    <w:rsid w:val="00584A63"/>
    <w:rsid w:val="005857FD"/>
    <w:rsid w:val="00596CCC"/>
    <w:rsid w:val="005A078D"/>
    <w:rsid w:val="005A3EBC"/>
    <w:rsid w:val="005B4F61"/>
    <w:rsid w:val="005C6BF4"/>
    <w:rsid w:val="005E2227"/>
    <w:rsid w:val="005E65B7"/>
    <w:rsid w:val="005F3C37"/>
    <w:rsid w:val="006041E3"/>
    <w:rsid w:val="00606EEA"/>
    <w:rsid w:val="006127A9"/>
    <w:rsid w:val="0061689F"/>
    <w:rsid w:val="00663B0A"/>
    <w:rsid w:val="00665C44"/>
    <w:rsid w:val="00674BE2"/>
    <w:rsid w:val="006A0B89"/>
    <w:rsid w:val="006A31EF"/>
    <w:rsid w:val="006A3862"/>
    <w:rsid w:val="006A402A"/>
    <w:rsid w:val="006B2252"/>
    <w:rsid w:val="006B3574"/>
    <w:rsid w:val="006B65BF"/>
    <w:rsid w:val="006C6A6A"/>
    <w:rsid w:val="006D0090"/>
    <w:rsid w:val="006D57C0"/>
    <w:rsid w:val="00712515"/>
    <w:rsid w:val="007158DA"/>
    <w:rsid w:val="00722301"/>
    <w:rsid w:val="00732974"/>
    <w:rsid w:val="007344B8"/>
    <w:rsid w:val="0073541F"/>
    <w:rsid w:val="0074692C"/>
    <w:rsid w:val="00766D6F"/>
    <w:rsid w:val="00782CBD"/>
    <w:rsid w:val="0078373E"/>
    <w:rsid w:val="007914D6"/>
    <w:rsid w:val="007A0071"/>
    <w:rsid w:val="007A3A39"/>
    <w:rsid w:val="007B542C"/>
    <w:rsid w:val="007D593E"/>
    <w:rsid w:val="007D630F"/>
    <w:rsid w:val="007F4F8A"/>
    <w:rsid w:val="00801F85"/>
    <w:rsid w:val="0080297C"/>
    <w:rsid w:val="008138ED"/>
    <w:rsid w:val="0081693C"/>
    <w:rsid w:val="00825629"/>
    <w:rsid w:val="008349BE"/>
    <w:rsid w:val="0085797C"/>
    <w:rsid w:val="00866C7E"/>
    <w:rsid w:val="00885201"/>
    <w:rsid w:val="00897A27"/>
    <w:rsid w:val="008A323A"/>
    <w:rsid w:val="008A39A8"/>
    <w:rsid w:val="008B4E67"/>
    <w:rsid w:val="008C08B5"/>
    <w:rsid w:val="008C600F"/>
    <w:rsid w:val="008D19D6"/>
    <w:rsid w:val="008E367A"/>
    <w:rsid w:val="008E3E84"/>
    <w:rsid w:val="008F5ECA"/>
    <w:rsid w:val="008F6058"/>
    <w:rsid w:val="008F7692"/>
    <w:rsid w:val="00917414"/>
    <w:rsid w:val="00923E14"/>
    <w:rsid w:val="00925377"/>
    <w:rsid w:val="0093138B"/>
    <w:rsid w:val="00932DDA"/>
    <w:rsid w:val="0093468C"/>
    <w:rsid w:val="0096089B"/>
    <w:rsid w:val="00962F49"/>
    <w:rsid w:val="00970CC6"/>
    <w:rsid w:val="00977317"/>
    <w:rsid w:val="0099055C"/>
    <w:rsid w:val="009A7696"/>
    <w:rsid w:val="009B1242"/>
    <w:rsid w:val="009B43D7"/>
    <w:rsid w:val="009C43E8"/>
    <w:rsid w:val="009E67C3"/>
    <w:rsid w:val="009F3C8F"/>
    <w:rsid w:val="009F4648"/>
    <w:rsid w:val="009F674F"/>
    <w:rsid w:val="00A008E9"/>
    <w:rsid w:val="00A07145"/>
    <w:rsid w:val="00A145C5"/>
    <w:rsid w:val="00A2003F"/>
    <w:rsid w:val="00A320AC"/>
    <w:rsid w:val="00A50EFA"/>
    <w:rsid w:val="00A5532D"/>
    <w:rsid w:val="00A60B3A"/>
    <w:rsid w:val="00A63218"/>
    <w:rsid w:val="00A73D15"/>
    <w:rsid w:val="00A85356"/>
    <w:rsid w:val="00A90860"/>
    <w:rsid w:val="00A91B5F"/>
    <w:rsid w:val="00A9200C"/>
    <w:rsid w:val="00A95CCC"/>
    <w:rsid w:val="00AA23EE"/>
    <w:rsid w:val="00AC354A"/>
    <w:rsid w:val="00AD62CD"/>
    <w:rsid w:val="00AD64B9"/>
    <w:rsid w:val="00AE5AEA"/>
    <w:rsid w:val="00AE63DD"/>
    <w:rsid w:val="00AF114E"/>
    <w:rsid w:val="00B00158"/>
    <w:rsid w:val="00B02260"/>
    <w:rsid w:val="00B032DC"/>
    <w:rsid w:val="00B07BD9"/>
    <w:rsid w:val="00B11DA2"/>
    <w:rsid w:val="00B16D37"/>
    <w:rsid w:val="00B22B0C"/>
    <w:rsid w:val="00B31E7A"/>
    <w:rsid w:val="00B50D87"/>
    <w:rsid w:val="00B96B22"/>
    <w:rsid w:val="00BA6F90"/>
    <w:rsid w:val="00BA72D1"/>
    <w:rsid w:val="00BB6E40"/>
    <w:rsid w:val="00BF0810"/>
    <w:rsid w:val="00BF32E7"/>
    <w:rsid w:val="00C00EFC"/>
    <w:rsid w:val="00C03C7A"/>
    <w:rsid w:val="00C103A2"/>
    <w:rsid w:val="00C115FF"/>
    <w:rsid w:val="00C15D57"/>
    <w:rsid w:val="00C20B20"/>
    <w:rsid w:val="00C25610"/>
    <w:rsid w:val="00C27606"/>
    <w:rsid w:val="00C30FA4"/>
    <w:rsid w:val="00C32EB3"/>
    <w:rsid w:val="00C439CE"/>
    <w:rsid w:val="00C451C9"/>
    <w:rsid w:val="00C45E5D"/>
    <w:rsid w:val="00C47547"/>
    <w:rsid w:val="00C5001D"/>
    <w:rsid w:val="00C5547A"/>
    <w:rsid w:val="00C644F3"/>
    <w:rsid w:val="00C65644"/>
    <w:rsid w:val="00C70B5B"/>
    <w:rsid w:val="00C75684"/>
    <w:rsid w:val="00C766C0"/>
    <w:rsid w:val="00C8691C"/>
    <w:rsid w:val="00CA0D63"/>
    <w:rsid w:val="00CA4BEE"/>
    <w:rsid w:val="00CB707A"/>
    <w:rsid w:val="00CC23E3"/>
    <w:rsid w:val="00CD2ABD"/>
    <w:rsid w:val="00CE062F"/>
    <w:rsid w:val="00D0023D"/>
    <w:rsid w:val="00D06483"/>
    <w:rsid w:val="00D2493B"/>
    <w:rsid w:val="00D26AA7"/>
    <w:rsid w:val="00D31576"/>
    <w:rsid w:val="00D42550"/>
    <w:rsid w:val="00D42CAE"/>
    <w:rsid w:val="00D442A3"/>
    <w:rsid w:val="00D46285"/>
    <w:rsid w:val="00D52369"/>
    <w:rsid w:val="00D5422B"/>
    <w:rsid w:val="00D60196"/>
    <w:rsid w:val="00D62069"/>
    <w:rsid w:val="00D724E7"/>
    <w:rsid w:val="00D85D1D"/>
    <w:rsid w:val="00D90E8B"/>
    <w:rsid w:val="00DB57AB"/>
    <w:rsid w:val="00DC712C"/>
    <w:rsid w:val="00DE4D1F"/>
    <w:rsid w:val="00DE6510"/>
    <w:rsid w:val="00DF2ED6"/>
    <w:rsid w:val="00E027DF"/>
    <w:rsid w:val="00E16E4E"/>
    <w:rsid w:val="00E217C0"/>
    <w:rsid w:val="00E256C7"/>
    <w:rsid w:val="00E25763"/>
    <w:rsid w:val="00E6478A"/>
    <w:rsid w:val="00E773D5"/>
    <w:rsid w:val="00E80FD5"/>
    <w:rsid w:val="00E849CA"/>
    <w:rsid w:val="00EB361E"/>
    <w:rsid w:val="00EB4BF5"/>
    <w:rsid w:val="00EB6212"/>
    <w:rsid w:val="00EE1CBE"/>
    <w:rsid w:val="00EE65BC"/>
    <w:rsid w:val="00EF6438"/>
    <w:rsid w:val="00F0242F"/>
    <w:rsid w:val="00F04FE8"/>
    <w:rsid w:val="00F11331"/>
    <w:rsid w:val="00F12CD8"/>
    <w:rsid w:val="00F16449"/>
    <w:rsid w:val="00F2193B"/>
    <w:rsid w:val="00F33859"/>
    <w:rsid w:val="00F37F51"/>
    <w:rsid w:val="00F4480F"/>
    <w:rsid w:val="00F6235E"/>
    <w:rsid w:val="00F66B1F"/>
    <w:rsid w:val="00F7084A"/>
    <w:rsid w:val="00F8693F"/>
    <w:rsid w:val="00F95A52"/>
    <w:rsid w:val="00FB3F74"/>
    <w:rsid w:val="00FC30BB"/>
    <w:rsid w:val="00FD0709"/>
    <w:rsid w:val="00FD7019"/>
    <w:rsid w:val="00FE0E6A"/>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paragraph" w:styleId="Heading3">
    <w:name w:val="heading 3"/>
    <w:aliases w:val="Inter-sous-texte (mémoire)"/>
    <w:basedOn w:val="Normal"/>
    <w:next w:val="Normal"/>
    <w:link w:val="Heading3Char"/>
    <w:uiPriority w:val="9"/>
    <w:unhideWhenUsed/>
    <w:qFormat/>
    <w:rsid w:val="00C644F3"/>
    <w:pPr>
      <w:keepNext/>
      <w:keepLines/>
      <w:spacing w:before="40" w:after="120"/>
      <w:outlineLvl w:val="2"/>
    </w:pPr>
    <w:rPr>
      <w:rFonts w:eastAsiaTheme="majorEastAsia" w:cstheme="majorBidi"/>
      <w:color w:val="808080" w:themeColor="background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customStyle="1" w:styleId="Heading3Char">
    <w:name w:val="Heading 3 Char"/>
    <w:aliases w:val="Inter-sous-texte (mémoire) Char"/>
    <w:basedOn w:val="DefaultParagraphFont"/>
    <w:link w:val="Heading3"/>
    <w:uiPriority w:val="9"/>
    <w:rsid w:val="00C644F3"/>
    <w:rPr>
      <w:rFonts w:eastAsiaTheme="majorEastAsia" w:cstheme="majorBidi"/>
      <w:color w:val="808080" w:themeColor="background1" w:themeShade="8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D465D66-B6D6-1346-A68E-FDB77F57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712</Words>
  <Characters>4061</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Éléments de définition</vt:lpstr>
      <vt:lpstr>        Remake</vt:lpstr>
    </vt:vector>
  </TitlesOfParts>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38</cp:revision>
  <dcterms:created xsi:type="dcterms:W3CDTF">2016-12-07T19:41:00Z</dcterms:created>
  <dcterms:modified xsi:type="dcterms:W3CDTF">2016-12-07T21:32:00Z</dcterms:modified>
</cp:coreProperties>
</file>