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56B01099" w:rsidR="00343731" w:rsidRPr="007F4D68"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sur le même médium cinématographique.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Dans le cas de </w:t>
      </w:r>
      <w:r w:rsidR="00083091">
        <w:rPr>
          <w:i/>
          <w:lang w:val="fr-CH"/>
        </w:rPr>
        <w:t>Invasion of the Body Snatchers</w:t>
      </w:r>
      <w:r w:rsidR="001B2007">
        <w:rPr>
          <w:lang w:val="fr-CH"/>
        </w:rPr>
        <w:t xml:space="preserve"> cette relation triangulaire se complique </w:t>
      </w:r>
      <w:r w:rsidR="008B407C">
        <w:rPr>
          <w:lang w:val="fr-CH"/>
        </w:rPr>
        <w:t>davantage</w:t>
      </w:r>
      <w:r w:rsidR="001B2007">
        <w:rPr>
          <w:lang w:val="fr-CH"/>
        </w:rPr>
        <w:t xml:space="preserve"> : alors que le film de Siegel est « Basé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dans aucun des films, une référence explicite aux versions antérieures </w:t>
      </w:r>
      <w:r w:rsidR="0031782B">
        <w:rPr>
          <w:lang w:val="fr-CH"/>
        </w:rPr>
        <w:t>n’</w:t>
      </w:r>
      <w:r w:rsidR="001E42F1">
        <w:rPr>
          <w:lang w:val="fr-CH"/>
        </w:rPr>
        <w:t>est faite.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1E42F1">
        <w:rPr>
          <w:lang w:val="fr-CH"/>
        </w:rPr>
        <w:t> : si chacun des films peut exister comme œuvre indépendante</w:t>
      </w:r>
      <w:r w:rsidR="001E42F1">
        <w:rPr>
          <w:rStyle w:val="FootnoteReference"/>
          <w:lang w:val="fr-CH"/>
        </w:rPr>
        <w:footnoteReference w:id="7"/>
      </w:r>
      <w:r w:rsidR="001E42F1">
        <w:rPr>
          <w:lang w:val="fr-CH"/>
        </w:rPr>
        <w:t xml:space="preserve">, il s’efforce toutefois d’affirmer –ou de nier– sa lignée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un nombre incalculable de formes et ce travail choisit de se concentrer sur </w:t>
      </w:r>
      <w:r w:rsidR="00F66E13" w:rsidRPr="00B84C63">
        <w:rPr>
          <w:lang w:val="fr-CH"/>
        </w:rPr>
        <w:t>cinq</w:t>
      </w:r>
      <w:r w:rsidR="00ED193B" w:rsidRPr="00B84C63">
        <w:rPr>
          <w:lang w:val="fr-CH"/>
        </w:rPr>
        <w:t xml:space="preserve"> d’entre-elles en particulier : le générique</w:t>
      </w:r>
      <w:r w:rsidR="001A66E2" w:rsidRPr="00B84C63">
        <w:rPr>
          <w:lang w:val="fr-CH"/>
        </w:rPr>
        <w:t xml:space="preserve">, l’utilisation de la voix over,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axes d’études permettent de dégager le 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résolutive de la tension de par sa problématisation du corpus comme une série de suites plutôt que de remakes. </w:t>
      </w:r>
    </w:p>
    <w:p w14:paraId="4B5E6F95" w14:textId="5BE6A364" w:rsidR="00EB361E" w:rsidRPr="0035780F" w:rsidRDefault="0035780F" w:rsidP="00AE7936">
      <w:pPr>
        <w:pStyle w:val="Heading2"/>
        <w:spacing w:after="120"/>
        <w:rPr>
          <w:lang w:val="fr-CH"/>
        </w:rPr>
      </w:pPr>
      <w:r>
        <w:rPr>
          <w:lang w:val="fr-CH"/>
        </w:rPr>
        <w:lastRenderedPageBreak/>
        <w:t>Le générique, ou comment (</w:t>
      </w:r>
      <w:r w:rsidRPr="0035780F">
        <w:rPr>
          <w:lang w:val="fr-CH"/>
        </w:rPr>
        <w:t>re</w:t>
      </w:r>
      <w:r>
        <w:rPr>
          <w:lang w:val="fr-CH"/>
        </w:rPr>
        <w:t>)commencer le film</w:t>
      </w:r>
    </w:p>
    <w:p w14:paraId="71651AE0" w14:textId="77777777" w:rsidR="00F31342"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8"/>
      </w:r>
      <w:r w:rsidR="00C67CD9">
        <w:rPr>
          <w:lang w:val="fr-CH"/>
        </w:rPr>
        <w:t>, les remakes vont opter pour une autre facture esthétique.</w:t>
      </w:r>
      <w:r w:rsidR="00C70292">
        <w:rPr>
          <w:lang w:val="fr-CH"/>
        </w:rPr>
        <w:t xml:space="preserve"> L’hypothèse de ce travail est que ces choix esthétiques répondent d’une part aux pratiques esthétiques de leur époque de production respectives, mais aussi d’un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 xml:space="preserve">des variations génériques </w:t>
      </w:r>
      <w:r w:rsidR="002D1835">
        <w:rPr>
          <w:lang w:val="fr-CH"/>
        </w:rPr>
        <w:t>est</w:t>
      </w:r>
      <w:r w:rsidR="003D3BEE">
        <w:rPr>
          <w:lang w:val="fr-CH"/>
        </w:rPr>
        <w:t xml:space="preserve"> abordée par Kathleen Loock</w:t>
      </w:r>
      <w:r w:rsidR="003D3BEE">
        <w:rPr>
          <w:rStyle w:val="FootnoteReference"/>
          <w:lang w:val="fr-CH"/>
        </w:rPr>
        <w:footnoteReference w:id="9"/>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0"/>
      </w:r>
      <w:r w:rsidR="00BC45A3">
        <w:rPr>
          <w:lang w:val="fr-CH"/>
        </w:rPr>
        <w:t xml:space="preserve"> montre </w:t>
      </w:r>
      <w:r w:rsidR="002D1835">
        <w:rPr>
          <w:lang w:val="fr-CH"/>
        </w:rPr>
        <w:t xml:space="preserve">qu’une telle approche généraliste est parfois contre-productive. Ce travail propose donc de traiter de la question des variations génériques </w:t>
      </w:r>
      <w:r w:rsidR="00A4110C">
        <w:rPr>
          <w:lang w:val="fr-CH"/>
        </w:rPr>
        <w:t>en se concentrant sur</w:t>
      </w:r>
      <w:r w:rsidR="002D1835">
        <w:rPr>
          <w:lang w:val="fr-CH"/>
        </w:rPr>
        <w:t xml:space="preserve"> </w:t>
      </w:r>
      <w:r w:rsidR="006B7BD3">
        <w:rPr>
          <w:lang w:val="fr-CH"/>
        </w:rPr>
        <w:t>l’</w:t>
      </w:r>
      <w:r w:rsidR="006239E4">
        <w:rPr>
          <w:lang w:val="fr-CH"/>
        </w:rPr>
        <w:t>étude des 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1"/>
      </w:r>
      <w:r w:rsidR="006239E4">
        <w:rPr>
          <w:lang w:val="fr-CH"/>
        </w:rPr>
        <w:t>. Dans l’article, Odin propose</w:t>
      </w:r>
      <w:r w:rsidR="00793AB5">
        <w:rPr>
          <w:lang w:val="fr-CH"/>
        </w:rPr>
        <w:t xml:space="preserve"> 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2"/>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3"/>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4"/>
      </w:r>
      <w:r w:rsidR="004F50BF">
        <w:rPr>
          <w:lang w:val="fr-CH"/>
        </w:rPr>
        <w:t xml:space="preserve">. </w:t>
      </w:r>
      <w:r w:rsidR="00FA46D1">
        <w:rPr>
          <w:lang w:val="fr-CH"/>
        </w:rPr>
        <w:t xml:space="preserve">À la manière de la tension entre originalité et réflexivité qui habite chaque remake,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w:t>
      </w:r>
      <w:r w:rsidR="008E017B">
        <w:rPr>
          <w:lang w:val="fr-CH"/>
        </w:rPr>
        <w:lastRenderedPageBreak/>
        <w:t xml:space="preserve">remakes, </w:t>
      </w:r>
      <w:r w:rsidR="003A32CF">
        <w:rPr>
          <w:lang w:val="fr-CH"/>
        </w:rPr>
        <w:t xml:space="preserve">les génériques articulent ce conflit tout en créant la tension entre originalité et réflexivité. </w:t>
      </w:r>
    </w:p>
    <w:p w14:paraId="5FBB6D27" w14:textId="0F0CAE84"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et Metz, le film de 1978 adopte une toute autre approche : le film nous raconte l’invasion dès les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spatiale. Mais cette </w:t>
      </w:r>
      <w:r w:rsidR="00797B4F">
        <w:rPr>
          <w:lang w:val="fr-CH"/>
        </w:rPr>
        <w:t xml:space="preserve">iconographie n’est pas uniquement utilisée pour informer le spectateur de l’aspect science-fictionnel du film : la séquence du générique prends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 le tout porté par la musique inquiétante de Denny Zeitlin mélangeant sons étranges et harmoniques mineures de cordes et cuivres orchestraux.</w:t>
      </w:r>
      <w:r w:rsidR="00B12CC2">
        <w:rPr>
          <w:lang w:val="fr-CH"/>
        </w:rPr>
        <w:t xml:space="preserve"> Contrairement au film de Siegel, qui ne donnait par son générique que des informations officielles</w:t>
      </w:r>
      <w:r w:rsidR="00B12CC2">
        <w:rPr>
          <w:rStyle w:val="FootnoteReference"/>
          <w:lang w:val="fr-CH"/>
        </w:rPr>
        <w:footnoteReference w:id="15"/>
      </w:r>
      <w:r w:rsidR="00B12CC2">
        <w:rPr>
          <w:lang w:val="fr-CH"/>
        </w:rPr>
        <w:t xml:space="preserve"> relatives au film, celui de Kaufman </w:t>
      </w:r>
      <w:r w:rsidR="005C1E63">
        <w:rPr>
          <w:lang w:val="fr-CH"/>
        </w:rPr>
        <w:t>montre le processus d’invasion de la terre qui sera central au reste du récit.</w:t>
      </w:r>
      <w:r w:rsidR="00A95A00">
        <w:rPr>
          <w:lang w:val="fr-CH"/>
        </w:rPr>
        <w:t xml:space="preserve"> Si ce processus semble contredire la conception du générique comme ouvertement fictionnel telle que prônée par Odin, </w:t>
      </w:r>
      <w:r w:rsidR="00451131">
        <w:rPr>
          <w:lang w:val="fr-CH"/>
        </w:rPr>
        <w:t>son esthétique très colorée et résolument irréelle</w:t>
      </w:r>
      <w:r w:rsidR="00451131">
        <w:rPr>
          <w:rStyle w:val="FootnoteReference"/>
          <w:lang w:val="fr-CH"/>
        </w:rPr>
        <w:footnoteReference w:id="16"/>
      </w:r>
      <w:r w:rsidR="00451131">
        <w:rPr>
          <w:lang w:val="fr-CH"/>
        </w:rPr>
        <w:t xml:space="preserve"> </w:t>
      </w:r>
      <w:r w:rsidR="00F20B38">
        <w:rPr>
          <w:lang w:val="fr-CH"/>
        </w:rPr>
        <w:t>contraste très fortement avec celle du film (pâle et par moments quasi-documentaire</w:t>
      </w:r>
      <w:r w:rsidR="00C26208">
        <w:rPr>
          <w:lang w:val="fr-CH"/>
        </w:rPr>
        <w:t>, particulièrement dans son premier tiers</w:t>
      </w:r>
      <w:r w:rsidR="00F20B38">
        <w:rPr>
          <w:lang w:val="fr-CH"/>
        </w:rPr>
        <w:t>).</w:t>
      </w:r>
    </w:p>
    <w:p w14:paraId="7A72D400" w14:textId="091DB8F7" w:rsidR="00804DDA" w:rsidRPr="00630AC1" w:rsidRDefault="00102805" w:rsidP="00F31342">
      <w:pPr>
        <w:pStyle w:val="Mmoire"/>
        <w:ind w:firstLine="720"/>
        <w:rPr>
          <w:lang w:val="fr-CH"/>
        </w:rPr>
      </w:pPr>
      <w:r>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qui va s’achever sur un fondu vers un plan (aérien, filmé depuis un hélicoptère) suivant la voiture dans laquelle se trouve Marti Malone. Malgré son utilisation </w:t>
      </w:r>
      <w:r w:rsidR="00DD005A">
        <w:rPr>
          <w:lang w:val="fr-CH"/>
        </w:rPr>
        <w:t>d’iconographie spatiale</w:t>
      </w:r>
      <w:r>
        <w:rPr>
          <w:lang w:val="fr-CH"/>
        </w:rPr>
        <w:t xml:space="preserve">, sa fonction diffère de celui de 1978 : </w:t>
      </w:r>
      <w:r w:rsidR="007E445D">
        <w:rPr>
          <w:lang w:val="fr-CH"/>
        </w:rPr>
        <w:t>le générique à un statut flottant et semble plus remplir une fonction officielle que narrative</w:t>
      </w:r>
      <w:r w:rsidR="007E445D">
        <w:rPr>
          <w:rStyle w:val="FootnoteReference"/>
          <w:lang w:val="fr-CH"/>
        </w:rPr>
        <w:footnoteReference w:id="17"/>
      </w:r>
      <w:r w:rsidR="007E445D">
        <w:rPr>
          <w:lang w:val="fr-CH"/>
        </w:rPr>
        <w:t>.</w:t>
      </w:r>
      <w:r w:rsidR="000F31E1">
        <w:rPr>
          <w:lang w:val="fr-CH"/>
        </w:rPr>
        <w:t xml:space="preserve"> Inversement, le générique du film de 2007 intervient </w:t>
      </w:r>
      <w:r w:rsidR="00FE42D2">
        <w:rPr>
          <w:lang w:val="fr-CH"/>
        </w:rPr>
        <w:t>sous forme d’un simple plan</w:t>
      </w:r>
      <w:r w:rsidR="00FE42D2">
        <w:rPr>
          <w:rStyle w:val="FootnoteReference"/>
          <w:lang w:val="fr-CH"/>
        </w:rPr>
        <w:footnoteReference w:id="18"/>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w:t>
      </w:r>
      <w:r w:rsidR="00D4781F">
        <w:rPr>
          <w:lang w:val="fr-CH"/>
        </w:rPr>
        <w:lastRenderedPageBreak/>
        <w:t xml:space="preserve">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19"/>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7037BD">
        <w:rPr>
          <w:lang w:val="fr-CH"/>
        </w:rPr>
        <w:t xml:space="preserve">Choix </w:t>
      </w:r>
      <w:r w:rsidR="00835AD4">
        <w:rPr>
          <w:lang w:val="fr-CH"/>
        </w:rPr>
        <w:t>qui signifie également au spectateur l’aspect thriller du film, construit comme 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630AC1">
        <w:rPr>
          <w:i/>
          <w:lang w:val="fr-CH"/>
        </w:rPr>
        <w:t>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1C775406" w:rsidR="00EB361E" w:rsidRDefault="00C90BCD" w:rsidP="00F31342">
      <w:pPr>
        <w:pStyle w:val="Mmoire"/>
        <w:ind w:firstLine="720"/>
        <w:rPr>
          <w:lang w:val="fr-CH"/>
        </w:rPr>
      </w:pPr>
      <w:r>
        <w:rPr>
          <w:lang w:val="fr-CH"/>
        </w:rPr>
        <w:t>Cette utilisation de l’espace dans les premières minutes des films de 1978, 1993 et 2007</w:t>
      </w:r>
      <w:r w:rsidR="00155E7F">
        <w:rPr>
          <w:lang w:val="fr-CH"/>
        </w:rPr>
        <w:t xml:space="preserve"> paraît d’un premier abord étrange : comme il l’a été discuté dans un chapitre 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0"/>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7C052F">
        <w:rPr>
          <w:lang w:val="fr-CH"/>
        </w:rPr>
        <w:t>C</w:t>
      </w:r>
      <w:r w:rsidR="00155E7F">
        <w:rPr>
          <w:lang w:val="fr-CH"/>
        </w:rPr>
        <w:t>elui de 1993</w:t>
      </w:r>
      <w:r w:rsidR="007C052F">
        <w:rPr>
          <w:lang w:val="fr-CH"/>
        </w:rPr>
        <w:t>, en revanche,</w:t>
      </w:r>
      <w:r w:rsidR="00155E7F">
        <w:rPr>
          <w:lang w:val="fr-CH"/>
        </w:rPr>
        <w:t xml:space="preserve"> utilise l’espace </w:t>
      </w:r>
      <w:r w:rsidR="007C052F">
        <w:rPr>
          <w:lang w:val="fr-CH"/>
        </w:rPr>
        <w:t xml:space="preserve">seulement </w:t>
      </w:r>
      <w:r w:rsidR="00155E7F">
        <w:rPr>
          <w:lang w:val="fr-CH"/>
        </w:rPr>
        <w:t>pour donner son t</w:t>
      </w:r>
      <w:r w:rsidR="00315B0D">
        <w:rPr>
          <w:lang w:val="fr-CH"/>
        </w:rPr>
        <w:t>hème science-fictionnel au film : cette absence de 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21"/>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22"/>
      </w:r>
      <w:r w:rsidR="004E2BC7">
        <w:rPr>
          <w:lang w:val="fr-CH"/>
        </w:rPr>
        <w:t xml:space="preserve">, </w:t>
      </w:r>
      <w:r w:rsidR="00F70BC7">
        <w:rPr>
          <w:lang w:val="fr-CH"/>
        </w:rPr>
        <w:t>c’est la voix de Marti qui va thématiser l’étrangeté du récit à suivre sans donner au spe</w:t>
      </w:r>
      <w:r w:rsidR="00B85491">
        <w:rPr>
          <w:lang w:val="fr-CH"/>
        </w:rPr>
        <w:t>ctateur un quelconque détail ; un procédé qui réponds quasi littéralement au passage ajouté en incipit du roman de Finney.</w:t>
      </w: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77777777" w:rsidR="00067506" w:rsidRDefault="002A2481" w:rsidP="006932DE">
      <w:pPr>
        <w:pStyle w:val="Mmoire"/>
        <w:rPr>
          <w:lang w:val="fr-CH"/>
        </w:rPr>
      </w:pPr>
      <w:r>
        <w:rPr>
          <w:lang w:val="fr-CH"/>
        </w:rPr>
        <w:t>L’utilisation de la v</w:t>
      </w:r>
      <w:r w:rsidR="00912890">
        <w:rPr>
          <w:lang w:val="fr-CH"/>
        </w:rPr>
        <w:t xml:space="preserve">oix over est </w:t>
      </w:r>
      <w:r w:rsidR="003E164C">
        <w:rPr>
          <w:lang w:val="fr-CH"/>
        </w:rPr>
        <w:t xml:space="preserve">également un point marquant de la tension entre originalité et réflexivité </w:t>
      </w:r>
      <w:r w:rsidR="00912890">
        <w:rPr>
          <w:lang w:val="fr-CH"/>
        </w:rPr>
        <w:t xml:space="preserve">entre les films : </w:t>
      </w:r>
      <w:r w:rsidR="003E164C">
        <w:rPr>
          <w:lang w:val="fr-CH"/>
        </w:rPr>
        <w:t>elle est présente chacun d’entre</w:t>
      </w:r>
      <w:r w:rsidR="00912890">
        <w:rPr>
          <w:lang w:val="fr-CH"/>
        </w:rPr>
        <w:t xml:space="preserve"> excepté le premier</w:t>
      </w:r>
      <w:r w:rsidR="003E164C">
        <w:rPr>
          <w:lang w:val="fr-CH"/>
        </w:rPr>
        <w:t xml:space="preserve"> remake</w:t>
      </w:r>
      <w:r w:rsidR="00912890">
        <w:rPr>
          <w:lang w:val="fr-CH"/>
        </w:rPr>
        <w:t xml:space="preserve">.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(Matthew</w:t>
      </w:r>
      <w:r w:rsidR="00DB298D">
        <w:rPr>
          <w:lang w:val="fr-CH"/>
        </w:rPr>
        <w:t>,</w:t>
      </w:r>
      <w:r w:rsidR="00912890">
        <w:rPr>
          <w:lang w:val="fr-CH"/>
        </w:rPr>
        <w:t xml:space="preserve"> plutôt que Miles</w:t>
      </w:r>
      <w:r w:rsidR="00DB298D">
        <w:rPr>
          <w:lang w:val="fr-CH"/>
        </w:rPr>
        <w:t>,</w:t>
      </w:r>
      <w:r w:rsidR="00912890">
        <w:rPr>
          <w:lang w:val="fr-CH"/>
        </w:rPr>
        <w:t xml:space="preserve"> Bennell)</w:t>
      </w:r>
      <w:r w:rsidR="00BF1FA1">
        <w:rPr>
          <w:lang w:val="fr-CH"/>
        </w:rPr>
        <w:t xml:space="preserve"> </w:t>
      </w:r>
      <w:r w:rsidR="00187094">
        <w:rPr>
          <w:lang w:val="fr-CH"/>
        </w:rPr>
        <w:t xml:space="preserve">diffère grandement de Miles de par sa place dans le récit : alors que Miles, en plus de conduire le récit par la voix over, est présent dans toutes les scènes du film de Siegel, ce n’est </w:t>
      </w:r>
      <w:r w:rsidR="00187094">
        <w:rPr>
          <w:lang w:val="fr-CH"/>
        </w:rPr>
        <w:lastRenderedPageBreak/>
        <w:t xml:space="preserve">pas le cas de Matthew. Le film commence par suivre le personnage de Becky (« Elizabeth ») avant d’introduire le personnage de Matthew. Ce choix </w:t>
      </w:r>
      <w:r w:rsidR="00A3535B">
        <w:rPr>
          <w:lang w:val="fr-CH"/>
        </w:rPr>
        <w:t>est significatif car il est l’un des facteurs qui diminue l’importance du personnage principal, lui enlevant l’omniscience qui lui était accordée par la voix over chez Siegel.</w:t>
      </w:r>
      <w:r w:rsidR="00A426E9">
        <w:rPr>
          <w:lang w:val="fr-CH"/>
        </w:rPr>
        <w:t xml:space="preserve"> </w:t>
      </w:r>
    </w:p>
    <w:p w14:paraId="5A1B31EE" w14:textId="77777777"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des traits marquants de l’évolution narration[sic] cinématographique dans les années 90 »</w:t>
      </w:r>
      <w:r>
        <w:rPr>
          <w:rStyle w:val="FootnoteReference"/>
          <w:lang w:val="fr-CH"/>
        </w:rPr>
        <w:footnoteReference w:id="23"/>
      </w:r>
      <w:r>
        <w:rPr>
          <w:lang w:val="fr-CH"/>
        </w:rPr>
        <w:t>. Cette explication, simpliste et tirée d’un article à la qualité analytique parfois un peu douteuse</w:t>
      </w:r>
      <w:r>
        <w:rPr>
          <w:rStyle w:val="FootnoteReference"/>
          <w:lang w:val="fr-CH"/>
        </w:rPr>
        <w:footnoteReference w:id="24"/>
      </w:r>
      <w:r>
        <w:rPr>
          <w:lang w:val="fr-CH"/>
        </w:rPr>
        <w:t>, 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deux fois dans le film : au début et à la fin– un récit cadre similaire à celui du film de 1956. Bien que cette voix over soit suggérée dans le roman de Finney par l’adresse directe de Miles au lecteur en dé</w:t>
      </w:r>
      <w:r w:rsidR="00C77557">
        <w:rPr>
          <w:lang w:val="fr-CH"/>
        </w:rPr>
        <w:t xml:space="preserve">but et fin de roman, le discours final de Marti rejoints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5"/>
      </w:r>
      <w:r w:rsidR="00212554">
        <w:rPr>
          <w:lang w:val="fr-CH"/>
        </w:rPr>
        <w:t xml:space="preserve">. </w:t>
      </w:r>
      <w:r w:rsidR="00095C46">
        <w:rPr>
          <w:lang w:val="fr-CH"/>
        </w:rPr>
        <w:t xml:space="preserve">Une fin </w:t>
      </w:r>
      <w:r w:rsidR="00AC22C4">
        <w:rPr>
          <w:lang w:val="fr-CH"/>
        </w:rPr>
        <w:t xml:space="preserve">qui </w:t>
      </w:r>
      <w:r w:rsidR="00D56BD5">
        <w:rPr>
          <w:lang w:val="fr-CH"/>
        </w:rPr>
        <w:t>miroite</w:t>
      </w:r>
      <w:r w:rsidR="00AC22C4">
        <w:rPr>
          <w:lang w:val="fr-CH"/>
        </w:rPr>
        <w:t xml:space="preserve"> l’ambiguïté de cette de Siegel : le héros/héroïne ayant sauvé sa peau et accompli son devoir d’avertir les autorités compétentes</w:t>
      </w:r>
      <w:r w:rsidR="00AC22C4">
        <w:rPr>
          <w:rStyle w:val="FootnoteReference"/>
          <w:lang w:val="fr-CH"/>
        </w:rPr>
        <w:footnoteReference w:id="26"/>
      </w:r>
      <w:r w:rsidR="00AC22C4">
        <w:rPr>
          <w:lang w:val="fr-CH"/>
        </w:rPr>
        <w:t xml:space="preserve"> avant qu’il ne soit trop tard.</w:t>
      </w:r>
      <w:r w:rsidR="00B143FA">
        <w:rPr>
          <w:lang w:val="fr-CH"/>
        </w:rPr>
        <w:t xml:space="preserve"> </w:t>
      </w:r>
    </w:p>
    <w:p w14:paraId="5E5E6E30" w14:textId="32F550DD"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voix </w:t>
      </w:r>
      <w:r w:rsidR="00E73136">
        <w:rPr>
          <w:lang w:val="fr-CH"/>
        </w:rPr>
        <w:t>off</w:t>
      </w:r>
      <w:r w:rsidR="00E04B32">
        <w:rPr>
          <w:lang w:val="fr-CH"/>
        </w:rPr>
        <w:t xml:space="preserve"> est plus flou : la voix </w:t>
      </w:r>
      <w:r w:rsidR="00E73136">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rester éveillé et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est jouée, ce n’est pas l’héroïne du film qui se voit accorder le dernier mot de l’histoire</w:t>
      </w:r>
      <w:r w:rsidR="00700E65">
        <w:rPr>
          <w:lang w:val="fr-CH"/>
        </w:rPr>
        <w:t> ; en tout cas pas directement</w:t>
      </w:r>
      <w:r w:rsidR="00B53561">
        <w:rPr>
          <w:lang w:val="fr-CH"/>
        </w:rPr>
        <w:t xml:space="preserve">. </w:t>
      </w:r>
      <w:r w:rsidR="00B53561">
        <w:rPr>
          <w:lang w:val="fr-CH"/>
        </w:rPr>
        <w:lastRenderedPageBreak/>
        <w:t>Le</w:t>
      </w:r>
      <w:r w:rsidR="00700E65">
        <w:rPr>
          <w:lang w:val="fr-CH"/>
        </w:rPr>
        <w:t xml:space="preserve"> statut de monologue intérieur du début du film est rejoué par la scène</w:t>
      </w:r>
      <w:r w:rsidR="00B53561">
        <w:rPr>
          <w:lang w:val="fr-CH"/>
        </w:rPr>
        <w:t xml:space="preserve"> finale</w:t>
      </w:r>
      <w:r w:rsidR="00700E65">
        <w:rPr>
          <w:lang w:val="fr-CH"/>
        </w:rPr>
        <w:t xml:space="preserve">, excepté que dans le cas de la scène finale, ce monologue </w:t>
      </w:r>
      <w:r w:rsidR="00E73136">
        <w:rPr>
          <w:lang w:val="fr-CH"/>
        </w:rPr>
        <w:t>prend</w:t>
      </w:r>
      <w:r w:rsidR="00700E65">
        <w:rPr>
          <w:lang w:val="fr-CH"/>
        </w:rPr>
        <w:t xml:space="preserve"> la forme d’un souvenir du personnage</w:t>
      </w:r>
      <w:r w:rsidR="00E04B32">
        <w:rPr>
          <w:lang w:val="fr-CH"/>
        </w:rPr>
        <w:t xml:space="preserve">. </w:t>
      </w:r>
    </w:p>
    <w:p w14:paraId="212DD55C" w14:textId="787642D0"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récit source identique, </w:t>
      </w:r>
      <w:r w:rsidR="00D632E9">
        <w:rPr>
          <w:lang w:val="fr-CH"/>
        </w:rPr>
        <w:t>montre une réflexivité des textes filmiques par opposition</w:t>
      </w:r>
      <w:r w:rsidR="004603D6">
        <w:rPr>
          <w:lang w:val="fr-CH"/>
        </w:rPr>
        <w:t xml:space="preserve"> forcée</w:t>
      </w:r>
      <w:r w:rsidR="00D632E9">
        <w:rPr>
          <w:lang w:val="fr-CH"/>
        </w:rPr>
        <w:t xml:space="preserve"> : chaque remake </w:t>
      </w:r>
      <w:r w:rsidR="00B04BD2">
        <w:rPr>
          <w:lang w:val="fr-CH"/>
        </w:rPr>
        <w:t>cherchant</w:t>
      </w:r>
      <w:r w:rsidR="00D632E9">
        <w:rPr>
          <w:lang w:val="fr-CH"/>
        </w:rPr>
        <w:t xml:space="preserve"> en quelque sorte </w:t>
      </w:r>
      <w:r w:rsidR="00B04BD2">
        <w:rPr>
          <w:lang w:val="fr-CH"/>
        </w:rPr>
        <w:t xml:space="preserve">à </w:t>
      </w:r>
      <w:r w:rsidR="00D632E9">
        <w:rPr>
          <w:lang w:val="fr-CH"/>
        </w:rPr>
        <w:t xml:space="preserve">innover en se différenciant dans ces moments clés que constituent le début et la fin d’un récit filmique. </w:t>
      </w:r>
      <w:r>
        <w:rPr>
          <w:lang w:val="fr-CH"/>
        </w:rPr>
        <w:t xml:space="preserve"> </w:t>
      </w:r>
    </w:p>
    <w:p w14:paraId="548CC8EA" w14:textId="73CD2037" w:rsidR="001A66E2" w:rsidRPr="00442AD6" w:rsidRDefault="005D178D" w:rsidP="001A66E2">
      <w:pPr>
        <w:pStyle w:val="Heading2"/>
        <w:spacing w:after="120"/>
        <w:rPr>
          <w:lang w:val="fr-CH"/>
        </w:rPr>
      </w:pPr>
      <w:r w:rsidRPr="00FC23FC">
        <w:rPr>
          <w:highlight w:val="yellow"/>
          <w:lang w:val="fr-CH"/>
        </w:rPr>
        <w:t>Crie-moi</w:t>
      </w:r>
      <w:r w:rsidR="00FC23FC" w:rsidRPr="00FC23FC">
        <w:rPr>
          <w:highlight w:val="yellow"/>
          <w:lang w:val="fr-CH"/>
        </w:rPr>
        <w:t xml:space="preserve"> qui je suis, je te dirai qui tu est</w:t>
      </w:r>
    </w:p>
    <w:p w14:paraId="38049E9D" w14:textId="6A834445" w:rsidR="001A66E2" w:rsidRDefault="00055641" w:rsidP="001A66E2">
      <w:pPr>
        <w:pStyle w:val="Mmoire"/>
        <w:rPr>
          <w:lang w:val="fr-CH"/>
        </w:rPr>
      </w:pPr>
      <w:r>
        <w:rPr>
          <w:lang w:val="fr-CH"/>
        </w:rPr>
        <w:t>Un autre élément, apparu avec le film de 1978</w:t>
      </w:r>
      <w:r w:rsidR="009C1C98">
        <w:rPr>
          <w:lang w:val="fr-CH"/>
        </w:rPr>
        <w:t xml:space="preserve">, articule 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Il est ici ! Il est ici ! Attrapez-le ! Attrapez le ! »</w:t>
      </w:r>
      <w:r w:rsidR="00AD43D7">
        <w:rPr>
          <w:rStyle w:val="FootnoteReference"/>
          <w:lang w:val="fr-CH"/>
        </w:rPr>
        <w:footnoteReference w:id="27"/>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28"/>
      </w:r>
      <w:r w:rsidR="00DA6438">
        <w:rPr>
          <w:lang w:val="fr-CH"/>
        </w:rPr>
        <w:t>)</w:t>
      </w:r>
      <w:r w:rsidR="00462979">
        <w:rPr>
          <w:lang w:val="fr-CH"/>
        </w:rPr>
        <w:t xml:space="preserve"> ou le ton de la voix (« criant furieusement »</w:t>
      </w:r>
      <w:r w:rsidR="00462979">
        <w:rPr>
          <w:rStyle w:val="FootnoteReference"/>
          <w:lang w:val="fr-CH"/>
        </w:rPr>
        <w:footnoteReference w:id="29"/>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xml:space="preserve">) : la durée courte et la </w:t>
      </w:r>
      <w:r w:rsidR="00E41287">
        <w:rPr>
          <w:lang w:val="fr-CH"/>
        </w:rPr>
        <w:lastRenderedPageBreak/>
        <w:t>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0"/>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31"/>
      </w:r>
      <w:r w:rsidR="00A86E48">
        <w:rPr>
          <w:lang w:val="fr-CH"/>
        </w:rPr>
        <w:t xml:space="preserve"> est au cœur même des tensions entre réflexivité et d’originalité entre le film et son remake : dans les dernières séquences du film, montrant un Matthew vivant entouré de </w:t>
      </w:r>
      <w:r w:rsidR="00A86E48">
        <w:rPr>
          <w:i/>
          <w:lang w:val="fr-CH"/>
        </w:rPr>
        <w:t>pod people</w:t>
      </w:r>
      <w:r w:rsidR="00A86E48">
        <w:rPr>
          <w:lang w:val="fr-CH"/>
        </w:rPr>
        <w:t xml:space="preserve"> menant leurs existences sans but réel</w:t>
      </w:r>
      <w:r w:rsidR="00A86E48">
        <w:rPr>
          <w:rStyle w:val="FootnoteReference"/>
          <w:lang w:val="fr-CH"/>
        </w:rPr>
        <w:footnoteReference w:id="32"/>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3"/>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–toujours humaine– pensant elle aussi avoir à faire à un humain, le même mécanisme formel que précédemment est</w:t>
      </w:r>
      <w:r w:rsidR="00296845">
        <w:rPr>
          <w:lang w:val="fr-CH"/>
        </w:rPr>
        <w:t xml:space="preserve"> déclenché : le plan d’ensemble de Matthew se resserre, cette fois-ci par un travelling avant plutôt qu’un zoom, avant que ce dernier ne lève le doigt en direction de Nancy et commence à pousser le cri.</w:t>
      </w:r>
      <w:r w:rsidR="00705222">
        <w:rPr>
          <w:lang w:val="fr-CH"/>
        </w:rPr>
        <w:t xml:space="preserve"> 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et surtout les </w:t>
      </w:r>
      <w:r w:rsidR="00225705">
        <w:rPr>
          <w:lang w:val="fr-CH"/>
        </w:rPr>
        <w:t>quatre plans</w:t>
      </w:r>
      <w:r w:rsidR="00DA753F">
        <w:rPr>
          <w:lang w:val="fr-CH"/>
        </w:rPr>
        <w:t>, en contre-champ, de réaction de Nancy en pleur</w:t>
      </w:r>
      <w:r w:rsidR="00A90C4F">
        <w:rPr>
          <w:lang w:val="fr-CH"/>
        </w:rPr>
        <w:t>s</w:t>
      </w:r>
      <w:r w:rsidR="00DA753F">
        <w:rPr>
          <w:rStyle w:val="FootnoteReference"/>
          <w:lang w:val="fr-CH"/>
        </w:rPr>
        <w:footnoteReference w:id="34"/>
      </w:r>
      <w:r w:rsidR="00A90C4F">
        <w:rPr>
          <w:lang w:val="fr-CH"/>
        </w:rPr>
        <w:t xml:space="preserve"> </w:t>
      </w:r>
      <w:r w:rsidR="00A36EC6">
        <w:rPr>
          <w:lang w:val="fr-CH"/>
        </w:rPr>
        <w:t>en intensifient l’effet sur le spectateur ; un spectateur choqué puis surpris que le héros du film s’avère être devenu un méchant, et ne trouvant comme seule présence identificatoire à l’écran une femme hurlant de désespoir.</w:t>
      </w:r>
    </w:p>
    <w:p w14:paraId="3A2AF606" w14:textId="7B04D59A" w:rsidR="003F68E7" w:rsidRPr="006C12EA" w:rsidRDefault="003F68E7" w:rsidP="00910807">
      <w:pPr>
        <w:pStyle w:val="Mmoire"/>
        <w:rPr>
          <w:lang w:val="fr-CH"/>
        </w:rPr>
      </w:pPr>
      <w:r>
        <w:rPr>
          <w:lang w:val="fr-CH"/>
        </w:rPr>
        <w:tab/>
      </w:r>
      <w:r w:rsidR="00910807">
        <w:rPr>
          <w:lang w:val="fr-CH"/>
        </w:rPr>
        <w:t xml:space="preserve">Le cri du retournement final du film de 1978, parfois cité par certaines critiques peu soucieuses de </w:t>
      </w:r>
      <w:r w:rsidR="00910807">
        <w:rPr>
          <w:i/>
          <w:lang w:val="fr-CH"/>
        </w:rPr>
        <w:t>spoiler</w:t>
      </w:r>
      <w:r w:rsidR="00910807">
        <w:rPr>
          <w:lang w:val="fr-CH"/>
        </w:rPr>
        <w:t xml:space="preserve"> la fin à leurs lecteurs,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w:t>
      </w:r>
      <w:r w:rsidR="00F003B5">
        <w:rPr>
          <w:lang w:val="fr-CH"/>
        </w:rPr>
        <w:lastRenderedPageBreak/>
        <w:t>opéré par le film de 1978 de surprendre son spectateur par l’échec du héros</w:t>
      </w:r>
      <w:r w:rsidR="00F003B5">
        <w:rPr>
          <w:rStyle w:val="FootnoteReference"/>
          <w:lang w:val="fr-CH"/>
        </w:rPr>
        <w:footnoteReference w:id="35"/>
      </w:r>
      <w:r w:rsidR="0097008C">
        <w:rPr>
          <w:lang w:val="fr-CH"/>
        </w:rPr>
        <w:t xml:space="preserve"> met </w:t>
      </w:r>
      <w:r w:rsidR="009C1F38">
        <w:rPr>
          <w:lang w:val="fr-CH"/>
        </w:rPr>
        <w:t xml:space="preserve">en avant son originalité par-rapport à celui de 1956, il va entrainer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36"/>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D60E7D">
        <w:rPr>
          <w:lang w:val="fr-CH"/>
        </w:rPr>
        <w:t xml:space="preserve">travelling ou zoom avant, pointage de doigt et </w:t>
      </w:r>
      <w:r w:rsidR="00F85F3E">
        <w:rPr>
          <w:lang w:val="fr-CH"/>
        </w:rPr>
        <w:t>même tonalités</w:t>
      </w:r>
      <w:r w:rsidR="003567AC">
        <w:rPr>
          <w:lang w:val="fr-CH"/>
        </w:rPr>
        <w:t xml:space="preserve">– </w:t>
      </w:r>
      <w:r w:rsidR="00FA7CB8">
        <w:rPr>
          <w:lang w:val="fr-CH"/>
        </w:rPr>
        <w:t>sans y ajouter d’élément particulier</w:t>
      </w:r>
      <w:r w:rsidR="00F85F3E">
        <w:rPr>
          <w:lang w:val="fr-CH"/>
        </w:rPr>
        <w:t xml:space="preserve">. </w:t>
      </w:r>
      <w:r w:rsidR="00E04409">
        <w:rPr>
          <w:lang w:val="fr-CH"/>
        </w:rPr>
        <w:t>Sa présence 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37"/>
      </w:r>
      <w:r w:rsidR="00D34704">
        <w:rPr>
          <w:lang w:val="fr-CH"/>
        </w:rPr>
        <w:t xml:space="preserve"> : le cri dans sa modalité n’est pas présent, mais le film substitue au cri, à plusieurs reprises, d’autres éléments. Le cas le plus évident de cette substitution intervient dans une scène durant laquelle Carol reçoit la visite d’un inconnu à sa porte : celui-ci, une </w:t>
      </w:r>
      <w:r w:rsidR="00D34704">
        <w:rPr>
          <w:i/>
          <w:lang w:val="fr-CH"/>
        </w:rPr>
        <w:t>pod person</w:t>
      </w:r>
      <w:r w:rsidR="00D34704">
        <w:rPr>
          <w:lang w:val="fr-CH"/>
        </w:rPr>
        <w:t>, cherche à pénétrer son appartement pour pouvoir contaminer la famille.</w:t>
      </w:r>
      <w:r w:rsidR="00B707B1">
        <w:rPr>
          <w:lang w:val="fr-CH"/>
        </w:rPr>
        <w:t xml:space="preserve"> Durant l’altercation, l’inconnu</w:t>
      </w:r>
      <w:r w:rsidR="00896937">
        <w:rPr>
          <w:lang w:val="fr-CH"/>
        </w:rPr>
        <w:t xml:space="preserve">, bloqué derrière une la porte d’entrée, émet 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en corde, non sans rappeler celui d’un cri. De plus durant l’intégralité de la scène, un bruit off –le sifflement d’une marmite à vapeur placée sur le feu avant que la sonnette entraine le début de la rencontre– </w:t>
      </w:r>
      <w:r w:rsidR="00D07D27">
        <w:rPr>
          <w:lang w:val="fr-CH"/>
        </w:rPr>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38"/>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 trahissent une grande réflexivité du film envers ses versions antérieures : leur absence sous leur forme typique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p>
    <w:p w14:paraId="0B3A6FF6" w14:textId="2445AC34" w:rsidR="00342E3F" w:rsidRPr="00442AD6" w:rsidRDefault="001A66E2" w:rsidP="001A66E2">
      <w:pPr>
        <w:pStyle w:val="Heading2"/>
        <w:spacing w:after="120"/>
        <w:rPr>
          <w:lang w:val="fr-CH"/>
        </w:rPr>
      </w:pPr>
      <w:r w:rsidRPr="00487E9E">
        <w:rPr>
          <w:highlight w:val="yellow"/>
          <w:lang w:val="fr-CH"/>
        </w:rPr>
        <w:lastRenderedPageBreak/>
        <w:t xml:space="preserve"> </w:t>
      </w:r>
      <w:r w:rsidR="00487E9E" w:rsidRPr="00487E9E">
        <w:rPr>
          <w:highlight w:val="yellow"/>
          <w:lang w:val="fr-CH"/>
        </w:rPr>
        <w:t xml:space="preserve">« Being a </w:t>
      </w:r>
      <w:r w:rsidR="00487E9E" w:rsidRPr="007217AF">
        <w:rPr>
          <w:i/>
          <w:highlight w:val="yellow"/>
          <w:lang w:val="fr-CH"/>
        </w:rPr>
        <w:t>pod person </w:t>
      </w:r>
      <w:r w:rsidR="00487E9E" w:rsidRPr="00487E9E">
        <w:rPr>
          <w:highlight w:val="yellow"/>
          <w:lang w:val="fr-CH"/>
        </w:rPr>
        <w:t>»</w:t>
      </w:r>
    </w:p>
    <w:p w14:paraId="5BE5E8F0" w14:textId="544896E8"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Ce travail choisit de se concentrer sur l’une d’entre-elles, </w:t>
      </w:r>
      <w:r w:rsidR="00276A3C">
        <w:rPr>
          <w:lang w:val="fr-CH"/>
        </w:rPr>
        <w:t>tirée directement du roman de Finney et répétée dans chaque film.</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39"/>
      </w:r>
      <w:r w:rsidR="00BC739F">
        <w:rPr>
          <w:lang w:val="fr-CH"/>
        </w:rPr>
        <w:t>.</w:t>
      </w:r>
    </w:p>
    <w:p w14:paraId="65FD3E69" w14:textId="1C8AA3BB" w:rsidR="007C50CA" w:rsidRDefault="007C50CA" w:rsidP="007C50CA">
      <w:pPr>
        <w:pStyle w:val="Mmoire"/>
        <w:rPr>
          <w:lang w:val="fr-CH"/>
        </w:rPr>
      </w:pPr>
      <w:r>
        <w:rPr>
          <w:lang w:val="fr-CH"/>
        </w:rPr>
        <w:tab/>
        <w:t xml:space="preserve">Dans le film de Siegel, un premier changement est opéré à la 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se retrouve presque écrasé par un camion.</w:t>
      </w:r>
      <w:r w:rsidR="00C82211">
        <w:rPr>
          <w:lang w:val="fr-CH"/>
        </w:rPr>
        <w:t xml:space="preserve"> Ce cri trahit leur 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course-poursuite qui anime la fin du film.</w:t>
      </w:r>
      <w:r w:rsidR="00C70F02">
        <w:rPr>
          <w:lang w:val="fr-CH"/>
        </w:rPr>
        <w:t xml:space="preserve"> Le film présentant cette scène dans son articulation la plus complexe avec le texte original est celui de Kaufman</w:t>
      </w:r>
      <w:r w:rsidR="00AC0B7A">
        <w:rPr>
          <w:lang w:val="fr-CH"/>
        </w:rPr>
        <w:t>, puisque la scène y est 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0"/>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 xml:space="preserve">et a donc pour effet de surprendre celui-ci. La scène retourne ensuite dans une série de champ/contre-champ qui finiront par se solder par la réunification des personnages </w:t>
      </w:r>
      <w:r w:rsidR="007737F8">
        <w:rPr>
          <w:lang w:val="fr-CH"/>
        </w:rPr>
        <w:t xml:space="preserve">(fig. 16) </w:t>
      </w:r>
      <w:r w:rsidR="00026D2F">
        <w:rPr>
          <w:lang w:val="fr-CH"/>
        </w:rPr>
        <w:t>et les explications de Nancy sur sa technique de camouflage.</w:t>
      </w:r>
      <w:r w:rsidR="00FB11DA">
        <w:rPr>
          <w:lang w:val="fr-CH"/>
        </w:rPr>
        <w:t xml:space="preserve"> Cette première itération de la scène joue sur les attentes du </w:t>
      </w:r>
      <w:r w:rsidR="00FB11DA">
        <w:rPr>
          <w:lang w:val="fr-CH"/>
        </w:rPr>
        <w:lastRenderedPageBreak/>
        <w:t>spectateur par rapport à</w:t>
      </w:r>
      <w:r w:rsidR="003C12CA">
        <w:rPr>
          <w:lang w:val="fr-CH"/>
        </w:rPr>
        <w:t xml:space="preserve"> la version de Finney/Siegel, puisque les personnages –dont la peur est visible–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itération de cette scène intervient à la fin du film : il s’agit du retournement final déjà discuté plus haut dans ce chapitre.</w:t>
      </w:r>
      <w:r w:rsidR="00180AF3">
        <w:rPr>
          <w:lang w:val="fr-CH"/>
        </w:rPr>
        <w:t xml:space="preserve"> Avec cette scène, encore une fois, Kaufman joue des 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 avant la confrontation finale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seulement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5E2338">
        <w:rPr>
          <w:lang w:val="fr-CH"/>
        </w:rPr>
        <w:t xml:space="preserve"> </w:t>
      </w:r>
      <w:r w:rsidR="00453BC6">
        <w:rPr>
          <w:lang w:val="fr-CH"/>
        </w:rPr>
        <w:t xml:space="preserve"> </w:t>
      </w:r>
      <w:r w:rsidR="005C0496">
        <w:rPr>
          <w:lang w:val="fr-CH"/>
        </w:rPr>
        <w:t>Le film de Kaufman montre justement Matthew entrain de découper un journal dans la dernière séquence du film (fig. 17)</w:t>
      </w:r>
      <w:r w:rsidR="003667D1">
        <w:rPr>
          <w:lang w:val="fr-CH"/>
        </w:rPr>
        <w:t xml:space="preserve">, le spectateur </w:t>
      </w:r>
      <w:r w:rsidR="00D40A86">
        <w:rPr>
          <w:lang w:val="fr-CH"/>
        </w:rPr>
        <w:t xml:space="preserve">se souvenant du chapitre de la bibliothèque du roman ne manquera pas de faire le rapprochement et de comprendre que Matthew contribue à l’invasion 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41"/>
      </w:r>
      <w:r w:rsidR="000619E7">
        <w:rPr>
          <w:lang w:val="fr-CH"/>
        </w:rPr>
        <w:t xml:space="preserve"> et un deuxième sur sa réflexivité très forte envers sa source</w:t>
      </w:r>
      <w:r w:rsidR="00A77E2B">
        <w:rPr>
          <w:rStyle w:val="FootnoteReference"/>
          <w:lang w:val="fr-CH"/>
        </w:rPr>
        <w:footnoteReference w:id="42"/>
      </w:r>
      <w:r w:rsidR="000619E7">
        <w:rPr>
          <w:lang w:val="fr-CH"/>
        </w:rPr>
        <w:t>.</w:t>
      </w:r>
    </w:p>
    <w:p w14:paraId="720BB6D6" w14:textId="2B661861"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très forte à celle du roman et du film de Siegel. Mais contrairement au film de Siegel, ce n’est pas un cri mais l’inquiétude exprimée par Marti qui trahi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43"/>
      </w:r>
      <w:r w:rsidR="00B0125D">
        <w:rPr>
          <w:lang w:val="fr-CH"/>
        </w:rPr>
        <w:t xml:space="preserve"> par rapport à celui du film de Siegel (fig. 19)</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w:t>
      </w:r>
      <w:r w:rsidR="0020147E">
        <w:rPr>
          <w:lang w:val="fr-CH"/>
        </w:rPr>
        <w:lastRenderedPageBreak/>
        <w:t>perspective avec le roman de Finney. Dans le roman, Miles précise « Nous ne nous sommes pas retournés »</w:t>
      </w:r>
      <w:r w:rsidR="0020147E">
        <w:rPr>
          <w:rStyle w:val="FootnoteReference"/>
          <w:lang w:val="fr-CH"/>
        </w:rPr>
        <w:footnoteReference w:id="4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2F7D4622"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la scène de camouflage apparaît bien plus tôt dans le récit alors que Carol se retrouve</w:t>
      </w:r>
      <w:r w:rsidR="00861C32">
        <w:rPr>
          <w:rStyle w:val="FootnoteReference"/>
          <w:lang w:val="fr-CH"/>
        </w:rPr>
        <w:footnoteReference w:id="45"/>
      </w:r>
      <w:r w:rsidR="006F7B40">
        <w:rPr>
          <w:lang w:val="fr-CH"/>
        </w:rPr>
        <w:t xml:space="preserve"> dans un métro avec d’autres humains alors que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4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47"/>
      </w:r>
      <w:r w:rsidR="005E3CE0">
        <w:rPr>
          <w:lang w:val="fr-CH"/>
        </w:rPr>
        <w:t>.</w:t>
      </w:r>
      <w:r w:rsidR="00F52C83">
        <w:rPr>
          <w:lang w:val="fr-CH"/>
        </w:rPr>
        <w:t xml:space="preserve"> Après une embuscade de laquelle elle parvient à s’échapper, c’est un policier qui s’approche d’elle </w:t>
      </w:r>
      <w:r w:rsidR="00B10258">
        <w:rPr>
          <w:lang w:val="fr-CH"/>
        </w:rPr>
        <w:t>par derrière (fig. 20)</w:t>
      </w:r>
      <w:r w:rsidR="001737D3">
        <w:rPr>
          <w:lang w:val="fr-CH"/>
        </w:rPr>
        <w:t xml:space="preserve"> </w:t>
      </w:r>
      <w:r w:rsidR="003D3B09">
        <w:rPr>
          <w:lang w:val="fr-CH"/>
        </w:rPr>
        <w:t xml:space="preserve">alors que trois autres sont entrain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revoie au film de Siegel et à sa source littéraire en opérant encore à une nouvelle permutation de la scène originale : le représentant des forces de l’ordres,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4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dans les conséquences de la scène de camouflage</w:t>
      </w:r>
      <w:r w:rsidR="00EA4307">
        <w:rPr>
          <w:rStyle w:val="FootnoteReference"/>
          <w:lang w:val="fr-CH"/>
        </w:rPr>
        <w:footnoteReference w:id="4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connaissant les films précédents en contrant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révélant encore une fois la tension entre réflexivité et originalité qui habite tout remake.</w:t>
      </w:r>
    </w:p>
    <w:p w14:paraId="2CD6A9D6" w14:textId="432CCED0" w:rsidR="00D632E9" w:rsidRPr="00BB79FE" w:rsidRDefault="00BB79FE" w:rsidP="003927B8">
      <w:pPr>
        <w:pStyle w:val="Heading2"/>
        <w:spacing w:after="120"/>
        <w:rPr>
          <w:lang w:val="fr-CH"/>
        </w:rPr>
      </w:pPr>
      <w:r>
        <w:rPr>
          <w:lang w:val="fr-CH"/>
        </w:rPr>
        <w:lastRenderedPageBreak/>
        <w:t xml:space="preserve">Remakes ou </w:t>
      </w:r>
      <w:r>
        <w:rPr>
          <w:i/>
          <w:lang w:val="fr-CH"/>
        </w:rPr>
        <w:t>sequels </w:t>
      </w:r>
      <w:r>
        <w:rPr>
          <w:lang w:val="fr-CH"/>
        </w:rPr>
        <w:t>?</w:t>
      </w:r>
    </w:p>
    <w:p w14:paraId="423E34B5" w14:textId="1C75E959"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du roman de Finney</w:t>
      </w:r>
      <w:r w:rsidR="002B7C16">
        <w:rPr>
          <w:rStyle w:val="FootnoteReference"/>
          <w:lang w:val="fr-CH"/>
        </w:rPr>
        <w:footnoteReference w:id="5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 relèvent ce déplacement mais se contentent d’y lire la possibilité offerte par une critique de leur société contemporaine respectives</w:t>
      </w:r>
      <w:r w:rsidR="00C070EE">
        <w:rPr>
          <w:rStyle w:val="FootnoteReference"/>
          <w:lang w:val="fr-CH"/>
        </w:rPr>
        <w:footnoteReference w:id="51"/>
      </w:r>
      <w:r w:rsidR="00C6374A">
        <w:rPr>
          <w:lang w:val="fr-CH"/>
        </w:rPr>
        <w:t xml:space="preserve">. Seuls auteurs à relever </w:t>
      </w:r>
      <w:r w:rsidR="000076D5">
        <w:rPr>
          <w:lang w:val="fr-CH"/>
        </w:rPr>
        <w:t>les effets de ce déplacement sur le corpus des textes dans son ensemble, Thomas Leitch</w:t>
      </w:r>
      <w:r w:rsidR="000076D5">
        <w:rPr>
          <w:rStyle w:val="FootnoteReference"/>
          <w:lang w:val="fr-CH"/>
        </w:rPr>
        <w:footnoteReference w:id="52"/>
      </w:r>
      <w:r w:rsidR="000076D5">
        <w:rPr>
          <w:lang w:val="fr-CH"/>
        </w:rPr>
        <w:t xml:space="preserve"> et Kathleen Loock</w:t>
      </w:r>
      <w:r w:rsidR="000076D5">
        <w:rPr>
          <w:rStyle w:val="FootnoteReference"/>
          <w:lang w:val="fr-CH"/>
        </w:rPr>
        <w:footnoteReference w:id="5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54"/>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55"/>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471336">
        <w:rPr>
          <w:lang w:val="fr-CH"/>
        </w:rPr>
        <w:t xml:space="preserve">partie propose </w:t>
      </w:r>
      <w:r w:rsidR="00471336">
        <w:rPr>
          <w:lang w:val="fr-CH"/>
        </w:rPr>
        <w:lastRenderedPageBreak/>
        <w:t xml:space="preserve">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676298CF" w14:textId="54B2C136"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56"/>
      </w:r>
      <w:r w:rsidR="004503A3">
        <w:rPr>
          <w:lang w:val="fr-CH"/>
        </w:rPr>
        <w:t>, leur sexe</w:t>
      </w:r>
      <w:r w:rsidR="004503A3">
        <w:rPr>
          <w:rStyle w:val="FootnoteReference"/>
          <w:lang w:val="fr-CH"/>
        </w:rPr>
        <w:footnoteReference w:id="57"/>
      </w:r>
      <w:r w:rsidR="004503A3">
        <w:rPr>
          <w:lang w:val="fr-CH"/>
        </w:rPr>
        <w:t xml:space="preserve"> mais également dans leur statut social</w:t>
      </w:r>
      <w:r w:rsidR="00FD6FD5">
        <w:rPr>
          <w:rStyle w:val="FootnoteReference"/>
          <w:lang w:val="fr-CH"/>
        </w:rPr>
        <w:footnoteReference w:id="5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5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6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6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McCarthy… l’acteur jouant Miles de la version de Siegel.</w:t>
      </w:r>
      <w:r w:rsidR="00DB2BBD">
        <w:rPr>
          <w:lang w:val="fr-CH"/>
        </w:rPr>
        <w:t xml:space="preserve"> Ce clin d’œil à l’original</w:t>
      </w:r>
      <w:r w:rsidR="00DB2BBD">
        <w:rPr>
          <w:rStyle w:val="FootnoteReference"/>
          <w:lang w:val="fr-CH"/>
        </w:rPr>
        <w:footnoteReference w:id="62"/>
      </w:r>
      <w:r w:rsidR="005C68BF">
        <w:rPr>
          <w:lang w:val="fr-CH"/>
        </w:rPr>
        <w:t xml:space="preserve"> renvoie pourtant le spectateur attentif et informé</w:t>
      </w:r>
      <w:r w:rsidR="005C68BF">
        <w:rPr>
          <w:rStyle w:val="FootnoteReference"/>
          <w:lang w:val="fr-CH"/>
        </w:rPr>
        <w:footnoteReference w:id="6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consultant à cause d’un sentiment que son mari n’est plus la même personne, </w:t>
      </w:r>
      <w:r w:rsidR="00880154">
        <w:rPr>
          <w:lang w:val="fr-CH"/>
        </w:rPr>
        <w:t>est donné à Veronica Cartwright, seule survivante possible connue du film de 1978</w:t>
      </w:r>
      <w:r w:rsidR="00880154">
        <w:rPr>
          <w:rStyle w:val="FootnoteReference"/>
          <w:lang w:val="fr-CH"/>
        </w:rPr>
        <w:footnoteReference w:id="6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lastRenderedPageBreak/>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6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4 films de la série</w:t>
      </w:r>
      <w:r w:rsidR="00F253BF">
        <w:rPr>
          <w:lang w:val="fr-CH"/>
        </w:rPr>
        <w:t xml:space="preserve"> articulant la tension entre réflexivité (via,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 xml:space="preserve">trans-remake ne sont que des courtes rencontres sur le chemin des personnages principaux d’un </w:t>
      </w:r>
      <w:r w:rsidR="00F325CA">
        <w:rPr>
          <w:i/>
          <w:lang w:val="fr-CH"/>
        </w:rPr>
        <w:t>nouveau</w:t>
      </w:r>
      <w:r w:rsidR="00F325CA">
        <w:rPr>
          <w:lang w:val="fr-CH"/>
        </w:rPr>
        <w:t xml:space="preserve"> récit.</w:t>
      </w:r>
    </w:p>
    <w:p w14:paraId="67FBEB81" w14:textId="77777777" w:rsidR="008C5BBE" w:rsidRDefault="008C5BBE" w:rsidP="008C5BBE">
      <w:pPr>
        <w:rPr>
          <w:lang w:val="fr-CH"/>
        </w:rPr>
      </w:pPr>
    </w:p>
    <w:p w14:paraId="4686ADC6" w14:textId="03B8E3BC" w:rsidR="008C5BBE" w:rsidRPr="0042709F" w:rsidRDefault="008C5BBE" w:rsidP="008C5BBE">
      <w:pPr>
        <w:pStyle w:val="Mmoire"/>
        <w:rPr>
          <w:lang w:val="fr-CH"/>
        </w:rPr>
      </w:pPr>
      <w:r>
        <w:rPr>
          <w:lang w:val="fr-CH"/>
        </w:rPr>
        <w:tab/>
      </w:r>
      <w:r w:rsidR="00BB22E6">
        <w:rPr>
          <w:lang w:val="fr-CH"/>
        </w:rPr>
        <w:t>Dans ce chapitre, il a été question des liens qu’entretiennent les différents films du corpus des remakes officiels et de la manière dont ces liens créent une tension entre réflexivité et originalité centrale à tout remake.</w:t>
      </w:r>
      <w:r w:rsidR="0002028D">
        <w:rPr>
          <w:lang w:val="fr-CH"/>
        </w:rPr>
        <w:t xml:space="preserve"> Les éléments narratifs comme le générique d’ouverture et l’utilisation d’une voix off </w:t>
      </w:r>
      <w:r w:rsidR="00F23B4A">
        <w:rPr>
          <w:lang w:val="fr-CH"/>
        </w:rPr>
        <w:t xml:space="preserve">et la récurrence de figures comme le cri des </w:t>
      </w:r>
      <w:r w:rsidR="00F23B4A">
        <w:rPr>
          <w:i/>
          <w:lang w:val="fr-CH"/>
        </w:rPr>
        <w:t>pod people</w:t>
      </w:r>
      <w:r w:rsidR="00F23B4A">
        <w:rPr>
          <w:lang w:val="fr-CH"/>
        </w:rPr>
        <w:t xml:space="preserve"> ou la scène de camouflage </w:t>
      </w:r>
      <w:r w:rsidR="0036669F">
        <w:rPr>
          <w:lang w:val="fr-CH"/>
        </w:rPr>
        <w:t xml:space="preserve">mettent en scène cette tension : celle d’un texte cherchant à se démarquer d’un autre tout en lui tirant sa </w:t>
      </w:r>
      <w:r w:rsidR="00B26FDE">
        <w:rPr>
          <w:lang w:val="fr-CH"/>
        </w:rPr>
        <w:t>révérence</w:t>
      </w:r>
      <w:r w:rsidR="0036669F">
        <w:rPr>
          <w:lang w:val="fr-CH"/>
        </w:rPr>
        <w:t>.</w:t>
      </w:r>
      <w:r w:rsidR="00B26FDE">
        <w:rPr>
          <w:lang w:val="fr-CH"/>
        </w:rPr>
        <w:t xml:space="preserve"> Finalement, </w:t>
      </w:r>
      <w:r w:rsidR="00CF1BF5">
        <w:rPr>
          <w:lang w:val="fr-CH"/>
        </w:rPr>
        <w:t>il a</w:t>
      </w:r>
      <w:r w:rsidR="00D74DB8">
        <w:rPr>
          <w:lang w:val="fr-CH"/>
        </w:rPr>
        <w:t xml:space="preserve"> été question du statut de la série : si la suite du film est systématiquement présentée comme une série de remake</w:t>
      </w:r>
      <w:r w:rsidR="009F15A9">
        <w:rPr>
          <w:lang w:val="fr-CH"/>
        </w:rPr>
        <w:t>s par la critique (journalistique, spécialisée et académique</w:t>
      </w:r>
      <w:r w:rsidR="00D74DB8">
        <w:rPr>
          <w:lang w:val="fr-CH"/>
        </w:rPr>
        <w:t>)</w:t>
      </w:r>
      <w:r w:rsidR="009F15A9">
        <w:rPr>
          <w:lang w:val="fr-CH"/>
        </w:rPr>
        <w:t xml:space="preserve">, </w:t>
      </w:r>
      <w:r w:rsidR="009F15A9" w:rsidRPr="00B921F0">
        <w:rPr>
          <w:highlight w:val="yellow"/>
          <w:lang w:val="fr-CH"/>
        </w:rPr>
        <w:t>les débordements</w:t>
      </w:r>
      <w:r w:rsidR="00C9045C" w:rsidRPr="00B921F0">
        <w:rPr>
          <w:highlight w:val="yellow"/>
          <w:lang w:val="fr-CH"/>
        </w:rPr>
        <w:t xml:space="preserve"> et déplacements </w:t>
      </w:r>
      <w:r w:rsidR="00F37FE4" w:rsidRPr="00B921F0">
        <w:rPr>
          <w:highlight w:val="yellow"/>
          <w:lang w:val="fr-CH"/>
        </w:rPr>
        <w:t>spatio-temporels</w:t>
      </w:r>
      <w:r w:rsidR="009F15A9" w:rsidRPr="00B921F0">
        <w:rPr>
          <w:highlight w:val="yellow"/>
          <w:lang w:val="fr-CH"/>
        </w:rPr>
        <w:t xml:space="preserve"> </w:t>
      </w:r>
      <w:r w:rsidR="00C9045C" w:rsidRPr="00B921F0">
        <w:rPr>
          <w:highlight w:val="yellow"/>
          <w:lang w:val="fr-CH"/>
        </w:rPr>
        <w:t xml:space="preserve">d’un film au suivant </w:t>
      </w:r>
      <w:r w:rsidR="00FB64D9" w:rsidRPr="00B921F0">
        <w:rPr>
          <w:highlight w:val="yellow"/>
          <w:lang w:val="fr-CH"/>
        </w:rPr>
        <w:t xml:space="preserve">permettent tout autant de considérer le corpus comme une série de suites </w:t>
      </w:r>
      <w:r w:rsidR="007D49D7" w:rsidRPr="00B921F0">
        <w:rPr>
          <w:highlight w:val="yellow"/>
          <w:lang w:val="fr-CH"/>
        </w:rPr>
        <w:t>répétant la même structure narrative à la manière d’</w:t>
      </w:r>
      <w:r w:rsidR="007B7BB9" w:rsidRPr="00B921F0">
        <w:rPr>
          <w:highlight w:val="yellow"/>
          <w:lang w:val="fr-CH"/>
        </w:rPr>
        <w:t xml:space="preserve">une série </w:t>
      </w:r>
      <w:r w:rsidR="00B921F0" w:rsidRPr="00B921F0">
        <w:rPr>
          <w:highlight w:val="yellow"/>
          <w:lang w:val="fr-CH"/>
        </w:rPr>
        <w:t>télévisée fixant des invariants à leur récit et revisitant constamment la mê</w:t>
      </w:r>
      <w:r w:rsidR="0042709F">
        <w:rPr>
          <w:highlight w:val="yellow"/>
          <w:lang w:val="fr-CH"/>
        </w:rPr>
        <w:t>me structure narrative</w:t>
      </w:r>
      <w:r w:rsidR="00B921F0" w:rsidRPr="00B921F0">
        <w:rPr>
          <w:highlight w:val="yellow"/>
          <w:lang w:val="fr-CH"/>
        </w:rPr>
        <w:t xml:space="preserve"> </w:t>
      </w:r>
      <w:r w:rsidR="00B921F0" w:rsidRPr="0042709F">
        <w:rPr>
          <w:highlight w:val="yellow"/>
          <w:lang w:val="fr-CH"/>
        </w:rPr>
        <w:t>(NOTE : I’LL WORK ON THIS WHEN I CAN ACCESS THE BOOKS I NEED TO MAKE IT CLEAR)</w:t>
      </w:r>
      <w:r w:rsidR="00B921F0" w:rsidRPr="0042709F">
        <w:rPr>
          <w:lang w:val="fr-CH"/>
        </w:rPr>
        <w:t>.</w:t>
      </w:r>
      <w:r w:rsidR="0042709F">
        <w:rPr>
          <w:lang w:val="fr-CH"/>
        </w:rPr>
        <w:t xml:space="preserve"> </w:t>
      </w:r>
      <w:r w:rsidR="00A47296">
        <w:rPr>
          <w:lang w:val="fr-CH"/>
        </w:rPr>
        <w:t xml:space="preserve">L’ensemble de ces éléments </w:t>
      </w:r>
      <w:r w:rsidR="009E41AE">
        <w:rPr>
          <w:lang w:val="fr-CH"/>
        </w:rPr>
        <w:t xml:space="preserve">montre comment chaque film de la série, de par son texte, confirme son appartenance </w:t>
      </w:r>
      <w:r w:rsidR="00610B20">
        <w:rPr>
          <w:lang w:val="fr-CH"/>
        </w:rPr>
        <w:t>tout en problématisant son essence même.</w:t>
      </w:r>
      <w:r w:rsidR="005A26BF">
        <w:rPr>
          <w:lang w:val="fr-CH"/>
        </w:rPr>
        <w:t xml:space="preserve"> En reconduisant certains motifs et schémas narratifs, le film valide l’existence des précédents et assure que leur existence ne soit pas oubliée… puisque leur existence même en dépends.</w:t>
      </w:r>
      <w:bookmarkStart w:id="0" w:name="_GoBack"/>
      <w:bookmarkEnd w:id="0"/>
      <w:r w:rsidR="005A26BF">
        <w:rPr>
          <w:lang w:val="fr-CH"/>
        </w:rPr>
        <w:t xml:space="preserve"> </w:t>
      </w:r>
    </w:p>
    <w:sectPr w:rsidR="008C5BBE" w:rsidRPr="0042709F"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56BCE" w14:textId="77777777" w:rsidR="00174DF1" w:rsidRDefault="00174DF1" w:rsidP="00173138">
      <w:r>
        <w:separator/>
      </w:r>
    </w:p>
  </w:endnote>
  <w:endnote w:type="continuationSeparator" w:id="0">
    <w:p w14:paraId="7DC10337" w14:textId="77777777" w:rsidR="00174DF1" w:rsidRDefault="00174DF1"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86E48" w:rsidRDefault="00A86E4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86E48" w:rsidRDefault="00A86E4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86E48" w:rsidRPr="00A50EFA" w:rsidRDefault="00A86E4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5A26BF">
      <w:rPr>
        <w:rStyle w:val="PageNumber"/>
        <w:noProof/>
        <w:sz w:val="22"/>
      </w:rPr>
      <w:t>14</w:t>
    </w:r>
    <w:r w:rsidRPr="00A50EFA">
      <w:rPr>
        <w:rStyle w:val="PageNumber"/>
        <w:sz w:val="22"/>
      </w:rPr>
      <w:fldChar w:fldCharType="end"/>
    </w:r>
  </w:p>
  <w:p w14:paraId="6A6EF380" w14:textId="77777777" w:rsidR="00A86E48" w:rsidRDefault="00A86E4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6B2BA" w14:textId="77777777" w:rsidR="00174DF1" w:rsidRDefault="00174DF1" w:rsidP="00173138">
      <w:r>
        <w:separator/>
      </w:r>
    </w:p>
  </w:footnote>
  <w:footnote w:type="continuationSeparator" w:id="0">
    <w:p w14:paraId="6EBB0A81" w14:textId="77777777" w:rsidR="00174DF1" w:rsidRDefault="00174DF1" w:rsidP="00173138">
      <w:r>
        <w:continuationSeparator/>
      </w:r>
    </w:p>
  </w:footnote>
  <w:footnote w:id="1">
    <w:p w14:paraId="76807BB9" w14:textId="1CAAD728" w:rsidR="00A86E48" w:rsidRPr="00E92F08" w:rsidRDefault="00A86E48">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A86E48" w:rsidRPr="00250E3D" w:rsidRDefault="00A86E48">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A86E48" w:rsidRPr="00250E3D" w:rsidRDefault="00A86E48">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A86E48" w:rsidRPr="00D61472" w:rsidRDefault="00A86E48">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A86E48" w:rsidRPr="007D5841" w:rsidRDefault="00A86E48">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A86E48" w:rsidRPr="00A00D11" w:rsidRDefault="00A86E48">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A86E48" w:rsidRPr="001E42F1" w:rsidRDefault="00A86E48">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4F05B615" w14:textId="3472AAA4" w:rsidR="00A86E48" w:rsidRPr="003230B1" w:rsidRDefault="00A86E48">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9">
    <w:p w14:paraId="4ABAE706" w14:textId="5E125019" w:rsidR="00A86E48" w:rsidRPr="003D3BEE" w:rsidRDefault="00A86E48">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0">
    <w:p w14:paraId="6E25C6C3" w14:textId="339EB1C3" w:rsidR="00A86E48" w:rsidRPr="00EA7524" w:rsidRDefault="00A86E48">
      <w:pPr>
        <w:pStyle w:val="FootnoteText"/>
        <w:rPr>
          <w:lang w:val="en-GB"/>
        </w:rPr>
      </w:pPr>
      <w:r>
        <w:rPr>
          <w:rStyle w:val="FootnoteReference"/>
        </w:rPr>
        <w:footnoteRef/>
      </w:r>
      <w:r>
        <w:t xml:space="preserve"> Définissant par un film par deux genres contradictoires (« mélodrame familiale » et « film d’action de dur ») en tirant les deux citations d’articles aux approches radicalement différentes. </w:t>
      </w:r>
      <w:r w:rsidRPr="00EA7524">
        <w:rPr>
          <w:lang w:val="en-GB"/>
        </w:rPr>
        <w:t xml:space="preserve">« family melodrama », « tough-talk action film ».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Pr>
          <w:lang w:val="en-US"/>
        </w:rPr>
        <w:t>, p. 133.</w:t>
      </w:r>
    </w:p>
  </w:footnote>
  <w:footnote w:id="11">
    <w:p w14:paraId="59BBF227" w14:textId="651C1A90" w:rsidR="00A86E48" w:rsidRPr="006E7E93" w:rsidRDefault="00A86E48">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2">
    <w:p w14:paraId="76657BE7" w14:textId="193FABE7" w:rsidR="00A86E48" w:rsidRPr="00793AB5" w:rsidRDefault="00A86E48">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3">
    <w:p w14:paraId="287B2C17" w14:textId="45532904" w:rsidR="00A86E48" w:rsidRPr="007F6649" w:rsidRDefault="00A86E48">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sidRPr="007F6649">
        <w:rPr>
          <w:highlight w:val="yellow"/>
          <w:lang w:val="en-GB"/>
        </w:rPr>
        <w:t>X</w:t>
      </w:r>
      <w:r>
        <w:rPr>
          <w:highlight w:val="yellow"/>
          <w:lang w:val="en-GB"/>
        </w:rPr>
        <w:t>X</w:t>
      </w:r>
      <w:r w:rsidRPr="007F6649">
        <w:rPr>
          <w:highlight w:val="yellow"/>
          <w:lang w:val="en-GB"/>
        </w:rPr>
        <w:t>X</w:t>
      </w:r>
    </w:p>
  </w:footnote>
  <w:footnote w:id="14">
    <w:p w14:paraId="45AFA979" w14:textId="2259628F" w:rsidR="00A86E48" w:rsidRPr="00132B6F" w:rsidRDefault="00A86E48">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xml:space="preserve">, p. </w:t>
      </w:r>
      <w:r w:rsidRPr="00132B6F">
        <w:rPr>
          <w:highlight w:val="yellow"/>
          <w:lang w:val="fr-CH"/>
        </w:rPr>
        <w:t>X</w:t>
      </w:r>
      <w:r>
        <w:rPr>
          <w:highlight w:val="yellow"/>
          <w:lang w:val="fr-CH"/>
        </w:rPr>
        <w:t>X</w:t>
      </w:r>
      <w:r w:rsidRPr="00132B6F">
        <w:rPr>
          <w:highlight w:val="yellow"/>
          <w:lang w:val="fr-CH"/>
        </w:rPr>
        <w:t>X</w:t>
      </w:r>
    </w:p>
  </w:footnote>
  <w:footnote w:id="15">
    <w:p w14:paraId="17DFDC75" w14:textId="4DC20ED4" w:rsidR="00A86E48" w:rsidRPr="00B12CC2" w:rsidRDefault="00A86E48">
      <w:pPr>
        <w:pStyle w:val="FootnoteText"/>
      </w:pPr>
      <w:r>
        <w:rPr>
          <w:rStyle w:val="FootnoteReference"/>
        </w:rPr>
        <w:footnoteRef/>
      </w:r>
      <w:r>
        <w:t xml:space="preserve"> Sous forme d’inscriptions textuelles informant le spectateur sur l’aspect de production du film.</w:t>
      </w:r>
    </w:p>
  </w:footnote>
  <w:footnote w:id="16">
    <w:p w14:paraId="2CDF42BA" w14:textId="5DB1BFF1" w:rsidR="00A86E48" w:rsidRPr="00451131" w:rsidRDefault="00A86E48">
      <w:pPr>
        <w:pStyle w:val="FootnoteText"/>
      </w:pPr>
      <w:r>
        <w:rPr>
          <w:rStyle w:val="FootnoteReference"/>
        </w:rPr>
        <w:footnoteRef/>
      </w:r>
      <w:r>
        <w:t xml:space="preserve"> Le spectateur n’étant pas dupe quant à l’origine truquée de ces images.</w:t>
      </w:r>
    </w:p>
  </w:footnote>
  <w:footnote w:id="17">
    <w:p w14:paraId="460FBF7A" w14:textId="67231437" w:rsidR="00A86E48" w:rsidRPr="007E445D" w:rsidRDefault="00A86E48">
      <w:pPr>
        <w:pStyle w:val="FootnoteText"/>
        <w:rPr>
          <w:lang w:val="fr-CH"/>
        </w:rPr>
      </w:pPr>
      <w:r>
        <w:rPr>
          <w:rStyle w:val="FootnoteReference"/>
        </w:rPr>
        <w:footnoteRef/>
      </w:r>
      <w:r>
        <w:t xml:space="preserve"> Identique à celle du film de Siegel.</w:t>
      </w:r>
    </w:p>
  </w:footnote>
  <w:footnote w:id="18">
    <w:p w14:paraId="2535AAD2" w14:textId="02D67483" w:rsidR="00A86E48" w:rsidRPr="00FE42D2" w:rsidRDefault="00A86E48">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19">
    <w:p w14:paraId="293B42DB" w14:textId="6EE0E259" w:rsidR="00A86E48" w:rsidRPr="00235F43" w:rsidRDefault="00A86E48">
      <w:pPr>
        <w:pStyle w:val="FootnoteText"/>
        <w:rPr>
          <w:lang w:val="fr-CH"/>
        </w:rPr>
      </w:pPr>
      <w:r>
        <w:rPr>
          <w:rStyle w:val="FootnoteReference"/>
        </w:rPr>
        <w:footnoteRef/>
      </w:r>
      <w:r>
        <w:t xml:space="preserve"> La </w:t>
      </w:r>
      <w:r>
        <w:rPr>
          <w:i/>
        </w:rPr>
        <w:t>space shuttle</w:t>
      </w:r>
      <w:r>
        <w:t xml:space="preserve"> de l’agence spéciale américaine (NASA).</w:t>
      </w:r>
    </w:p>
  </w:footnote>
  <w:footnote w:id="20">
    <w:p w14:paraId="13433CBF" w14:textId="7BF9FB89" w:rsidR="00A86E48" w:rsidRPr="00CD35C3" w:rsidRDefault="00A86E48">
      <w:pPr>
        <w:pStyle w:val="FootnoteText"/>
        <w:rPr>
          <w:lang w:val="fr-CH"/>
        </w:rPr>
      </w:pPr>
      <w:r>
        <w:rPr>
          <w:rStyle w:val="FootnoteReference"/>
        </w:rPr>
        <w:footnoteRef/>
      </w:r>
      <w:r>
        <w:t xml:space="preserve"> </w:t>
      </w:r>
      <w:r>
        <w:rPr>
          <w:lang w:val="fr-CH"/>
        </w:rPr>
        <w:t>Ou, plus précisément dans le cas du film de 2007, le titre.</w:t>
      </w:r>
    </w:p>
  </w:footnote>
  <w:footnote w:id="21">
    <w:p w14:paraId="67C62ACA" w14:textId="6A9A8A39" w:rsidR="00A86E48" w:rsidRPr="00A61E43" w:rsidRDefault="00A86E48">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2">
    <w:p w14:paraId="30961698" w14:textId="655A2698" w:rsidR="00A86E48" w:rsidRPr="004E2BC7" w:rsidRDefault="00A86E48">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3">
    <w:p w14:paraId="3CB52AE2" w14:textId="77777777" w:rsidR="00A86E48" w:rsidRPr="00CB540A" w:rsidRDefault="00A86E48"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4">
    <w:p w14:paraId="0D3AFAB1" w14:textId="77777777" w:rsidR="00A86E48" w:rsidRPr="003C4D6A" w:rsidRDefault="00A86E48"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5">
    <w:p w14:paraId="4296D5AC" w14:textId="014363AE" w:rsidR="00A86E48" w:rsidRPr="00C77557" w:rsidRDefault="00A86E48">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6">
    <w:p w14:paraId="71FAFD35" w14:textId="7838C12E" w:rsidR="00A86E48" w:rsidRPr="00AC22C4" w:rsidRDefault="00A86E48">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27">
    <w:p w14:paraId="25D7C4C1" w14:textId="51E091CD" w:rsidR="00A86E48" w:rsidRPr="00AC0B7A" w:rsidRDefault="00A86E48">
      <w:pPr>
        <w:pStyle w:val="FootnoteText"/>
        <w:rPr>
          <w:lang w:val="en-GB"/>
        </w:rPr>
      </w:pPr>
      <w:r>
        <w:rPr>
          <w:rStyle w:val="FootnoteReference"/>
        </w:rPr>
        <w:footnoteRef/>
      </w:r>
      <w:r w:rsidRPr="00AC0B7A">
        <w:rPr>
          <w:lang w:val="en-GB"/>
        </w:rPr>
        <w:t xml:space="preserve"> « He’s in here ! He’s in here ! Get him ! </w:t>
      </w:r>
      <w:r w:rsidRPr="00EB7A0A">
        <w:rPr>
          <w:lang w:val="en-GB"/>
        </w:rPr>
        <w:t xml:space="preserve">Get him ! ». </w:t>
      </w:r>
      <w:r w:rsidRPr="00AC0B7A">
        <w:rPr>
          <w:lang w:val="en-GB"/>
        </w:rPr>
        <w:t xml:space="preserve">Al LaValley (éd.), </w:t>
      </w:r>
      <w:r w:rsidRPr="00AC0B7A">
        <w:rPr>
          <w:i/>
          <w:lang w:val="en-GB"/>
        </w:rPr>
        <w:t>op. cit.</w:t>
      </w:r>
      <w:r w:rsidRPr="00AC0B7A">
        <w:rPr>
          <w:lang w:val="en-GB"/>
        </w:rPr>
        <w:t>, p. 102.</w:t>
      </w:r>
    </w:p>
  </w:footnote>
  <w:footnote w:id="28">
    <w:p w14:paraId="276C1BB9" w14:textId="023B30C0" w:rsidR="00A86E48" w:rsidRPr="00DA6438" w:rsidRDefault="00A86E48">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Pr="00AC0B7A">
        <w:rPr>
          <w:lang w:val="en-GB"/>
        </w:rPr>
        <w:t xml:space="preserve">Al LaValley (éd.), </w:t>
      </w:r>
      <w:r w:rsidRPr="00AC0B7A">
        <w:rPr>
          <w:i/>
          <w:lang w:val="en-GB"/>
        </w:rPr>
        <w:t>ibid.</w:t>
      </w:r>
    </w:p>
  </w:footnote>
  <w:footnote w:id="29">
    <w:p w14:paraId="686B51DA" w14:textId="13E646A9" w:rsidR="00A86E48" w:rsidRPr="00AC0B7A" w:rsidRDefault="00A86E48">
      <w:pPr>
        <w:pStyle w:val="FootnoteText"/>
        <w:rPr>
          <w:lang w:val="fr-CH"/>
        </w:rPr>
      </w:pPr>
      <w:r>
        <w:rPr>
          <w:rStyle w:val="FootnoteReference"/>
        </w:rPr>
        <w:footnoteRef/>
      </w:r>
      <w:r w:rsidRPr="00462979">
        <w:rPr>
          <w:lang w:val="en-GB"/>
        </w:rPr>
        <w:t xml:space="preserve"> « </w:t>
      </w:r>
      <w:r w:rsidRPr="00462979">
        <w:rPr>
          <w:i/>
          <w:lang w:val="en-GB"/>
        </w:rPr>
        <w:t>(screaming furiously)</w:t>
      </w:r>
      <w:r w:rsidRPr="00462979">
        <w:rPr>
          <w:lang w:val="en-GB"/>
        </w:rPr>
        <w:t xml:space="preserve"> ». </w:t>
      </w:r>
      <w:r w:rsidRPr="00AC0B7A">
        <w:rPr>
          <w:lang w:val="fr-CH"/>
        </w:rPr>
        <w:t xml:space="preserve">Al LaValley (éd.), </w:t>
      </w:r>
      <w:r w:rsidRPr="00AC0B7A">
        <w:rPr>
          <w:i/>
          <w:lang w:val="fr-CH"/>
        </w:rPr>
        <w:t>ibid.</w:t>
      </w:r>
    </w:p>
  </w:footnote>
  <w:footnote w:id="30">
    <w:p w14:paraId="668C765A" w14:textId="61224D85" w:rsidR="00A86E48" w:rsidRPr="00D64CAC" w:rsidRDefault="00A86E48">
      <w:pPr>
        <w:pStyle w:val="FootnoteText"/>
      </w:pPr>
      <w:r>
        <w:rPr>
          <w:rStyle w:val="FootnoteReference"/>
        </w:rPr>
        <w:footnoteRef/>
      </w:r>
      <w:r>
        <w:t xml:space="preserve"> Ou, plus précisément, les neuf derniers plans du film.</w:t>
      </w:r>
    </w:p>
  </w:footnote>
  <w:footnote w:id="31">
    <w:p w14:paraId="29626C43" w14:textId="5B583A3F" w:rsidR="00A86E48" w:rsidRPr="00C22F7D" w:rsidRDefault="00A86E48">
      <w:pPr>
        <w:pStyle w:val="FootnoteText"/>
      </w:pPr>
      <w:r>
        <w:rPr>
          <w:rStyle w:val="FootnoteReference"/>
        </w:rPr>
        <w:footnoteRef/>
      </w:r>
      <w:r>
        <w:t xml:space="preserve"> En voix in et off.</w:t>
      </w:r>
    </w:p>
  </w:footnote>
  <w:footnote w:id="32">
    <w:p w14:paraId="060EF3D5" w14:textId="09202CAA" w:rsidR="00A86E48" w:rsidRPr="00A86E48" w:rsidRDefault="00A86E48">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3">
    <w:p w14:paraId="29F2EBCF" w14:textId="29098429" w:rsidR="00570C66" w:rsidRPr="00570C66" w:rsidRDefault="00570C66">
      <w:pPr>
        <w:pStyle w:val="FootnoteText"/>
      </w:pPr>
      <w:r>
        <w:rPr>
          <w:rStyle w:val="FootnoteReference"/>
        </w:rPr>
        <w:footnoteRef/>
      </w:r>
      <w:r>
        <w:t xml:space="preserve"> Montée comme une suite de champs-contre champs.</w:t>
      </w:r>
    </w:p>
  </w:footnote>
  <w:footnote w:id="34">
    <w:p w14:paraId="182FCEB9" w14:textId="6355B3E1" w:rsidR="00DA753F" w:rsidRPr="00DA753F" w:rsidRDefault="00DA753F">
      <w:pPr>
        <w:pStyle w:val="FootnoteText"/>
      </w:pPr>
      <w:r>
        <w:rPr>
          <w:rStyle w:val="FootnoteReference"/>
        </w:rPr>
        <w:footnoteRef/>
      </w:r>
      <w:r>
        <w:t xml:space="preserve"> Dont les cris, humains cette fois-ci, vont se mélanger à ceux de Matthew.</w:t>
      </w:r>
    </w:p>
  </w:footnote>
  <w:footnote w:id="35">
    <w:p w14:paraId="45BF5CE0" w14:textId="1F919189" w:rsidR="00F003B5" w:rsidRPr="00F003B5" w:rsidRDefault="00F003B5">
      <w:pPr>
        <w:pStyle w:val="FootnoteText"/>
      </w:pPr>
      <w:r>
        <w:rPr>
          <w:rStyle w:val="FootnoteReference"/>
        </w:rPr>
        <w:footnoteRef/>
      </w:r>
      <w:r>
        <w:t xml:space="preserve"> Qui, en plus d’aller à l’encontre de son texte source et du film qu’il refait, va également à l’encontre des attentes des spectateurs </w:t>
      </w:r>
      <w:r w:rsidR="006541B7">
        <w:t>en termes de</w:t>
      </w:r>
      <w:r>
        <w:t xml:space="preserve"> clôture d’un film hollywoodien.</w:t>
      </w:r>
    </w:p>
  </w:footnote>
  <w:footnote w:id="36">
    <w:p w14:paraId="3B2CA6A5" w14:textId="60B45650" w:rsidR="00130C5B" w:rsidRPr="00DB54AD" w:rsidRDefault="00130C5B">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37">
    <w:p w14:paraId="021A13B7" w14:textId="25252B4A" w:rsidR="00DB54AD" w:rsidRPr="00DB54AD" w:rsidRDefault="00DB54AD">
      <w:pPr>
        <w:pStyle w:val="FootnoteText"/>
      </w:pPr>
      <w:r>
        <w:rPr>
          <w:rStyle w:val="FootnoteReference"/>
        </w:rPr>
        <w:footnoteRef/>
      </w:r>
      <w:r>
        <w:t xml:space="preserve"> Et, par </w:t>
      </w:r>
      <w:r w:rsidR="00D34704">
        <w:t>extension</w:t>
      </w:r>
      <w:r>
        <w:t>, de 1993.</w:t>
      </w:r>
    </w:p>
  </w:footnote>
  <w:footnote w:id="38">
    <w:p w14:paraId="1A848370" w14:textId="3E347DEE" w:rsidR="006E6021" w:rsidRPr="006E6021" w:rsidRDefault="006E6021">
      <w:pPr>
        <w:pStyle w:val="FootnoteText"/>
      </w:pPr>
      <w:r>
        <w:rPr>
          <w:rStyle w:val="FootnoteReference"/>
        </w:rPr>
        <w:footnoteRef/>
      </w:r>
      <w:r>
        <w:t xml:space="preserve"> Son illustré par un </w:t>
      </w:r>
      <w:r w:rsidR="004C52B4">
        <w:t xml:space="preserve">gros </w:t>
      </w:r>
      <w:r>
        <w:t>plan montrant clairement le freinage d’urgence et les étincelles qu’il produit.</w:t>
      </w:r>
    </w:p>
  </w:footnote>
  <w:footnote w:id="39">
    <w:p w14:paraId="5CF19A16" w14:textId="085FA7F9" w:rsidR="007C50CA" w:rsidRPr="007C50CA" w:rsidRDefault="007C50CA">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0">
    <w:p w14:paraId="34FB27AF" w14:textId="4BCC2EE8" w:rsidR="00111DFD" w:rsidRPr="00111DFD" w:rsidRDefault="00111DFD">
      <w:pPr>
        <w:pStyle w:val="FootnoteText"/>
      </w:pPr>
      <w:r>
        <w:rPr>
          <w:rStyle w:val="FootnoteReference"/>
        </w:rPr>
        <w:footnoteRef/>
      </w:r>
      <w:r>
        <w:t xml:space="preserve"> Qui, contrairement aux autres plans, n’est pas statique : il commence sur un plan serré pour finir sur un plan d’ens</w:t>
      </w:r>
      <w:r w:rsidR="00976590">
        <w:t>emble via un travelling arrière ; le mouvement inverse que celui opéré par la caméra lors des autres instances du cri.</w:t>
      </w:r>
    </w:p>
  </w:footnote>
  <w:footnote w:id="41">
    <w:p w14:paraId="273B52AD" w14:textId="0BE071B1" w:rsidR="000619E7" w:rsidRPr="000619E7" w:rsidRDefault="000619E7">
      <w:pPr>
        <w:pStyle w:val="FootnoteText"/>
      </w:pPr>
      <w:r>
        <w:rPr>
          <w:rStyle w:val="FootnoteReference"/>
        </w:rPr>
        <w:footnoteRef/>
      </w:r>
      <w:r>
        <w:t xml:space="preserve"> La scène, et le retournement final, n’ayant jamais été présentés dans une version antérieure du récit.</w:t>
      </w:r>
    </w:p>
  </w:footnote>
  <w:footnote w:id="42">
    <w:p w14:paraId="0DB8102F" w14:textId="7279C465" w:rsidR="00A77E2B" w:rsidRPr="00A77E2B" w:rsidRDefault="00A77E2B">
      <w:pPr>
        <w:pStyle w:val="FootnoteText"/>
      </w:pPr>
      <w:r>
        <w:rPr>
          <w:rStyle w:val="FootnoteReference"/>
        </w:rPr>
        <w:footnoteRef/>
      </w:r>
      <w:r>
        <w:t xml:space="preserve"> Qui </w:t>
      </w:r>
      <w:r w:rsidR="006267DA">
        <w:t>récompense le spectateur connaissant son roman source.</w:t>
      </w:r>
    </w:p>
  </w:footnote>
  <w:footnote w:id="43">
    <w:p w14:paraId="64901509" w14:textId="79A99D42" w:rsidR="00B0125D" w:rsidRPr="001E2F31" w:rsidRDefault="00B0125D">
      <w:pPr>
        <w:pStyle w:val="FootnoteText"/>
      </w:pPr>
      <w:r>
        <w:rPr>
          <w:rStyle w:val="FootnoteReference"/>
        </w:rPr>
        <w:footnoteRef/>
      </w:r>
      <w:r>
        <w:t xml:space="preserve"> Une inversion de la place des personnages dans cadre, obéissant à l’inversion des genres opérée dans le film de Ferrara.</w:t>
      </w:r>
      <w:r w:rsidR="00912A21">
        <w:t xml:space="preserve"> Pour une analyse des</w:t>
      </w:r>
      <w:r w:rsidR="00DE3FED">
        <w:t xml:space="preserve"> effets sur le texte des changements de genres des protagonistes dans les versions de Ferrara et Kaufman, voir </w:t>
      </w:r>
      <w:r w:rsidR="006A6CFB" w:rsidRPr="00A320C8">
        <w:rPr>
          <w:lang w:val="fr-CH"/>
        </w:rPr>
        <w:t xml:space="preserve">Barry Keith Grant, </w:t>
      </w:r>
      <w:r w:rsidR="006A6CFB" w:rsidRPr="00A320C8">
        <w:rPr>
          <w:i/>
          <w:lang w:val="fr-CH"/>
        </w:rPr>
        <w:t>op. cit.</w:t>
      </w:r>
      <w:r w:rsidR="006A6CFB" w:rsidRPr="00A320C8">
        <w:rPr>
          <w:lang w:val="fr-CH"/>
        </w:rPr>
        <w:t>, p</w:t>
      </w:r>
      <w:r w:rsidR="006A6CFB">
        <w:rPr>
          <w:lang w:val="fr-CH"/>
        </w:rPr>
        <w:t>p</w:t>
      </w:r>
      <w:r w:rsidR="006A6CFB" w:rsidRPr="00A320C8">
        <w:rPr>
          <w:lang w:val="fr-CH"/>
        </w:rPr>
        <w:t xml:space="preserve">. </w:t>
      </w:r>
      <w:r w:rsidR="006A6CFB">
        <w:rPr>
          <w:lang w:val="fr-CH"/>
        </w:rPr>
        <w:t xml:space="preserve">101-104 et </w:t>
      </w:r>
      <w:r w:rsidR="001E2F31" w:rsidRPr="001E2F31">
        <w:t xml:space="preserve">Kathleen Loock, « </w:t>
      </w:r>
      <w:r w:rsidR="001E2F31" w:rsidRPr="0067131C">
        <w:t xml:space="preserve">The Return of the Pod People: Remaking Cultural Anxieties in </w:t>
      </w:r>
      <w:r w:rsidR="001E2F31" w:rsidRPr="0067131C">
        <w:rPr>
          <w:i/>
        </w:rPr>
        <w:t>Invasion of the Body Snatchers</w:t>
      </w:r>
      <w:r w:rsidR="001E2F31" w:rsidRPr="001E2F31">
        <w:t xml:space="preserve"> », </w:t>
      </w:r>
      <w:r w:rsidR="001E2F31" w:rsidRPr="001E2F31">
        <w:rPr>
          <w:i/>
        </w:rPr>
        <w:t>op. cit.</w:t>
      </w:r>
      <w:r w:rsidR="001E2F31" w:rsidRPr="001E2F31">
        <w:t>, p</w:t>
      </w:r>
      <w:r w:rsidR="001E2F31">
        <w:t>p</w:t>
      </w:r>
      <w:r w:rsidR="001E2F31" w:rsidRPr="001E2F31">
        <w:t xml:space="preserve">. </w:t>
      </w:r>
      <w:r w:rsidR="001E2F31">
        <w:t>139-140</w:t>
      </w:r>
      <w:r w:rsidR="001E2F31" w:rsidRPr="001E2F31">
        <w:t>.</w:t>
      </w:r>
    </w:p>
  </w:footnote>
  <w:footnote w:id="44">
    <w:p w14:paraId="356D3C34" w14:textId="48885B0D" w:rsidR="0020147E" w:rsidRPr="00587903" w:rsidRDefault="0020147E">
      <w:pPr>
        <w:pStyle w:val="FootnoteText"/>
        <w:rPr>
          <w:lang w:val="en-GB"/>
        </w:rPr>
      </w:pPr>
      <w:r>
        <w:rPr>
          <w:rStyle w:val="FootnoteReference"/>
        </w:rPr>
        <w:footnoteRef/>
      </w:r>
      <w:r w:rsidRPr="00587903">
        <w:rPr>
          <w:lang w:val="en-GB"/>
        </w:rPr>
        <w:t xml:space="preserve"> « We didn’t look back. ». </w:t>
      </w:r>
      <w:r w:rsidR="00587903" w:rsidRPr="00A83481">
        <w:rPr>
          <w:lang w:val="en-GB"/>
        </w:rPr>
        <w:t xml:space="preserve">Jack Finney, </w:t>
      </w:r>
      <w:r w:rsidR="00587903">
        <w:rPr>
          <w:rFonts w:cs="Times New Roman"/>
          <w:i/>
          <w:color w:val="000000"/>
          <w:lang w:val="en-US"/>
        </w:rPr>
        <w:t>Invasion of the Body Snatchers</w:t>
      </w:r>
      <w:r w:rsidR="00587903">
        <w:rPr>
          <w:rFonts w:cs="Times New Roman"/>
          <w:color w:val="000000"/>
          <w:lang w:val="en-US"/>
        </w:rPr>
        <w:t xml:space="preserve">, </w:t>
      </w:r>
      <w:r w:rsidR="00587903">
        <w:rPr>
          <w:rFonts w:cs="Times New Roman"/>
          <w:i/>
          <w:color w:val="000000"/>
          <w:lang w:val="en-US"/>
        </w:rPr>
        <w:t>op. cit.</w:t>
      </w:r>
      <w:r w:rsidR="00587903">
        <w:rPr>
          <w:rFonts w:cs="Times New Roman"/>
          <w:color w:val="000000"/>
          <w:lang w:val="en-US"/>
        </w:rPr>
        <w:t>, p. 191.</w:t>
      </w:r>
    </w:p>
  </w:footnote>
  <w:footnote w:id="45">
    <w:p w14:paraId="15487813" w14:textId="58697D88" w:rsidR="00861C32" w:rsidRPr="00861C32" w:rsidRDefault="00861C32">
      <w:pPr>
        <w:pStyle w:val="FootnoteText"/>
      </w:pPr>
      <w:r>
        <w:rPr>
          <w:rStyle w:val="FootnoteReference"/>
        </w:rPr>
        <w:footnoteRef/>
      </w:r>
      <w:r>
        <w:t xml:space="preserve"> Seule, cette fois ci.</w:t>
      </w:r>
    </w:p>
  </w:footnote>
  <w:footnote w:id="46">
    <w:p w14:paraId="3F4C0196" w14:textId="3D6FDF70" w:rsidR="006F7B40" w:rsidRPr="006F7B40" w:rsidRDefault="006F7B40">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w:t>
      </w:r>
      <w:r w:rsidR="0068484D">
        <w:t xml:space="preserve">les infectés crachent un liquide visqueux vert sur les humains pour les </w:t>
      </w:r>
      <w:r w:rsidR="00B12932">
        <w:t>infecter</w:t>
      </w:r>
      <w:r w:rsidR="0068484D">
        <w:t>.</w:t>
      </w:r>
    </w:p>
  </w:footnote>
  <w:footnote w:id="47">
    <w:p w14:paraId="0DBE6132" w14:textId="49265DCB" w:rsidR="00C565AC" w:rsidRPr="005E3CE0" w:rsidRDefault="00C565AC">
      <w:pPr>
        <w:pStyle w:val="FootnoteText"/>
        <w:rPr>
          <w:lang w:val="en-GB"/>
        </w:rPr>
      </w:pPr>
      <w:r>
        <w:rPr>
          <w:rStyle w:val="FootnoteReference"/>
        </w:rPr>
        <w:footnoteRef/>
      </w:r>
      <w:r w:rsidRPr="005E3CE0">
        <w:rPr>
          <w:lang w:val="en-GB"/>
        </w:rPr>
        <w:t xml:space="preserve"> « You can fool them, but you’ve got to calm down »</w:t>
      </w:r>
      <w:r w:rsidR="002D2A3D">
        <w:rPr>
          <w:lang w:val="en-GB"/>
        </w:rPr>
        <w:t>.</w:t>
      </w:r>
    </w:p>
  </w:footnote>
  <w:footnote w:id="48">
    <w:p w14:paraId="0AA477DB" w14:textId="5B3197DE" w:rsidR="00CD11A3" w:rsidRPr="00CD11A3" w:rsidRDefault="00CD11A3">
      <w:pPr>
        <w:pStyle w:val="FootnoteText"/>
      </w:pPr>
      <w:r>
        <w:rPr>
          <w:rStyle w:val="FootnoteReference"/>
        </w:rPr>
        <w:footnoteRef/>
      </w:r>
      <w:r>
        <w:t xml:space="preserve"> Une scène qui illustre le commentaire socio-politique très marqué du film sur le monde post-11 septembre. Aspect sur lequel ce travail ne </w:t>
      </w:r>
      <w:r w:rsidR="00BB0E36">
        <w:t>peut, de par le choix de son approche et sa taille, pas élaborer.</w:t>
      </w:r>
    </w:p>
  </w:footnote>
  <w:footnote w:id="49">
    <w:p w14:paraId="03CB1A0B" w14:textId="3C84EBFE" w:rsidR="00EA4307" w:rsidRPr="00EA4307" w:rsidRDefault="00EA4307">
      <w:pPr>
        <w:pStyle w:val="FootnoteText"/>
      </w:pPr>
      <w:r>
        <w:rPr>
          <w:rStyle w:val="FootnoteReference"/>
        </w:rPr>
        <w:footnoteRef/>
      </w:r>
      <w:r>
        <w:t xml:space="preserve"> Qui pourrait être supprimée du film</w:t>
      </w:r>
      <w:r w:rsidR="00892B35">
        <w:t xml:space="preserve"> (ou remplacée par une ellipse)</w:t>
      </w:r>
      <w:r>
        <w:t xml:space="preserve"> sans que sa continuation n’en soit affectée.</w:t>
      </w:r>
    </w:p>
  </w:footnote>
  <w:footnote w:id="50">
    <w:p w14:paraId="6BB0CAE1" w14:textId="13BDD426" w:rsidR="00A86E48" w:rsidRPr="0046221B" w:rsidRDefault="00A86E48"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51">
    <w:p w14:paraId="7285BDCA" w14:textId="12F49FE5" w:rsidR="00C070EE" w:rsidRPr="0014095E" w:rsidRDefault="00C070EE">
      <w:pPr>
        <w:pStyle w:val="FootnoteText"/>
        <w:rPr>
          <w:lang w:val="en-US"/>
        </w:rPr>
      </w:pPr>
      <w:r>
        <w:rPr>
          <w:rStyle w:val="FootnoteReference"/>
        </w:rPr>
        <w:footnoteRef/>
      </w:r>
      <w:r w:rsidRPr="00C070EE">
        <w:rPr>
          <w:lang w:val="en-GB"/>
        </w:rPr>
        <w:t xml:space="preserve"> </w:t>
      </w:r>
      <w:r w:rsidR="004D383A">
        <w:rPr>
          <w:lang w:val="en-GB"/>
        </w:rPr>
        <w:t xml:space="preserve">Par exemple </w:t>
      </w:r>
      <w:r w:rsidR="0014095E" w:rsidRPr="0014095E">
        <w:rPr>
          <w:lang w:val="en-US"/>
        </w:rPr>
        <w:t>Natania</w:t>
      </w:r>
      <w:r w:rsidR="0014095E">
        <w:rPr>
          <w:lang w:val="en-US"/>
        </w:rPr>
        <w:t xml:space="preserve"> Meeker et </w:t>
      </w:r>
      <w:r w:rsidR="0014095E" w:rsidRPr="0014095E">
        <w:rPr>
          <w:lang w:val="en-US"/>
        </w:rPr>
        <w:t>Antónia</w:t>
      </w:r>
      <w:r w:rsidR="0014095E">
        <w:rPr>
          <w:lang w:val="en-US"/>
        </w:rPr>
        <w:t xml:space="preserve"> Szabari</w:t>
      </w:r>
      <w:r w:rsidR="0014095E" w:rsidRPr="0014095E">
        <w:rPr>
          <w:lang w:val="en-US"/>
        </w:rPr>
        <w:t xml:space="preserve">, « From the Century of the Pods to the Century of the Plants: Plant Horror, Politics, and Vegetal Ontology », </w:t>
      </w:r>
      <w:r w:rsidR="0014095E" w:rsidRPr="0014095E">
        <w:rPr>
          <w:i/>
          <w:lang w:val="en-US"/>
        </w:rPr>
        <w:t>Discourse</w:t>
      </w:r>
      <w:r w:rsidR="0014095E" w:rsidRPr="0014095E">
        <w:rPr>
          <w:lang w:val="en-US"/>
        </w:rPr>
        <w:t>, Vol. 34, No. 1, h</w:t>
      </w:r>
      <w:r w:rsidR="0014095E">
        <w:rPr>
          <w:lang w:val="en-US"/>
        </w:rPr>
        <w:t xml:space="preserve">iver 2002, pp. </w:t>
      </w:r>
      <w:r w:rsidR="004D383A">
        <w:rPr>
          <w:lang w:val="en-US"/>
        </w:rPr>
        <w:t>45-51 ou</w:t>
      </w:r>
      <w:r w:rsidR="003635D4" w:rsidRPr="003635D4">
        <w:rPr>
          <w:lang w:val="en-US"/>
        </w:rPr>
        <w:t xml:space="preserve"> </w:t>
      </w:r>
      <w:r w:rsidR="007B0127">
        <w:rPr>
          <w:lang w:val="en-US"/>
        </w:rPr>
        <w:t xml:space="preserve">M. </w:t>
      </w:r>
      <w:r w:rsidR="003635D4" w:rsidRPr="003635D4">
        <w:rPr>
          <w:lang w:val="en-US"/>
        </w:rPr>
        <w:t>Keith</w:t>
      </w:r>
      <w:r w:rsidR="007B0127">
        <w:rPr>
          <w:lang w:val="en-US"/>
        </w:rPr>
        <w:t xml:space="preserve"> </w:t>
      </w:r>
      <w:r w:rsidR="00FE121E">
        <w:rPr>
          <w:lang w:val="en-US"/>
        </w:rPr>
        <w:t>Booker</w:t>
      </w:r>
      <w:r w:rsidR="003635D4" w:rsidRPr="003635D4">
        <w:rPr>
          <w:lang w:val="en-US"/>
        </w:rPr>
        <w:t xml:space="preserve">, </w:t>
      </w:r>
      <w:r w:rsidR="003635D4" w:rsidRPr="003635D4">
        <w:rPr>
          <w:i/>
          <w:lang w:val="en-US"/>
        </w:rPr>
        <w:t>Alternate Americas: Science Fiction Films and American Culture</w:t>
      </w:r>
      <w:r w:rsidR="003635D4" w:rsidRPr="003635D4">
        <w:rPr>
          <w:lang w:val="en-US"/>
        </w:rPr>
        <w:t>, We</w:t>
      </w:r>
      <w:r w:rsidR="004F5F1E">
        <w:rPr>
          <w:lang w:val="en-US"/>
        </w:rPr>
        <w:t>stport CT/London, Praeger, 2006, pp. 71-72.</w:t>
      </w:r>
    </w:p>
  </w:footnote>
  <w:footnote w:id="52">
    <w:p w14:paraId="4E0FFE15" w14:textId="76468A43" w:rsidR="00A86E48" w:rsidRPr="000076D5" w:rsidRDefault="00A86E48">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53">
    <w:p w14:paraId="424B1B1D" w14:textId="10EC8CDB" w:rsidR="00A86E48" w:rsidRPr="000076D5" w:rsidRDefault="00A86E48">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54">
    <w:p w14:paraId="2CF855B4" w14:textId="5A2E74FB" w:rsidR="00A86E48" w:rsidRPr="00C77F48" w:rsidRDefault="00A86E48">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55">
    <w:p w14:paraId="5F804198" w14:textId="317B5BC8" w:rsidR="00A86E48" w:rsidRPr="003D6827" w:rsidRDefault="00A86E48">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56">
    <w:p w14:paraId="33D9C28A" w14:textId="3BB2FC47" w:rsidR="00A86E48" w:rsidRPr="00350FDF" w:rsidRDefault="00A86E48">
      <w:pPr>
        <w:pStyle w:val="FootnoteText"/>
        <w:rPr>
          <w:lang w:val="fr-CH"/>
        </w:rPr>
      </w:pPr>
      <w:r>
        <w:rPr>
          <w:rStyle w:val="FootnoteReference"/>
        </w:rPr>
        <w:footnoteRef/>
      </w:r>
      <w:r>
        <w:t xml:space="preserve"> Le héros se prénommant par exemple Miles, Matthew, Marti puis finalement Carol</w:t>
      </w:r>
    </w:p>
  </w:footnote>
  <w:footnote w:id="57">
    <w:p w14:paraId="0AB56D44" w14:textId="3F610227" w:rsidR="00A86E48" w:rsidRPr="004503A3" w:rsidRDefault="00A86E48">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58">
    <w:p w14:paraId="0AFBCEAB" w14:textId="12A2E720" w:rsidR="00A86E48" w:rsidRPr="00FD6FD5" w:rsidRDefault="00A86E48">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59">
    <w:p w14:paraId="301EF658" w14:textId="46F62AFA" w:rsidR="00A86E48" w:rsidRPr="00A320C8" w:rsidRDefault="00A86E48">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60">
    <w:p w14:paraId="0B3B2F92" w14:textId="292F5EDF" w:rsidR="00A86E48" w:rsidRPr="00441E4C" w:rsidRDefault="00A86E48">
      <w:pPr>
        <w:pStyle w:val="FootnoteText"/>
        <w:rPr>
          <w:lang w:val="fr-CH"/>
        </w:rPr>
      </w:pPr>
      <w:r>
        <w:rPr>
          <w:rStyle w:val="FootnoteReference"/>
        </w:rPr>
        <w:footnoteRef/>
      </w:r>
      <w:r>
        <w:t xml:space="preserve"> </w:t>
      </w:r>
      <w:r>
        <w:rPr>
          <w:lang w:val="fr-CH"/>
        </w:rPr>
        <w:t>Mécanisme qui est plutôt la norme dans remakes et suites.</w:t>
      </w:r>
    </w:p>
  </w:footnote>
  <w:footnote w:id="61">
    <w:p w14:paraId="2C7C8004" w14:textId="1B476165" w:rsidR="00A86E48" w:rsidRPr="00A73CB2" w:rsidRDefault="00A86E48">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62">
    <w:p w14:paraId="0AA1D9FB" w14:textId="1DED8611" w:rsidR="00A86E48" w:rsidRPr="00DB2BBD" w:rsidRDefault="00A86E48">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63">
    <w:p w14:paraId="3A5C3359" w14:textId="649CCCB8" w:rsidR="00A86E48" w:rsidRPr="005C68BF" w:rsidRDefault="00A86E48">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64">
    <w:p w14:paraId="0B6212CE" w14:textId="3751E0E1" w:rsidR="00A86E48" w:rsidRPr="00880154" w:rsidRDefault="00A86E48">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65">
    <w:p w14:paraId="19FBF390" w14:textId="03D32505" w:rsidR="00A86E48" w:rsidRPr="006F5B76" w:rsidRDefault="00A86E48">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A86E48" w:rsidRPr="00173138" w:rsidRDefault="00A86E4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A86E48" w:rsidRPr="00173138" w:rsidRDefault="00A86E4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86E48" w:rsidRPr="008138ED" w:rsidRDefault="00A86E4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86E48" w:rsidRPr="008138ED" w:rsidRDefault="00A86E4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A86E48" w:rsidRPr="00A60B3A" w:rsidRDefault="00A86E48"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86E48" w:rsidRPr="00A60B3A" w:rsidRDefault="00A86E4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094"/>
    <w:rsid w:val="00005E71"/>
    <w:rsid w:val="000076D5"/>
    <w:rsid w:val="0002028D"/>
    <w:rsid w:val="00024080"/>
    <w:rsid w:val="000268A0"/>
    <w:rsid w:val="00026D2F"/>
    <w:rsid w:val="00026DEC"/>
    <w:rsid w:val="0003595C"/>
    <w:rsid w:val="00040872"/>
    <w:rsid w:val="00040A19"/>
    <w:rsid w:val="00053EB4"/>
    <w:rsid w:val="00055641"/>
    <w:rsid w:val="00060BEA"/>
    <w:rsid w:val="000619E7"/>
    <w:rsid w:val="000634E0"/>
    <w:rsid w:val="00067506"/>
    <w:rsid w:val="00067DA2"/>
    <w:rsid w:val="00070590"/>
    <w:rsid w:val="00076DEF"/>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F31E1"/>
    <w:rsid w:val="000F68B8"/>
    <w:rsid w:val="00102805"/>
    <w:rsid w:val="00106EE2"/>
    <w:rsid w:val="00111C76"/>
    <w:rsid w:val="00111DFD"/>
    <w:rsid w:val="00113EBF"/>
    <w:rsid w:val="00114831"/>
    <w:rsid w:val="00124CED"/>
    <w:rsid w:val="001269F3"/>
    <w:rsid w:val="00130880"/>
    <w:rsid w:val="00130C5B"/>
    <w:rsid w:val="00132B6F"/>
    <w:rsid w:val="00140154"/>
    <w:rsid w:val="0014073B"/>
    <w:rsid w:val="0014095E"/>
    <w:rsid w:val="00146748"/>
    <w:rsid w:val="00151705"/>
    <w:rsid w:val="00153376"/>
    <w:rsid w:val="00155E7F"/>
    <w:rsid w:val="00165D3F"/>
    <w:rsid w:val="0016799C"/>
    <w:rsid w:val="00173138"/>
    <w:rsid w:val="0017320C"/>
    <w:rsid w:val="001737D3"/>
    <w:rsid w:val="00174DF1"/>
    <w:rsid w:val="00180AF3"/>
    <w:rsid w:val="00182314"/>
    <w:rsid w:val="00187094"/>
    <w:rsid w:val="00192D75"/>
    <w:rsid w:val="001964B9"/>
    <w:rsid w:val="001A0973"/>
    <w:rsid w:val="001A1430"/>
    <w:rsid w:val="001A66E2"/>
    <w:rsid w:val="001B2007"/>
    <w:rsid w:val="001B5A84"/>
    <w:rsid w:val="001C53A6"/>
    <w:rsid w:val="001C7833"/>
    <w:rsid w:val="001E11F2"/>
    <w:rsid w:val="001E2F31"/>
    <w:rsid w:val="001E42F1"/>
    <w:rsid w:val="001E464C"/>
    <w:rsid w:val="001E5DB2"/>
    <w:rsid w:val="0020147E"/>
    <w:rsid w:val="00205C03"/>
    <w:rsid w:val="00211C03"/>
    <w:rsid w:val="00212554"/>
    <w:rsid w:val="00220532"/>
    <w:rsid w:val="002210A4"/>
    <w:rsid w:val="002214AE"/>
    <w:rsid w:val="00221B01"/>
    <w:rsid w:val="002222EA"/>
    <w:rsid w:val="002235F1"/>
    <w:rsid w:val="00225705"/>
    <w:rsid w:val="002315FC"/>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58CB"/>
    <w:rsid w:val="00296769"/>
    <w:rsid w:val="00296845"/>
    <w:rsid w:val="002A2481"/>
    <w:rsid w:val="002B0B0C"/>
    <w:rsid w:val="002B7C16"/>
    <w:rsid w:val="002C337E"/>
    <w:rsid w:val="002D06E0"/>
    <w:rsid w:val="002D1835"/>
    <w:rsid w:val="002D1AAA"/>
    <w:rsid w:val="002D2A3D"/>
    <w:rsid w:val="002D513A"/>
    <w:rsid w:val="002D5441"/>
    <w:rsid w:val="002D772A"/>
    <w:rsid w:val="002D7B33"/>
    <w:rsid w:val="002F5A7E"/>
    <w:rsid w:val="0030216F"/>
    <w:rsid w:val="003023DC"/>
    <w:rsid w:val="00313F77"/>
    <w:rsid w:val="00315B0D"/>
    <w:rsid w:val="0031782B"/>
    <w:rsid w:val="003208B3"/>
    <w:rsid w:val="0032134F"/>
    <w:rsid w:val="003214AA"/>
    <w:rsid w:val="003230B1"/>
    <w:rsid w:val="00324B46"/>
    <w:rsid w:val="00331FD2"/>
    <w:rsid w:val="0033484D"/>
    <w:rsid w:val="00336609"/>
    <w:rsid w:val="00336723"/>
    <w:rsid w:val="003404E5"/>
    <w:rsid w:val="003423A7"/>
    <w:rsid w:val="00342745"/>
    <w:rsid w:val="00342965"/>
    <w:rsid w:val="00342E3F"/>
    <w:rsid w:val="00343731"/>
    <w:rsid w:val="00344D50"/>
    <w:rsid w:val="003474B0"/>
    <w:rsid w:val="00350FDF"/>
    <w:rsid w:val="003567AC"/>
    <w:rsid w:val="0035780F"/>
    <w:rsid w:val="003635D4"/>
    <w:rsid w:val="0036437E"/>
    <w:rsid w:val="00364FF5"/>
    <w:rsid w:val="0036669F"/>
    <w:rsid w:val="003667D1"/>
    <w:rsid w:val="00367DB0"/>
    <w:rsid w:val="00371D86"/>
    <w:rsid w:val="00375DDF"/>
    <w:rsid w:val="003873C4"/>
    <w:rsid w:val="003878FF"/>
    <w:rsid w:val="003905E9"/>
    <w:rsid w:val="00390DF0"/>
    <w:rsid w:val="003927B8"/>
    <w:rsid w:val="003A219A"/>
    <w:rsid w:val="003A32CF"/>
    <w:rsid w:val="003B3C89"/>
    <w:rsid w:val="003B5041"/>
    <w:rsid w:val="003C12CA"/>
    <w:rsid w:val="003C4D6A"/>
    <w:rsid w:val="003C7018"/>
    <w:rsid w:val="003D25B3"/>
    <w:rsid w:val="003D3B09"/>
    <w:rsid w:val="003D3BEE"/>
    <w:rsid w:val="003D3D70"/>
    <w:rsid w:val="003D6827"/>
    <w:rsid w:val="003E164C"/>
    <w:rsid w:val="003E168C"/>
    <w:rsid w:val="003E29EE"/>
    <w:rsid w:val="003E5407"/>
    <w:rsid w:val="003E611C"/>
    <w:rsid w:val="003E71E3"/>
    <w:rsid w:val="003F4214"/>
    <w:rsid w:val="003F46C4"/>
    <w:rsid w:val="003F476B"/>
    <w:rsid w:val="003F68E7"/>
    <w:rsid w:val="003F7307"/>
    <w:rsid w:val="003F739C"/>
    <w:rsid w:val="004025E2"/>
    <w:rsid w:val="004055E3"/>
    <w:rsid w:val="00406458"/>
    <w:rsid w:val="00406B5B"/>
    <w:rsid w:val="00411460"/>
    <w:rsid w:val="00417F55"/>
    <w:rsid w:val="00420287"/>
    <w:rsid w:val="00423903"/>
    <w:rsid w:val="00423ADC"/>
    <w:rsid w:val="0042709F"/>
    <w:rsid w:val="0043310D"/>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A38F3"/>
    <w:rsid w:val="004B2A45"/>
    <w:rsid w:val="004B4329"/>
    <w:rsid w:val="004C4C04"/>
    <w:rsid w:val="004C52B4"/>
    <w:rsid w:val="004C6A60"/>
    <w:rsid w:val="004D2C6F"/>
    <w:rsid w:val="004D383A"/>
    <w:rsid w:val="004D4B6F"/>
    <w:rsid w:val="004D5EAE"/>
    <w:rsid w:val="004E2BC7"/>
    <w:rsid w:val="004E62A3"/>
    <w:rsid w:val="004E747B"/>
    <w:rsid w:val="004F50BF"/>
    <w:rsid w:val="004F5F1E"/>
    <w:rsid w:val="004F6744"/>
    <w:rsid w:val="00510CB6"/>
    <w:rsid w:val="00515D4E"/>
    <w:rsid w:val="00515D8C"/>
    <w:rsid w:val="00532A7C"/>
    <w:rsid w:val="00532CE9"/>
    <w:rsid w:val="00532D98"/>
    <w:rsid w:val="00541737"/>
    <w:rsid w:val="00541F81"/>
    <w:rsid w:val="00551D2F"/>
    <w:rsid w:val="00570C66"/>
    <w:rsid w:val="00571900"/>
    <w:rsid w:val="005727D1"/>
    <w:rsid w:val="00581670"/>
    <w:rsid w:val="00581E90"/>
    <w:rsid w:val="00584A63"/>
    <w:rsid w:val="005857FD"/>
    <w:rsid w:val="00586292"/>
    <w:rsid w:val="00587903"/>
    <w:rsid w:val="00596B22"/>
    <w:rsid w:val="00596CCC"/>
    <w:rsid w:val="005A26BF"/>
    <w:rsid w:val="005A479B"/>
    <w:rsid w:val="005C0496"/>
    <w:rsid w:val="005C1E63"/>
    <w:rsid w:val="005C68BF"/>
    <w:rsid w:val="005C6BF4"/>
    <w:rsid w:val="005C799A"/>
    <w:rsid w:val="005C7FEE"/>
    <w:rsid w:val="005D0F4B"/>
    <w:rsid w:val="005D178D"/>
    <w:rsid w:val="005D2D55"/>
    <w:rsid w:val="005D465B"/>
    <w:rsid w:val="005E2338"/>
    <w:rsid w:val="005E3CE0"/>
    <w:rsid w:val="005E65B7"/>
    <w:rsid w:val="005F3C37"/>
    <w:rsid w:val="005F453B"/>
    <w:rsid w:val="0060187D"/>
    <w:rsid w:val="006069D3"/>
    <w:rsid w:val="00610B20"/>
    <w:rsid w:val="006127A9"/>
    <w:rsid w:val="0061689F"/>
    <w:rsid w:val="00617C27"/>
    <w:rsid w:val="00620432"/>
    <w:rsid w:val="006239E4"/>
    <w:rsid w:val="006267DA"/>
    <w:rsid w:val="00630AC1"/>
    <w:rsid w:val="006541B7"/>
    <w:rsid w:val="00661B66"/>
    <w:rsid w:val="00663B0A"/>
    <w:rsid w:val="00665C44"/>
    <w:rsid w:val="0067131C"/>
    <w:rsid w:val="0067183D"/>
    <w:rsid w:val="00674BE2"/>
    <w:rsid w:val="006777E7"/>
    <w:rsid w:val="0068484D"/>
    <w:rsid w:val="006932DE"/>
    <w:rsid w:val="00693993"/>
    <w:rsid w:val="006A0B89"/>
    <w:rsid w:val="006A31EF"/>
    <w:rsid w:val="006A3862"/>
    <w:rsid w:val="006A3B43"/>
    <w:rsid w:val="006A6CFB"/>
    <w:rsid w:val="006A748D"/>
    <w:rsid w:val="006B2252"/>
    <w:rsid w:val="006B2D56"/>
    <w:rsid w:val="006B3574"/>
    <w:rsid w:val="006B65BF"/>
    <w:rsid w:val="006B7BD3"/>
    <w:rsid w:val="006C12EA"/>
    <w:rsid w:val="006C6A6A"/>
    <w:rsid w:val="006D0090"/>
    <w:rsid w:val="006D1E5C"/>
    <w:rsid w:val="006D2689"/>
    <w:rsid w:val="006D57C0"/>
    <w:rsid w:val="006E6021"/>
    <w:rsid w:val="006E7E93"/>
    <w:rsid w:val="006F0BCC"/>
    <w:rsid w:val="006F2F65"/>
    <w:rsid w:val="006F4FC2"/>
    <w:rsid w:val="006F5B76"/>
    <w:rsid w:val="006F7B40"/>
    <w:rsid w:val="00700E65"/>
    <w:rsid w:val="007037BD"/>
    <w:rsid w:val="00705222"/>
    <w:rsid w:val="00710CBC"/>
    <w:rsid w:val="00711F34"/>
    <w:rsid w:val="00720F7E"/>
    <w:rsid w:val="007217AF"/>
    <w:rsid w:val="00722301"/>
    <w:rsid w:val="00725557"/>
    <w:rsid w:val="00731306"/>
    <w:rsid w:val="00732974"/>
    <w:rsid w:val="007338C4"/>
    <w:rsid w:val="007344B8"/>
    <w:rsid w:val="0073541F"/>
    <w:rsid w:val="007409D4"/>
    <w:rsid w:val="0074692C"/>
    <w:rsid w:val="00750CD9"/>
    <w:rsid w:val="0075418C"/>
    <w:rsid w:val="00755DC2"/>
    <w:rsid w:val="00766D6F"/>
    <w:rsid w:val="007737F8"/>
    <w:rsid w:val="00775155"/>
    <w:rsid w:val="0078071E"/>
    <w:rsid w:val="007814FC"/>
    <w:rsid w:val="007821EC"/>
    <w:rsid w:val="00782CBD"/>
    <w:rsid w:val="0078373E"/>
    <w:rsid w:val="007914D6"/>
    <w:rsid w:val="007920B5"/>
    <w:rsid w:val="00793AB5"/>
    <w:rsid w:val="00795BF6"/>
    <w:rsid w:val="00797B4F"/>
    <w:rsid w:val="007A0071"/>
    <w:rsid w:val="007A3A39"/>
    <w:rsid w:val="007A6397"/>
    <w:rsid w:val="007B0127"/>
    <w:rsid w:val="007B7BB9"/>
    <w:rsid w:val="007C052F"/>
    <w:rsid w:val="007C2B1B"/>
    <w:rsid w:val="007C50CA"/>
    <w:rsid w:val="007D15C2"/>
    <w:rsid w:val="007D3C46"/>
    <w:rsid w:val="007D49D7"/>
    <w:rsid w:val="007D5841"/>
    <w:rsid w:val="007D593E"/>
    <w:rsid w:val="007E15FE"/>
    <w:rsid w:val="007E2469"/>
    <w:rsid w:val="007E2FBC"/>
    <w:rsid w:val="007E445D"/>
    <w:rsid w:val="007E5C2F"/>
    <w:rsid w:val="007E78A7"/>
    <w:rsid w:val="007F15AE"/>
    <w:rsid w:val="007F291F"/>
    <w:rsid w:val="007F4D68"/>
    <w:rsid w:val="007F6649"/>
    <w:rsid w:val="007F72B2"/>
    <w:rsid w:val="007F7F12"/>
    <w:rsid w:val="00801F85"/>
    <w:rsid w:val="0080297C"/>
    <w:rsid w:val="00804DDA"/>
    <w:rsid w:val="008127D0"/>
    <w:rsid w:val="008138ED"/>
    <w:rsid w:val="0081693C"/>
    <w:rsid w:val="00823120"/>
    <w:rsid w:val="008233D5"/>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407C"/>
    <w:rsid w:val="008C08B5"/>
    <w:rsid w:val="008C5BBE"/>
    <w:rsid w:val="008C600F"/>
    <w:rsid w:val="008D19D6"/>
    <w:rsid w:val="008D413A"/>
    <w:rsid w:val="008E017B"/>
    <w:rsid w:val="008E35C5"/>
    <w:rsid w:val="008E367A"/>
    <w:rsid w:val="008E3E84"/>
    <w:rsid w:val="008F6058"/>
    <w:rsid w:val="008F7692"/>
    <w:rsid w:val="00910807"/>
    <w:rsid w:val="00912890"/>
    <w:rsid w:val="00912A21"/>
    <w:rsid w:val="009153D5"/>
    <w:rsid w:val="009168BC"/>
    <w:rsid w:val="00917414"/>
    <w:rsid w:val="00921590"/>
    <w:rsid w:val="00923E14"/>
    <w:rsid w:val="00925377"/>
    <w:rsid w:val="00932DDA"/>
    <w:rsid w:val="0093468C"/>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1C03"/>
    <w:rsid w:val="009C1C98"/>
    <w:rsid w:val="009C1F38"/>
    <w:rsid w:val="009C31F0"/>
    <w:rsid w:val="009C43E8"/>
    <w:rsid w:val="009C6B2A"/>
    <w:rsid w:val="009C7CD0"/>
    <w:rsid w:val="009D0E36"/>
    <w:rsid w:val="009D2CC3"/>
    <w:rsid w:val="009D6BB4"/>
    <w:rsid w:val="009E076E"/>
    <w:rsid w:val="009E34F6"/>
    <w:rsid w:val="009E41AE"/>
    <w:rsid w:val="009E67C3"/>
    <w:rsid w:val="009F15A9"/>
    <w:rsid w:val="009F3C8F"/>
    <w:rsid w:val="009F4061"/>
    <w:rsid w:val="009F4648"/>
    <w:rsid w:val="009F674F"/>
    <w:rsid w:val="009F6D0A"/>
    <w:rsid w:val="00A00D11"/>
    <w:rsid w:val="00A06754"/>
    <w:rsid w:val="00A07145"/>
    <w:rsid w:val="00A1581D"/>
    <w:rsid w:val="00A2003F"/>
    <w:rsid w:val="00A246F3"/>
    <w:rsid w:val="00A2764C"/>
    <w:rsid w:val="00A320AC"/>
    <w:rsid w:val="00A320C8"/>
    <w:rsid w:val="00A3535B"/>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7E2B"/>
    <w:rsid w:val="00A84808"/>
    <w:rsid w:val="00A85356"/>
    <w:rsid w:val="00A86E48"/>
    <w:rsid w:val="00A90860"/>
    <w:rsid w:val="00A90C4F"/>
    <w:rsid w:val="00A91B5F"/>
    <w:rsid w:val="00A9200C"/>
    <w:rsid w:val="00A95A00"/>
    <w:rsid w:val="00A95CCC"/>
    <w:rsid w:val="00AA23EE"/>
    <w:rsid w:val="00AA24E3"/>
    <w:rsid w:val="00AB487B"/>
    <w:rsid w:val="00AC0B7A"/>
    <w:rsid w:val="00AC22C4"/>
    <w:rsid w:val="00AC2FD6"/>
    <w:rsid w:val="00AD43D7"/>
    <w:rsid w:val="00AD62CD"/>
    <w:rsid w:val="00AD64B9"/>
    <w:rsid w:val="00AE509F"/>
    <w:rsid w:val="00AE5AEA"/>
    <w:rsid w:val="00AE63DD"/>
    <w:rsid w:val="00AE7936"/>
    <w:rsid w:val="00AF114E"/>
    <w:rsid w:val="00AF430E"/>
    <w:rsid w:val="00B00158"/>
    <w:rsid w:val="00B0125D"/>
    <w:rsid w:val="00B02260"/>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E7A"/>
    <w:rsid w:val="00B34249"/>
    <w:rsid w:val="00B40B7A"/>
    <w:rsid w:val="00B42061"/>
    <w:rsid w:val="00B50D87"/>
    <w:rsid w:val="00B53561"/>
    <w:rsid w:val="00B53FCA"/>
    <w:rsid w:val="00B66599"/>
    <w:rsid w:val="00B67EFE"/>
    <w:rsid w:val="00B707B1"/>
    <w:rsid w:val="00B7122E"/>
    <w:rsid w:val="00B84C63"/>
    <w:rsid w:val="00B85491"/>
    <w:rsid w:val="00B879B9"/>
    <w:rsid w:val="00B921F0"/>
    <w:rsid w:val="00B96B22"/>
    <w:rsid w:val="00BA20BC"/>
    <w:rsid w:val="00BA3E60"/>
    <w:rsid w:val="00BA6F90"/>
    <w:rsid w:val="00BA72D1"/>
    <w:rsid w:val="00BB0E36"/>
    <w:rsid w:val="00BB22E6"/>
    <w:rsid w:val="00BB53A6"/>
    <w:rsid w:val="00BB6E40"/>
    <w:rsid w:val="00BB749B"/>
    <w:rsid w:val="00BB79FE"/>
    <w:rsid w:val="00BB7F83"/>
    <w:rsid w:val="00BC45A3"/>
    <w:rsid w:val="00BC739F"/>
    <w:rsid w:val="00BC788E"/>
    <w:rsid w:val="00BD30F6"/>
    <w:rsid w:val="00BD6B88"/>
    <w:rsid w:val="00BE1C8B"/>
    <w:rsid w:val="00BE2304"/>
    <w:rsid w:val="00BF0810"/>
    <w:rsid w:val="00BF1FA1"/>
    <w:rsid w:val="00BF32E7"/>
    <w:rsid w:val="00BF6D9C"/>
    <w:rsid w:val="00C00EFC"/>
    <w:rsid w:val="00C0187F"/>
    <w:rsid w:val="00C03C7A"/>
    <w:rsid w:val="00C041F5"/>
    <w:rsid w:val="00C070EE"/>
    <w:rsid w:val="00C103A2"/>
    <w:rsid w:val="00C115FF"/>
    <w:rsid w:val="00C1440E"/>
    <w:rsid w:val="00C161A8"/>
    <w:rsid w:val="00C224A0"/>
    <w:rsid w:val="00C22F7D"/>
    <w:rsid w:val="00C24DA4"/>
    <w:rsid w:val="00C25610"/>
    <w:rsid w:val="00C26208"/>
    <w:rsid w:val="00C27606"/>
    <w:rsid w:val="00C30FA4"/>
    <w:rsid w:val="00C31383"/>
    <w:rsid w:val="00C32BFA"/>
    <w:rsid w:val="00C32EB3"/>
    <w:rsid w:val="00C357D6"/>
    <w:rsid w:val="00C37380"/>
    <w:rsid w:val="00C439CE"/>
    <w:rsid w:val="00C451C9"/>
    <w:rsid w:val="00C45E5D"/>
    <w:rsid w:val="00C47C95"/>
    <w:rsid w:val="00C5001D"/>
    <w:rsid w:val="00C516C4"/>
    <w:rsid w:val="00C5547A"/>
    <w:rsid w:val="00C565AC"/>
    <w:rsid w:val="00C622F0"/>
    <w:rsid w:val="00C6374A"/>
    <w:rsid w:val="00C6541A"/>
    <w:rsid w:val="00C65644"/>
    <w:rsid w:val="00C65FA6"/>
    <w:rsid w:val="00C66311"/>
    <w:rsid w:val="00C67C43"/>
    <w:rsid w:val="00C67CD9"/>
    <w:rsid w:val="00C70292"/>
    <w:rsid w:val="00C70B5B"/>
    <w:rsid w:val="00C70F02"/>
    <w:rsid w:val="00C75684"/>
    <w:rsid w:val="00C77557"/>
    <w:rsid w:val="00C77F48"/>
    <w:rsid w:val="00C82211"/>
    <w:rsid w:val="00C83CD2"/>
    <w:rsid w:val="00C866E9"/>
    <w:rsid w:val="00C8691C"/>
    <w:rsid w:val="00C9045C"/>
    <w:rsid w:val="00C90BCD"/>
    <w:rsid w:val="00CA0D63"/>
    <w:rsid w:val="00CA14C1"/>
    <w:rsid w:val="00CA168E"/>
    <w:rsid w:val="00CA4BEE"/>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4DB8"/>
    <w:rsid w:val="00D81F6A"/>
    <w:rsid w:val="00D85D1D"/>
    <w:rsid w:val="00D86469"/>
    <w:rsid w:val="00DA3DDD"/>
    <w:rsid w:val="00DA6438"/>
    <w:rsid w:val="00DA753F"/>
    <w:rsid w:val="00DB298D"/>
    <w:rsid w:val="00DB2BBD"/>
    <w:rsid w:val="00DB54AD"/>
    <w:rsid w:val="00DB57AB"/>
    <w:rsid w:val="00DC0770"/>
    <w:rsid w:val="00DD005A"/>
    <w:rsid w:val="00DD084C"/>
    <w:rsid w:val="00DE3FED"/>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5533F"/>
    <w:rsid w:val="00E6478A"/>
    <w:rsid w:val="00E73136"/>
    <w:rsid w:val="00E773D5"/>
    <w:rsid w:val="00E80FD5"/>
    <w:rsid w:val="00E83986"/>
    <w:rsid w:val="00E854B1"/>
    <w:rsid w:val="00E90021"/>
    <w:rsid w:val="00E91350"/>
    <w:rsid w:val="00E92F08"/>
    <w:rsid w:val="00EA4307"/>
    <w:rsid w:val="00EA7524"/>
    <w:rsid w:val="00EB361E"/>
    <w:rsid w:val="00EB4BF5"/>
    <w:rsid w:val="00EB6212"/>
    <w:rsid w:val="00EB7A0A"/>
    <w:rsid w:val="00ED00A7"/>
    <w:rsid w:val="00ED193B"/>
    <w:rsid w:val="00EE0EE7"/>
    <w:rsid w:val="00EE1CBE"/>
    <w:rsid w:val="00EE5E70"/>
    <w:rsid w:val="00EE65BC"/>
    <w:rsid w:val="00EF40F7"/>
    <w:rsid w:val="00EF6438"/>
    <w:rsid w:val="00EF65EB"/>
    <w:rsid w:val="00F003B5"/>
    <w:rsid w:val="00F04FE8"/>
    <w:rsid w:val="00F10BB9"/>
    <w:rsid w:val="00F11331"/>
    <w:rsid w:val="00F16449"/>
    <w:rsid w:val="00F16AB4"/>
    <w:rsid w:val="00F20B38"/>
    <w:rsid w:val="00F2193B"/>
    <w:rsid w:val="00F23B4A"/>
    <w:rsid w:val="00F24F4C"/>
    <w:rsid w:val="00F253BF"/>
    <w:rsid w:val="00F31342"/>
    <w:rsid w:val="00F325CA"/>
    <w:rsid w:val="00F33859"/>
    <w:rsid w:val="00F37F51"/>
    <w:rsid w:val="00F37FE4"/>
    <w:rsid w:val="00F415F4"/>
    <w:rsid w:val="00F4480F"/>
    <w:rsid w:val="00F52C83"/>
    <w:rsid w:val="00F6235E"/>
    <w:rsid w:val="00F66B1F"/>
    <w:rsid w:val="00F66E13"/>
    <w:rsid w:val="00F7084A"/>
    <w:rsid w:val="00F70BC7"/>
    <w:rsid w:val="00F76AFB"/>
    <w:rsid w:val="00F77ABD"/>
    <w:rsid w:val="00F834F1"/>
    <w:rsid w:val="00F85F3E"/>
    <w:rsid w:val="00F8693F"/>
    <w:rsid w:val="00F95A52"/>
    <w:rsid w:val="00FA46D1"/>
    <w:rsid w:val="00FA4A64"/>
    <w:rsid w:val="00FA6710"/>
    <w:rsid w:val="00FA7CB8"/>
    <w:rsid w:val="00FB11DA"/>
    <w:rsid w:val="00FB3C1D"/>
    <w:rsid w:val="00FB3F74"/>
    <w:rsid w:val="00FB48F6"/>
    <w:rsid w:val="00FB64D9"/>
    <w:rsid w:val="00FB77C6"/>
    <w:rsid w:val="00FC156A"/>
    <w:rsid w:val="00FC23FC"/>
    <w:rsid w:val="00FC30BB"/>
    <w:rsid w:val="00FC4407"/>
    <w:rsid w:val="00FC5987"/>
    <w:rsid w:val="00FD0709"/>
    <w:rsid w:val="00FD6FD5"/>
    <w:rsid w:val="00FD7019"/>
    <w:rsid w:val="00FE121E"/>
    <w:rsid w:val="00FE1F7D"/>
    <w:rsid w:val="00FE42D2"/>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99BA66C-CE78-2846-A2EF-864FDF16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14</Pages>
  <Words>4541</Words>
  <Characters>25885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600</cp:revision>
  <dcterms:created xsi:type="dcterms:W3CDTF">2016-06-23T14:51:00Z</dcterms:created>
  <dcterms:modified xsi:type="dcterms:W3CDTF">2016-12-13T22:05:00Z</dcterms:modified>
</cp:coreProperties>
</file>