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1D9F76BB" w:rsidR="00343731" w:rsidRPr="00C77086"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w:t>
      </w:r>
      <w:r w:rsidR="00610AA2">
        <w:rPr>
          <w:lang w:val="fr-CH"/>
        </w:rPr>
        <w:t>dans le</w:t>
      </w:r>
      <w:r w:rsidR="00F415F4">
        <w:rPr>
          <w:lang w:val="fr-CH"/>
        </w:rPr>
        <w:t xml:space="preserve"> médium cinématographique. </w:t>
      </w:r>
      <w:r w:rsidR="00AC1BF7">
        <w:rPr>
          <w:lang w:val="fr-CH"/>
        </w:rPr>
        <w:t>Après avoir considéré le rôle de l’instabilité de texte de Finney dans ces différentes itérations comme facteur</w:t>
      </w:r>
      <w:r w:rsidR="00787726">
        <w:rPr>
          <w:lang w:val="fr-CH"/>
        </w:rPr>
        <w:t xml:space="preserve"> permettant la sérialité</w:t>
      </w:r>
      <w:r w:rsidR="00AC1BF7">
        <w:rPr>
          <w:lang w:val="fr-CH"/>
        </w:rPr>
        <w:t xml:space="preserve"> dans le chapitre précédent, l’objectif de ce chapitre est de montrer comment le processus de répétition internalisé par l</w:t>
      </w:r>
      <w:r w:rsidR="00787726">
        <w:rPr>
          <w:lang w:val="fr-CH"/>
        </w:rPr>
        <w:t>a série de</w:t>
      </w:r>
      <w:r w:rsidR="00AC1BF7">
        <w:rPr>
          <w:lang w:val="fr-CH"/>
        </w:rPr>
        <w:t xml:space="preserve"> films participe au processus de </w:t>
      </w:r>
      <w:r w:rsidR="00020367">
        <w:rPr>
          <w:lang w:val="fr-CH"/>
        </w:rPr>
        <w:t>canonisation</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Basé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xml:space="preserve">, il s’efforce toutefois d’affirmer –ou de nier–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un nombre incalculable de formes et ce travail choisit de se concentrer sur </w:t>
      </w:r>
      <w:r w:rsidR="00F66E13" w:rsidRPr="00B84C63">
        <w:rPr>
          <w:lang w:val="fr-CH"/>
        </w:rPr>
        <w:t>cinq</w:t>
      </w:r>
      <w:r w:rsidR="00ED193B" w:rsidRPr="00B84C63">
        <w:rPr>
          <w:lang w:val="fr-CH"/>
        </w:rPr>
        <w:t xml:space="preserve"> d’entre-elles en particulier : le générique</w:t>
      </w:r>
      <w:r w:rsidR="001A66E2" w:rsidRPr="00B84C63">
        <w:rPr>
          <w:lang w:val="fr-CH"/>
        </w:rPr>
        <w:t xml:space="preserve">, l’utilisation de la voix </w:t>
      </w:r>
      <w:r w:rsidR="00CB30BC">
        <w:rPr>
          <w:lang w:val="fr-CH"/>
        </w:rPr>
        <w:t>off</w:t>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axes d’études permettent de dégager le </w:t>
      </w:r>
      <w:r w:rsidR="00823120">
        <w:rPr>
          <w:lang w:val="fr-CH"/>
        </w:rPr>
        <w:lastRenderedPageBreak/>
        <w:t>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série de suites 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production académique relative au film, l’originalité de l’analyse proposée dans ce chapitre est de considérer </w:t>
      </w:r>
      <w:r w:rsidR="00A7679F">
        <w:rPr>
          <w:lang w:val="fr-CH"/>
        </w:rPr>
        <w:t>ces changements comme révélateurs d’un mécanisme de sérialité interne 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7594E96E" w:rsidR="00F31342"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r w:rsidR="002D1835">
        <w:rPr>
          <w:lang w:val="fr-CH"/>
        </w:rPr>
        <w:lastRenderedPageBreak/>
        <w:t xml:space="preserve">généraliste est parfois contre-productive. Ce </w:t>
      </w:r>
      <w:r w:rsidR="00610AA2">
        <w:rPr>
          <w:lang w:val="fr-CH"/>
        </w:rPr>
        <w:t xml:space="preserve">chapitre </w:t>
      </w:r>
      <w:r w:rsidR="002D1835">
        <w:rPr>
          <w:lang w:val="fr-CH"/>
        </w:rPr>
        <w:t xml:space="preserve">propose donc de traiter de la question des variations génériques </w:t>
      </w:r>
      <w:r w:rsidR="00A4110C">
        <w:rPr>
          <w:lang w:val="fr-CH"/>
        </w:rPr>
        <w:t>en se concentrant sur</w:t>
      </w:r>
      <w:r w:rsidR="002D1835">
        <w:rPr>
          <w:lang w:val="fr-CH"/>
        </w:rPr>
        <w:t xml:space="preserve"> </w:t>
      </w:r>
      <w:r w:rsidR="006B7BD3">
        <w:rPr>
          <w:lang w:val="fr-CH"/>
        </w:rPr>
        <w:t>l’</w:t>
      </w:r>
      <w:r w:rsidR="006239E4">
        <w:rPr>
          <w:lang w:val="fr-CH"/>
        </w:rPr>
        <w:t>étude des 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r w:rsidR="00FA46D1">
        <w:rPr>
          <w:lang w:val="fr-CH"/>
        </w:rPr>
        <w:t xml:space="preserve">À la manière de la tension entre originalité et réflexivité qui habite chaque remake,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la tension entre originalité et réflexivité. </w:t>
      </w:r>
    </w:p>
    <w:p w14:paraId="5FBB6D27" w14:textId="1AFFD61F"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et Metz,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spatiale.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w:t>
      </w:r>
      <w:r w:rsidR="00B12CC2">
        <w:rPr>
          <w:lang w:val="fr-CH"/>
        </w:rPr>
        <w:lastRenderedPageBreak/>
        <w:t xml:space="preserve">Contrairement au film de Siegel, qui ne </w:t>
      </w:r>
      <w:r w:rsidR="00F527E9">
        <w:rPr>
          <w:lang w:val="fr-CH"/>
        </w:rPr>
        <w:t>livrait</w:t>
      </w:r>
      <w:r w:rsidR="00B12CC2">
        <w:rPr>
          <w:lang w:val="fr-CH"/>
        </w:rPr>
        <w:t xml:space="preserve"> que 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40776CF0" w:rsidR="00804DDA" w:rsidRPr="00630AC1" w:rsidRDefault="00102805" w:rsidP="00F31342">
      <w:pPr>
        <w:pStyle w:val="Mmoire"/>
        <w:ind w:firstLine="720"/>
        <w:rPr>
          <w:lang w:val="fr-CH"/>
        </w:rPr>
      </w:pPr>
      <w:r>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 xml:space="preserve">le générique à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085F86C4"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E622B9">
        <w:rPr>
          <w:lang w:val="fr-CH"/>
        </w:rPr>
        <w:t>le</w:t>
      </w:r>
      <w:r w:rsidR="00155E7F">
        <w:rPr>
          <w:lang w:val="fr-CH"/>
        </w:rPr>
        <w:t xml:space="preserve"> chapitre 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réponds </w:t>
      </w:r>
      <w:r w:rsidR="00E622B9">
        <w:rPr>
          <w:lang w:val="fr-CH"/>
        </w:rPr>
        <w:t xml:space="preserve">presque </w:t>
      </w:r>
      <w:r w:rsidR="00B85491">
        <w:rPr>
          <w:lang w:val="fr-CH"/>
        </w:rPr>
        <w:t>littéralement au passage ajouté en incipit du roman de Finney.</w:t>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61ED3DB4" w:rsidR="00067506" w:rsidRDefault="002A2481" w:rsidP="006932DE">
      <w:pPr>
        <w:pStyle w:val="Mmoire"/>
        <w:rPr>
          <w:lang w:val="fr-CH"/>
        </w:rPr>
      </w:pPr>
      <w:r>
        <w:rPr>
          <w:lang w:val="fr-CH"/>
        </w:rPr>
        <w:t>L’utilisation de la v</w:t>
      </w:r>
      <w:r w:rsidR="00912890">
        <w:rPr>
          <w:lang w:val="fr-CH"/>
        </w:rPr>
        <w:t xml:space="preserve">oix over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187094">
        <w:rPr>
          <w:lang w:val="fr-CH"/>
        </w:rPr>
        <w:t xml:space="preserve"> dans le récit : 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Vous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030A71F5"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de 1956. 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r w:rsidR="00D56BD5">
        <w:rPr>
          <w:lang w:val="fr-CH"/>
        </w:rPr>
        <w:t>miroite</w:t>
      </w:r>
      <w:r w:rsidR="00AC22C4">
        <w:rPr>
          <w:lang w:val="fr-CH"/>
        </w:rPr>
        <w:t xml:space="preserve"> l’ambiguïté de cette de Siegel :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167B27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voix </w:t>
      </w:r>
      <w:r w:rsidR="00E73136">
        <w:rPr>
          <w:lang w:val="fr-CH"/>
        </w:rPr>
        <w:t>off</w:t>
      </w:r>
      <w:r w:rsidR="00E04B32">
        <w:rPr>
          <w:lang w:val="fr-CH"/>
        </w:rPr>
        <w:t xml:space="preserve"> est plus </w:t>
      </w:r>
      <w:r w:rsidR="00B86680">
        <w:rPr>
          <w:lang w:val="fr-CH"/>
        </w:rPr>
        <w:t>indéterminée</w:t>
      </w:r>
      <w:r w:rsidR="00E04B32">
        <w:rPr>
          <w:lang w:val="fr-CH"/>
        </w:rPr>
        <w:t xml:space="preserve">: la voix </w:t>
      </w:r>
      <w:r w:rsidR="00E73136">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est jouée</w:t>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rejoué par la scène</w:t>
      </w:r>
      <w:r w:rsidR="00B53561">
        <w:rPr>
          <w:lang w:val="fr-CH"/>
        </w:rPr>
        <w:t xml:space="preserve"> finale</w:t>
      </w:r>
      <w:r w:rsidR="00700E65">
        <w:rPr>
          <w:lang w:val="fr-CH"/>
        </w:rPr>
        <w:t xml:space="preserve">, excepté que dans le cas de la scène finale,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0B3D0FD2"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récit source identique, </w:t>
      </w:r>
      <w:r w:rsidR="00D632E9">
        <w:rPr>
          <w:lang w:val="fr-CH"/>
        </w:rPr>
        <w:t xml:space="preserve">montre une réflexivité des textes </w:t>
      </w:r>
      <w:r w:rsidR="00D632E9" w:rsidRPr="00BC46A0">
        <w:rPr>
          <w:lang w:val="fr-CH"/>
        </w:rPr>
        <w:t xml:space="preserve">filmiques par </w:t>
      </w:r>
      <w:r w:rsidR="00BC46A0">
        <w:rPr>
          <w:lang w:val="fr-CH"/>
        </w:rPr>
        <w:t>opposition</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 xml:space="preserve">innover en se différenciant dans ces moments clés que constituent le début et la fin d’un récit filmique. </w:t>
      </w:r>
      <w:r w:rsidR="007E1637">
        <w:rPr>
          <w:lang w:val="fr-CH"/>
        </w:rPr>
        <w:t>Ces changements ont également pour effet de définir un pacte de lecture différent pour chaque film: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situent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7252CEE2" w:rsidR="001A66E2" w:rsidRDefault="00055641" w:rsidP="001A66E2">
      <w:pPr>
        <w:pStyle w:val="Mmoire"/>
        <w:rPr>
          <w:lang w:val="fr-CH"/>
        </w:rPr>
      </w:pPr>
      <w:r>
        <w:rPr>
          <w:lang w:val="fr-CH"/>
        </w:rPr>
        <w:t>Un autre élément, apparu avec le film de 1978</w:t>
      </w:r>
      <w:r w:rsidR="009C1C98">
        <w:rPr>
          <w:lang w:val="fr-CH"/>
        </w:rPr>
        <w:t xml:space="preserve">, articule 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37"/>
      </w:r>
      <w:r w:rsidR="00A86E48">
        <w:rPr>
          <w:lang w:val="fr-CH"/>
        </w:rPr>
        <w:t xml:space="preserve"> est au cœur même des tensions entre réflexivité et d’originalité entre le film et son remake : dans les dernières séquences du film, montrant un Matthew vivant entouré de </w:t>
      </w:r>
      <w:r w:rsidR="00A86E48">
        <w:rPr>
          <w:i/>
          <w:lang w:val="fr-CH"/>
        </w:rPr>
        <w:t>pod people</w:t>
      </w:r>
      <w:r w:rsidR="00A86E48">
        <w:rPr>
          <w:lang w:val="fr-CH"/>
        </w:rPr>
        <w:t xml:space="preserve"> menant leurs existences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–toujours humaine– pensant elle aussi avoir à faire à un humain, le même mécanisme formel que précédemment est</w:t>
      </w:r>
      <w:r w:rsidR="00296845">
        <w:rPr>
          <w:lang w:val="fr-CH"/>
        </w:rPr>
        <w:t xml:space="preserve"> déclenché : le plan d’ensemble de Matthew se resserre, cette fois-ci par un travelling avant plutôt qu’un zoom, avant que ce dernier ne lève le doigt en direction de Nancy et commence à pousser le cri.</w:t>
      </w:r>
      <w:r w:rsidR="00705222">
        <w:rPr>
          <w:lang w:val="fr-CH"/>
        </w:rPr>
        <w:t xml:space="preserve"> </w:t>
      </w:r>
      <w:r w:rsidR="00705222">
        <w:rPr>
          <w:lang w:val="fr-CH"/>
        </w:rPr>
        <w:lastRenderedPageBreak/>
        <w:t xml:space="preserve">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 ;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et ne trouvant comme seule présence identificatoire à l’écran une femme hurlant de désespoir.</w:t>
      </w:r>
    </w:p>
    <w:p w14:paraId="3A2AF606" w14:textId="04971914"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 xml:space="preserve">en avant son originalité par-rapport à celui de 1956, il va entrainer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D60E7D">
        <w:rPr>
          <w:lang w:val="fr-CH"/>
        </w:rPr>
        <w:t xml:space="preserve">travelling ou zoom avant, pointage de doigt et </w:t>
      </w:r>
      <w:r w:rsidR="00F85F3E">
        <w:rPr>
          <w:lang w:val="fr-CH"/>
        </w:rPr>
        <w:t>même tonalités</w:t>
      </w:r>
      <w:r w:rsidR="003567AC">
        <w:rPr>
          <w:lang w:val="fr-CH"/>
        </w:rPr>
        <w:t xml:space="preserve">– </w:t>
      </w:r>
      <w:r w:rsidR="00FA7CB8">
        <w:rPr>
          <w:lang w:val="fr-CH"/>
        </w:rPr>
        <w:t>sans y ajouter d’élément particulier</w:t>
      </w:r>
      <w:r w:rsidR="00F85F3E">
        <w:rPr>
          <w:lang w:val="fr-CH"/>
        </w:rPr>
        <w:t xml:space="preserve">. </w:t>
      </w:r>
      <w:r w:rsidR="00E04409">
        <w:rPr>
          <w:lang w:val="fr-CH"/>
        </w:rPr>
        <w:t>Sa présence 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xml:space="preserve">. De plus durant l’intégralité de la scène, un bruit off –le sifflement d’une marmite à vapeur placée sur le feu avant que la sonnette entraine le début de la rencontre– </w:t>
      </w:r>
      <w:r w:rsidR="00D07D27">
        <w:rPr>
          <w:lang w:val="fr-CH"/>
        </w:rPr>
        <w:t xml:space="preserve">strident et </w:t>
      </w:r>
      <w:r w:rsidR="00D07D27">
        <w:rPr>
          <w:lang w:val="fr-CH"/>
        </w:rPr>
        <w:lastRenderedPageBreak/>
        <w:t xml:space="preserve">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envers ses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6DEB2A42"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d’entre-elles, </w:t>
      </w:r>
      <w:r w:rsidR="00276A3C">
        <w:rPr>
          <w:lang w:val="fr-CH"/>
        </w:rPr>
        <w:t>tirée directement du roman de Fin</w:t>
      </w:r>
      <w:r w:rsidR="0040612C">
        <w:rPr>
          <w:lang w:val="fr-CH"/>
        </w:rPr>
        <w:t>ney et répétée dans chaque film, choisie car elle articule elle-même la question 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386C08AD" w:rsidR="007C50CA" w:rsidRDefault="007C50CA" w:rsidP="007C50CA">
      <w:pPr>
        <w:pStyle w:val="Mmoire"/>
        <w:rPr>
          <w:lang w:val="fr-CH"/>
        </w:rPr>
      </w:pPr>
      <w:r>
        <w:rPr>
          <w:lang w:val="fr-CH"/>
        </w:rPr>
        <w:tab/>
        <w:t xml:space="preserve">Dans le film de Siegel, un premier changement est opéré à la 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 xml:space="preserve">et a donc pour effet de surprendre celui-ci. La scène retourne ensuite dans une série de champ/contre-champ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–dont la peur est visible–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 dans ce chapitre.</w:t>
      </w:r>
      <w:r w:rsidR="00180AF3">
        <w:rPr>
          <w:lang w:val="fr-CH"/>
        </w:rPr>
        <w:t xml:space="preserve"> Avec cette scène, encore une fois, Kaufman joue des 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 avant la confrontation finale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envers s</w:t>
      </w:r>
      <w:r w:rsidR="003E577B">
        <w:rPr>
          <w:lang w:val="fr-CH"/>
        </w:rPr>
        <w:t>on texte</w:t>
      </w:r>
      <w:r w:rsidR="000619E7">
        <w:rPr>
          <w:lang w:val="fr-CH"/>
        </w:rPr>
        <w:t xml:space="preserve"> source</w:t>
      </w:r>
      <w:r w:rsidR="00A77E2B">
        <w:rPr>
          <w:rStyle w:val="FootnoteReference"/>
          <w:lang w:val="fr-CH"/>
        </w:rPr>
        <w:footnoteReference w:id="51"/>
      </w:r>
      <w:r w:rsidR="000619E7">
        <w:rPr>
          <w:lang w:val="fr-CH"/>
        </w:rPr>
        <w:t>.</w:t>
      </w:r>
    </w:p>
    <w:p w14:paraId="720BB6D6" w14:textId="2A8218AF"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Nous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4B87C6FE"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la scène de camouflage apparaît bien plus tôt dans le récit alors que Carol se retrouve</w:t>
      </w:r>
      <w:r w:rsidR="00861C32">
        <w:rPr>
          <w:rStyle w:val="FootnoteReference"/>
          <w:lang w:val="fr-CH"/>
        </w:rPr>
        <w:footnoteReference w:id="55"/>
      </w:r>
      <w:r w:rsidR="006F7B40">
        <w:rPr>
          <w:lang w:val="fr-CH"/>
        </w:rPr>
        <w:t xml:space="preserve"> dans un métro avec d’autres humains alors que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derrière (fig. 20)</w:t>
      </w:r>
      <w:r w:rsidR="001737D3">
        <w:rPr>
          <w:lang w:val="fr-CH"/>
        </w:rPr>
        <w:t xml:space="preserve"> </w:t>
      </w:r>
      <w:r w:rsidR="003D3B09">
        <w:rPr>
          <w:lang w:val="fr-CH"/>
        </w:rPr>
        <w:t xml:space="preserve">alors que trois autres sont entrain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revoie au film de Siegel et à sa source littéraire en opérant encore à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dans 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connaissant les films précédents en contrant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xml:space="preserve">, révélant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2A3C2885"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du 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4686ADC6" w14:textId="33A6F8EF" w:rsidR="008C5BBE" w:rsidRPr="004E3DD4" w:rsidRDefault="00A246F3" w:rsidP="008C5BBE">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McCarthy… 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w:t>
      </w:r>
      <w:r w:rsidR="009E1079">
        <w:rPr>
          <w:lang w:val="fr-CH"/>
        </w:rPr>
        <w:t>qui 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4 films de la série</w:t>
      </w:r>
      <w:r w:rsidR="00F253BF">
        <w:rPr>
          <w:lang w:val="fr-CH"/>
        </w:rPr>
        <w:t xml:space="preserve"> articulant la tension entre réflexivité (via,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 xml:space="preserve">trans-remake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bookmarkStart w:id="0" w:name="_GoBack"/>
      <w:bookmarkEnd w:id="0"/>
      <w:r w:rsidR="005A26BF">
        <w:rPr>
          <w:lang w:val="fr-CH"/>
        </w:rPr>
        <w:t xml:space="preserve"> </w:t>
      </w:r>
    </w:p>
    <w:sectPr w:rsidR="008C5BBE" w:rsidRPr="004E3DD4"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4FB98" w14:textId="77777777" w:rsidR="00C91909" w:rsidRDefault="00C91909" w:rsidP="00173138">
      <w:r>
        <w:separator/>
      </w:r>
    </w:p>
  </w:endnote>
  <w:endnote w:type="continuationSeparator" w:id="0">
    <w:p w14:paraId="342E715C" w14:textId="77777777" w:rsidR="00C91909" w:rsidRDefault="00C91909"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9300D7" w:rsidRDefault="009300D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300D7" w:rsidRDefault="009300D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9300D7" w:rsidRPr="00A50EFA" w:rsidRDefault="009300D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E3DD4">
      <w:rPr>
        <w:rStyle w:val="PageNumber"/>
        <w:noProof/>
        <w:sz w:val="22"/>
      </w:rPr>
      <w:t>14</w:t>
    </w:r>
    <w:r w:rsidRPr="00A50EFA">
      <w:rPr>
        <w:rStyle w:val="PageNumber"/>
        <w:sz w:val="22"/>
      </w:rPr>
      <w:fldChar w:fldCharType="end"/>
    </w:r>
  </w:p>
  <w:p w14:paraId="6A6EF380" w14:textId="77777777" w:rsidR="009300D7" w:rsidRDefault="009300D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73423" w14:textId="77777777" w:rsidR="00C91909" w:rsidRDefault="00C91909" w:rsidP="00173138">
      <w:r>
        <w:separator/>
      </w:r>
    </w:p>
  </w:footnote>
  <w:footnote w:type="continuationSeparator" w:id="0">
    <w:p w14:paraId="72F58D59" w14:textId="77777777" w:rsidR="00C91909" w:rsidRDefault="00C91909" w:rsidP="00173138">
      <w:r>
        <w:continuationSeparator/>
      </w:r>
    </w:p>
  </w:footnote>
  <w:footnote w:id="1">
    <w:p w14:paraId="76807BB9" w14:textId="1CAAD728" w:rsidR="009300D7" w:rsidRPr="00E92F08" w:rsidRDefault="009300D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9300D7" w:rsidRPr="00250E3D" w:rsidRDefault="009300D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9300D7" w:rsidRPr="00250E3D" w:rsidRDefault="009300D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9300D7" w:rsidRPr="00D61472" w:rsidRDefault="009300D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9300D7" w:rsidRPr="007D5841" w:rsidRDefault="009300D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9300D7" w:rsidRPr="00A00D11" w:rsidRDefault="009300D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9300D7" w:rsidRPr="001E42F1" w:rsidRDefault="009300D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220E3B" w:rsidRPr="00220E3B" w:rsidRDefault="00220E3B">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9300D7" w:rsidRPr="003230B1" w:rsidRDefault="009300D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9300D7" w:rsidRPr="003D3BEE" w:rsidRDefault="009300D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1">
    <w:p w14:paraId="6E25C6C3" w14:textId="339EB1C3" w:rsidR="009300D7" w:rsidRPr="00EA7524" w:rsidRDefault="009300D7">
      <w:pPr>
        <w:pStyle w:val="FootnoteText"/>
        <w:rPr>
          <w:lang w:val="en-GB"/>
        </w:rPr>
      </w:pPr>
      <w:r>
        <w:rPr>
          <w:rStyle w:val="FootnoteReference"/>
        </w:rPr>
        <w:footnoteRef/>
      </w:r>
      <w:r>
        <w:t xml:space="preserve"> Définissant par un film par deux genres contradictoires (« mélodrame familiale » et « film d’action de dur ») en tirant les deux citations d’articles aux approches radicalement différentes. </w:t>
      </w:r>
      <w:r w:rsidRPr="00EA7524">
        <w:rPr>
          <w:lang w:val="en-GB"/>
        </w:rPr>
        <w:t xml:space="preserve">« family melodrama », « tough-talk action film ».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Pr>
          <w:lang w:val="en-US"/>
        </w:rPr>
        <w:t>, p. 133.</w:t>
      </w:r>
    </w:p>
  </w:footnote>
  <w:footnote w:id="12">
    <w:p w14:paraId="59BBF227" w14:textId="651C1A90" w:rsidR="009300D7" w:rsidRPr="006E7E93" w:rsidRDefault="009300D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3">
    <w:p w14:paraId="76657BE7" w14:textId="193FABE7" w:rsidR="009300D7" w:rsidRPr="00793AB5" w:rsidRDefault="009300D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9300D7" w:rsidRPr="007F6649" w:rsidRDefault="009300D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sidR="00E849A9">
        <w:rPr>
          <w:lang w:val="en-GB"/>
        </w:rPr>
        <w:t>204.</w:t>
      </w:r>
    </w:p>
  </w:footnote>
  <w:footnote w:id="15">
    <w:p w14:paraId="45AFA979" w14:textId="3A60F1C2" w:rsidR="009300D7" w:rsidRPr="00132B6F" w:rsidRDefault="009300D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sidR="00EE36E8">
        <w:rPr>
          <w:lang w:val="fr-CH"/>
        </w:rPr>
        <w:t>p</w:t>
      </w:r>
      <w:r w:rsidRPr="00132B6F">
        <w:rPr>
          <w:lang w:val="fr-CH"/>
        </w:rPr>
        <w:t xml:space="preserve">. </w:t>
      </w:r>
      <w:r w:rsidR="00EE36E8">
        <w:rPr>
          <w:lang w:val="fr-CH"/>
        </w:rPr>
        <w:t>204-205.</w:t>
      </w:r>
    </w:p>
  </w:footnote>
  <w:footnote w:id="16">
    <w:p w14:paraId="17DFDC75" w14:textId="4DC20ED4" w:rsidR="009300D7" w:rsidRPr="00B12CC2" w:rsidRDefault="009300D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9300D7" w:rsidRPr="00451131" w:rsidRDefault="009300D7">
      <w:pPr>
        <w:pStyle w:val="FootnoteText"/>
      </w:pPr>
      <w:r>
        <w:rPr>
          <w:rStyle w:val="FootnoteReference"/>
        </w:rPr>
        <w:footnoteRef/>
      </w:r>
      <w:r>
        <w:t xml:space="preserve"> Le spectateur n’étant pas dupe quant à l’origine truquée de ces images.</w:t>
      </w:r>
    </w:p>
  </w:footnote>
  <w:footnote w:id="18">
    <w:p w14:paraId="460FBF7A" w14:textId="67231437" w:rsidR="009300D7" w:rsidRPr="007E445D" w:rsidRDefault="009300D7">
      <w:pPr>
        <w:pStyle w:val="FootnoteText"/>
        <w:rPr>
          <w:lang w:val="fr-CH"/>
        </w:rPr>
      </w:pPr>
      <w:r>
        <w:rPr>
          <w:rStyle w:val="FootnoteReference"/>
        </w:rPr>
        <w:footnoteRef/>
      </w:r>
      <w:r>
        <w:t xml:space="preserve"> Identique à celle du film de Siegel.</w:t>
      </w:r>
    </w:p>
  </w:footnote>
  <w:footnote w:id="19">
    <w:p w14:paraId="2535AAD2" w14:textId="02D67483" w:rsidR="009300D7" w:rsidRPr="00FE42D2" w:rsidRDefault="009300D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9300D7" w:rsidRPr="00235F43" w:rsidRDefault="009300D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9300D7" w:rsidRPr="00CD35C3" w:rsidRDefault="009300D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9300D7" w:rsidRPr="00A61E43" w:rsidRDefault="009300D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9300D7" w:rsidRPr="004E2BC7" w:rsidRDefault="009300D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2D45E7" w:rsidRPr="00A01549" w:rsidRDefault="002D45E7">
      <w:pPr>
        <w:pStyle w:val="FootnoteText"/>
        <w:rPr>
          <w:lang w:val="fr-CH"/>
        </w:rPr>
      </w:pPr>
      <w:r>
        <w:rPr>
          <w:rStyle w:val="FootnoteReference"/>
        </w:rPr>
        <w:footnoteRef/>
      </w:r>
      <w:r w:rsidRPr="00A01549">
        <w:rPr>
          <w:lang w:val="fr-CH"/>
        </w:rPr>
        <w:t xml:space="preserve"> </w:t>
      </w:r>
      <w:r w:rsidR="00B9220C" w:rsidRPr="00A01549">
        <w:rPr>
          <w:lang w:val="fr-CH"/>
        </w:rPr>
        <w:t xml:space="preserve"> </w:t>
      </w:r>
      <w:r w:rsidR="00A01549" w:rsidRPr="00A01549">
        <w:rPr>
          <w:lang w:val="fr-CH"/>
        </w:rPr>
        <w:t xml:space="preserve">Le film </w:t>
      </w:r>
      <w:r w:rsidR="005E13DE">
        <w:rPr>
          <w:lang w:val="fr-CH"/>
        </w:rPr>
        <w:t>commençant</w:t>
      </w:r>
      <w:r w:rsidR="00A01549" w:rsidRPr="00A01549">
        <w:rPr>
          <w:lang w:val="fr-CH"/>
        </w:rPr>
        <w:t xml:space="preserve"> par suivre le personnage de Becky (prénommée Elizabeth) ava</w:t>
      </w:r>
      <w:r w:rsidR="006C1C29">
        <w:rPr>
          <w:lang w:val="fr-CH"/>
        </w:rPr>
        <w:t xml:space="preserve"> </w:t>
      </w:r>
      <w:r w:rsidR="00A01549" w:rsidRPr="00A01549">
        <w:rPr>
          <w:lang w:val="fr-CH"/>
        </w:rPr>
        <w:t>nt d’introduire le personnage de Matthew.</w:t>
      </w:r>
    </w:p>
  </w:footnote>
  <w:footnote w:id="25">
    <w:p w14:paraId="549FD9AE" w14:textId="634DB08E" w:rsidR="002216A4" w:rsidRPr="006955C1" w:rsidRDefault="002216A4">
      <w:pPr>
        <w:pStyle w:val="FootnoteText"/>
        <w:rPr>
          <w:lang w:val="fr-CH"/>
        </w:rPr>
      </w:pPr>
      <w:r>
        <w:rPr>
          <w:rStyle w:val="FootnoteReference"/>
        </w:rPr>
        <w:footnoteRef/>
      </w:r>
      <w:r w:rsidRPr="002216A4">
        <w:rPr>
          <w:lang w:val="en-GB"/>
        </w:rPr>
        <w:t xml:space="preserve"> « You’re next ! ». </w:t>
      </w:r>
      <w:r w:rsidRPr="006955C1">
        <w:rPr>
          <w:lang w:val="fr-CH"/>
        </w:rPr>
        <w:t xml:space="preserve">Al LaValley (éd.), </w:t>
      </w:r>
      <w:r w:rsidRPr="006955C1">
        <w:rPr>
          <w:i/>
          <w:lang w:val="fr-CH"/>
        </w:rPr>
        <w:t>op.cit.</w:t>
      </w:r>
      <w:r w:rsidRPr="006955C1">
        <w:rPr>
          <w:lang w:val="fr-CH"/>
        </w:rPr>
        <w:t>, p. 107.</w:t>
      </w:r>
    </w:p>
  </w:footnote>
  <w:footnote w:id="26">
    <w:p w14:paraId="3CB52AE2" w14:textId="77777777" w:rsidR="009300D7" w:rsidRPr="00CB540A" w:rsidRDefault="009300D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9300D7" w:rsidRPr="003C4D6A" w:rsidRDefault="009300D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8">
    <w:p w14:paraId="4296D5AC" w14:textId="014363AE" w:rsidR="009300D7" w:rsidRPr="00C77557" w:rsidRDefault="009300D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9300D7" w:rsidRPr="00AC22C4" w:rsidRDefault="009300D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543CD9" w:rsidRPr="00543CD9" w:rsidRDefault="00543CD9">
      <w:pPr>
        <w:pStyle w:val="FootnoteText"/>
      </w:pPr>
      <w:r>
        <w:rPr>
          <w:rStyle w:val="FootnoteReference"/>
        </w:rPr>
        <w:footnoteRef/>
      </w:r>
      <w:r>
        <w:t xml:space="preserve"> Le discours au passé au début des films (« </w:t>
      </w:r>
      <w:r w:rsidR="006F4B08">
        <w:t>pour moi, tout a commencé jeudi dernier… »</w:t>
      </w:r>
      <w:r w:rsidR="00CA562A">
        <w:t>) implique que le personnage</w:t>
      </w:r>
      <w:r w:rsidR="00632A72">
        <w:t>/narrateur</w:t>
      </w:r>
      <w:r w:rsidR="00CA562A">
        <w:t xml:space="preserve"> </w:t>
      </w:r>
      <w:r w:rsidR="00632A72">
        <w:t>connaisse</w:t>
      </w:r>
      <w:r w:rsidR="00CA562A">
        <w:t xml:space="preserve"> le </w:t>
      </w:r>
      <w:r w:rsidR="00632A72">
        <w:t>déroulement des événements, et informe le spectateur que ce personnage/narrateur a survécu</w:t>
      </w:r>
      <w:r w:rsidR="00DD6513">
        <w:t xml:space="preserve"> à</w:t>
      </w:r>
      <w:r w:rsidR="00632A72">
        <w:t xml:space="preserve"> ces derniers.</w:t>
      </w:r>
    </w:p>
  </w:footnote>
  <w:footnote w:id="31">
    <w:p w14:paraId="4094977F" w14:textId="7CD3938E" w:rsidR="002C7ECF" w:rsidRPr="002C7ECF" w:rsidRDefault="002C7ECF">
      <w:pPr>
        <w:pStyle w:val="FootnoteText"/>
        <w:rPr>
          <w:lang w:val="fr-CH"/>
        </w:rPr>
      </w:pPr>
      <w:r>
        <w:rPr>
          <w:rStyle w:val="FootnoteReference"/>
        </w:rPr>
        <w:footnoteRef/>
      </w:r>
      <w:r>
        <w:t xml:space="preserve"> </w:t>
      </w:r>
      <w:r>
        <w:rPr>
          <w:lang w:val="fr-CH"/>
        </w:rPr>
        <w:t xml:space="preserve">Un sentiment s’urgence accentué par </w:t>
      </w:r>
      <w:r w:rsidR="00AB25D1">
        <w:rPr>
          <w:lang w:val="fr-CH"/>
        </w:rPr>
        <w:t xml:space="preserve">l’utilisation d’analepses et de prolepses (plus exactement d’images du film </w:t>
      </w:r>
      <w:r w:rsidR="00AB25D1">
        <w:rPr>
          <w:i/>
          <w:lang w:val="fr-CH"/>
        </w:rPr>
        <w:t>à venir</w:t>
      </w:r>
      <w:r w:rsidR="00AB25D1">
        <w:rPr>
          <w:lang w:val="fr-CH"/>
        </w:rPr>
        <w:t xml:space="preserve"> dans des séquences ultérieures) sous forme d’</w:t>
      </w:r>
      <w:r w:rsidR="003E0E6F">
        <w:rPr>
          <w:lang w:val="fr-CH"/>
        </w:rPr>
        <w:t>inserts très rapides, procédé utilisé pour illustrer l’état mental de l’héroïne réveillée depuis plusieurs jours et sous l’effet de doses excessives d’</w:t>
      </w:r>
      <w:r w:rsidR="00BF4C15">
        <w:rPr>
          <w:lang w:val="fr-CH"/>
        </w:rPr>
        <w:t>amphétamine</w:t>
      </w:r>
      <w:r w:rsidR="003E0E6F">
        <w:rPr>
          <w:lang w:val="fr-CH"/>
        </w:rPr>
        <w:t>.</w:t>
      </w:r>
    </w:p>
  </w:footnote>
  <w:footnote w:id="32">
    <w:p w14:paraId="69514AC4" w14:textId="28824C62" w:rsidR="00C7223B" w:rsidRPr="00C7223B" w:rsidRDefault="00C7223B">
      <w:pPr>
        <w:pStyle w:val="FootnoteText"/>
        <w:rPr>
          <w:lang w:val="fr-CH"/>
        </w:rPr>
      </w:pPr>
      <w:r>
        <w:rPr>
          <w:rStyle w:val="FootnoteReference"/>
        </w:rPr>
        <w:footnoteRef/>
      </w:r>
      <w:r>
        <w:t xml:space="preserve"> </w:t>
      </w:r>
      <w:r>
        <w:rPr>
          <w:lang w:val="fr-CH"/>
        </w:rPr>
        <w:t>Cri</w:t>
      </w:r>
      <w:r w:rsidR="00BB6E02">
        <w:rPr>
          <w:lang w:val="fr-CH"/>
        </w:rPr>
        <w:t xml:space="preserve"> choisi pour son </w:t>
      </w:r>
      <w:r>
        <w:rPr>
          <w:lang w:val="fr-CH"/>
        </w:rPr>
        <w:t>iconicité</w:t>
      </w:r>
      <w:r w:rsidR="00BB6E02">
        <w:rPr>
          <w:lang w:val="fr-CH"/>
        </w:rPr>
        <w:t xml:space="preserve"> dans la série, statut</w:t>
      </w:r>
      <w:r>
        <w:rPr>
          <w:lang w:val="fr-CH"/>
        </w:rPr>
        <w:t xml:space="preserve"> sera discutée plus loin dans ce chapitre </w:t>
      </w:r>
      <w:r w:rsidR="00D103FD">
        <w:rPr>
          <w:lang w:val="fr-CH"/>
        </w:rPr>
        <w:t>et évoqué dans la conclusion.</w:t>
      </w:r>
    </w:p>
  </w:footnote>
  <w:footnote w:id="33">
    <w:p w14:paraId="25D7C4C1" w14:textId="51E091CD" w:rsidR="009300D7" w:rsidRPr="00AC0B7A" w:rsidRDefault="009300D7">
      <w:pPr>
        <w:pStyle w:val="FootnoteText"/>
        <w:rPr>
          <w:lang w:val="en-GB"/>
        </w:rPr>
      </w:pPr>
      <w:r>
        <w:rPr>
          <w:rStyle w:val="FootnoteReference"/>
        </w:rPr>
        <w:footnoteRef/>
      </w:r>
      <w:r w:rsidRPr="00AC0B7A">
        <w:rPr>
          <w:lang w:val="en-GB"/>
        </w:rPr>
        <w:t xml:space="preserve"> « He’s in here ! He’s in here ! Get him ! </w:t>
      </w:r>
      <w:r w:rsidRPr="00EB7A0A">
        <w:rPr>
          <w:lang w:val="en-GB"/>
        </w:rPr>
        <w:t xml:space="preserve">Get him ! ». </w:t>
      </w:r>
      <w:r w:rsidRPr="00AC0B7A">
        <w:rPr>
          <w:lang w:val="en-GB"/>
        </w:rPr>
        <w:t xml:space="preserve">Al LaValley (éd.), </w:t>
      </w:r>
      <w:r w:rsidRPr="00AC0B7A">
        <w:rPr>
          <w:i/>
          <w:lang w:val="en-GB"/>
        </w:rPr>
        <w:t>op. cit.</w:t>
      </w:r>
      <w:r w:rsidRPr="00AC0B7A">
        <w:rPr>
          <w:lang w:val="en-GB"/>
        </w:rPr>
        <w:t>, p. 102.</w:t>
      </w:r>
    </w:p>
  </w:footnote>
  <w:footnote w:id="34">
    <w:p w14:paraId="276C1BB9" w14:textId="023B30C0" w:rsidR="009300D7" w:rsidRPr="00DA6438" w:rsidRDefault="009300D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Pr="00AC0B7A">
        <w:rPr>
          <w:lang w:val="en-GB"/>
        </w:rPr>
        <w:t xml:space="preserve">Al LaValley (éd.), </w:t>
      </w:r>
      <w:r w:rsidRPr="00AC0B7A">
        <w:rPr>
          <w:i/>
          <w:lang w:val="en-GB"/>
        </w:rPr>
        <w:t>ibid.</w:t>
      </w:r>
    </w:p>
  </w:footnote>
  <w:footnote w:id="35">
    <w:p w14:paraId="686B51DA" w14:textId="13E646A9" w:rsidR="009300D7" w:rsidRPr="00AC0B7A" w:rsidRDefault="009300D7">
      <w:pPr>
        <w:pStyle w:val="FootnoteText"/>
        <w:rPr>
          <w:lang w:val="fr-CH"/>
        </w:rPr>
      </w:pPr>
      <w:r>
        <w:rPr>
          <w:rStyle w:val="FootnoteReference"/>
        </w:rPr>
        <w:footnoteRef/>
      </w:r>
      <w:r w:rsidRPr="00462979">
        <w:rPr>
          <w:lang w:val="en-GB"/>
        </w:rPr>
        <w:t xml:space="preserve"> « </w:t>
      </w:r>
      <w:r w:rsidRPr="00462979">
        <w:rPr>
          <w:i/>
          <w:lang w:val="en-GB"/>
        </w:rPr>
        <w:t>(screaming furiously)</w:t>
      </w:r>
      <w:r w:rsidRPr="00462979">
        <w:rPr>
          <w:lang w:val="en-GB"/>
        </w:rPr>
        <w:t xml:space="preserve"> ». </w:t>
      </w:r>
      <w:r w:rsidRPr="00AC0B7A">
        <w:rPr>
          <w:lang w:val="fr-CH"/>
        </w:rPr>
        <w:t xml:space="preserve">Al LaValley (éd.), </w:t>
      </w:r>
      <w:r w:rsidRPr="00AC0B7A">
        <w:rPr>
          <w:i/>
          <w:lang w:val="fr-CH"/>
        </w:rPr>
        <w:t>ibid.</w:t>
      </w:r>
    </w:p>
  </w:footnote>
  <w:footnote w:id="36">
    <w:p w14:paraId="668C765A" w14:textId="61224D85" w:rsidR="009300D7" w:rsidRPr="00D64CAC" w:rsidRDefault="009300D7">
      <w:pPr>
        <w:pStyle w:val="FootnoteText"/>
      </w:pPr>
      <w:r>
        <w:rPr>
          <w:rStyle w:val="FootnoteReference"/>
        </w:rPr>
        <w:footnoteRef/>
      </w:r>
      <w:r>
        <w:t xml:space="preserve"> Ou, plus précisément, les neuf derniers plans du film.</w:t>
      </w:r>
    </w:p>
  </w:footnote>
  <w:footnote w:id="37">
    <w:p w14:paraId="29626C43" w14:textId="5B583A3F" w:rsidR="009300D7" w:rsidRPr="00C22F7D" w:rsidRDefault="009300D7">
      <w:pPr>
        <w:pStyle w:val="FootnoteText"/>
      </w:pPr>
      <w:r>
        <w:rPr>
          <w:rStyle w:val="FootnoteReference"/>
        </w:rPr>
        <w:footnoteRef/>
      </w:r>
      <w:r>
        <w:t xml:space="preserve"> En voix in et off.</w:t>
      </w:r>
    </w:p>
  </w:footnote>
  <w:footnote w:id="38">
    <w:p w14:paraId="060EF3D5" w14:textId="09202CAA" w:rsidR="009300D7" w:rsidRPr="00A86E48" w:rsidRDefault="009300D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9">
    <w:p w14:paraId="29F2EBCF" w14:textId="29098429" w:rsidR="009300D7" w:rsidRPr="00570C66" w:rsidRDefault="009300D7">
      <w:pPr>
        <w:pStyle w:val="FootnoteText"/>
      </w:pPr>
      <w:r>
        <w:rPr>
          <w:rStyle w:val="FootnoteReference"/>
        </w:rPr>
        <w:footnoteRef/>
      </w:r>
      <w:r>
        <w:t xml:space="preserve"> Montée comme une suite de champs-contre champs.</w:t>
      </w:r>
    </w:p>
  </w:footnote>
  <w:footnote w:id="40">
    <w:p w14:paraId="182FCEB9" w14:textId="6355B3E1" w:rsidR="009300D7" w:rsidRPr="00DA753F" w:rsidRDefault="009300D7">
      <w:pPr>
        <w:pStyle w:val="FootnoteText"/>
      </w:pPr>
      <w:r>
        <w:rPr>
          <w:rStyle w:val="FootnoteReference"/>
        </w:rPr>
        <w:footnoteRef/>
      </w:r>
      <w:r>
        <w:t xml:space="preserve"> Dont les cris, humains cette fois-ci, vont se mélanger à ceux de Matthew.</w:t>
      </w:r>
    </w:p>
  </w:footnote>
  <w:footnote w:id="41">
    <w:p w14:paraId="45BF5CE0" w14:textId="1F919189" w:rsidR="009300D7" w:rsidRPr="00F003B5" w:rsidRDefault="009300D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60B45650" w:rsidR="009300D7" w:rsidRPr="00DB54AD" w:rsidRDefault="009300D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43">
    <w:p w14:paraId="021A13B7" w14:textId="25252B4A" w:rsidR="009300D7" w:rsidRPr="00DB54AD" w:rsidRDefault="009300D7">
      <w:pPr>
        <w:pStyle w:val="FootnoteText"/>
      </w:pPr>
      <w:r>
        <w:rPr>
          <w:rStyle w:val="FootnoteReference"/>
        </w:rPr>
        <w:footnoteRef/>
      </w:r>
      <w:r>
        <w:t xml:space="preserve"> Et, par extension, de 1993.</w:t>
      </w:r>
    </w:p>
  </w:footnote>
  <w:footnote w:id="44">
    <w:p w14:paraId="1A848370" w14:textId="3E347DEE" w:rsidR="009300D7" w:rsidRPr="006E6021" w:rsidRDefault="009300D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524E03" w:rsidRPr="008D3497" w:rsidRDefault="00524E03">
      <w:pPr>
        <w:pStyle w:val="FootnoteText"/>
        <w:rPr>
          <w:lang w:val="fr-CH"/>
        </w:rPr>
      </w:pPr>
      <w:r>
        <w:rPr>
          <w:rStyle w:val="FootnoteReference"/>
        </w:rPr>
        <w:footnoteRef/>
      </w:r>
      <w:r w:rsidRPr="00E42A2E">
        <w:rPr>
          <w:lang w:val="fr-CH"/>
        </w:rPr>
        <w:t xml:space="preserve"> </w:t>
      </w:r>
      <w:r w:rsidR="008D3497">
        <w:rPr>
          <w:lang w:val="fr-CH"/>
        </w:rPr>
        <w:t xml:space="preserve">Par des bruits de machines, mais rejoignant le discours envers des </w:t>
      </w:r>
      <w:r w:rsidR="008D3497">
        <w:rPr>
          <w:i/>
          <w:lang w:val="fr-CH"/>
        </w:rPr>
        <w:t>pod people</w:t>
      </w:r>
      <w:r w:rsidR="008D3497">
        <w:rPr>
          <w:lang w:val="fr-CH"/>
        </w:rPr>
        <w:t xml:space="preserve"> comme race inhumaine de par leur manque d’émotions.</w:t>
      </w:r>
    </w:p>
  </w:footnote>
  <w:footnote w:id="46">
    <w:p w14:paraId="71C11CF6" w14:textId="24E9F474" w:rsidR="0040612C" w:rsidRPr="0040612C" w:rsidRDefault="0040612C">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03227B" w:rsidRPr="00D71722" w:rsidRDefault="0003227B">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w:t>
      </w:r>
      <w:r w:rsidR="00171616">
        <w:rPr>
          <w:lang w:val="fr-CH"/>
        </w:rPr>
        <w:t xml:space="preserve"> une imposture qui s’aligne au reste du discours du film concernant la conformité et l’autorité (policière, mais aussi scientifique). </w:t>
      </w:r>
      <w:r w:rsidR="00171616" w:rsidRPr="00D71722">
        <w:rPr>
          <w:lang w:val="en-GB"/>
        </w:rPr>
        <w:t>Pour une discussion de ces questions d’autorité, voir</w:t>
      </w:r>
      <w:r w:rsidR="00EC56FC" w:rsidRPr="00D71722">
        <w:rPr>
          <w:lang w:val="en-GB"/>
        </w:rPr>
        <w:t xml:space="preserve"> David Lavery, « Departure of the Body Snatchers, or the Confessions on a Carbon Chauvinist », </w:t>
      </w:r>
      <w:r w:rsidR="00EC56FC" w:rsidRPr="00D71722">
        <w:rPr>
          <w:i/>
          <w:lang w:val="en-GB"/>
        </w:rPr>
        <w:t>The Hudson Review</w:t>
      </w:r>
      <w:r w:rsidR="00EC56FC" w:rsidRPr="00D71722">
        <w:rPr>
          <w:lang w:val="en-GB"/>
        </w:rPr>
        <w:t>, Vol. 39, N</w:t>
      </w:r>
      <w:r w:rsidR="00D71722" w:rsidRPr="00D71722">
        <w:rPr>
          <w:lang w:val="en-GB"/>
        </w:rPr>
        <w:t>o. 3, automne 1986, pp. 383-404 e</w:t>
      </w:r>
      <w:r w:rsidR="00D71722">
        <w:rPr>
          <w:lang w:val="en-GB"/>
        </w:rPr>
        <w:t xml:space="preserve">t </w:t>
      </w:r>
      <w:r w:rsidR="00D71722" w:rsidRPr="00D71722">
        <w:rPr>
          <w:lang w:val="en-US"/>
        </w:rPr>
        <w:t>Charles T.</w:t>
      </w:r>
      <w:r w:rsidR="00D71722">
        <w:rPr>
          <w:lang w:val="en-US"/>
        </w:rPr>
        <w:t xml:space="preserve"> Gregory</w:t>
      </w:r>
      <w:r w:rsidR="00D71722" w:rsidRPr="00D71722">
        <w:rPr>
          <w:lang w:val="en-US"/>
        </w:rPr>
        <w:t xml:space="preserve">, « The Pod Society Versus the Rugged Individualists », </w:t>
      </w:r>
      <w:r w:rsidR="00D71722" w:rsidRPr="00D71722">
        <w:rPr>
          <w:i/>
          <w:lang w:val="en-US"/>
        </w:rPr>
        <w:t>Journal of Popular Film</w:t>
      </w:r>
      <w:r w:rsidR="00D71722" w:rsidRPr="00D71722">
        <w:rPr>
          <w:lang w:val="en-US"/>
        </w:rPr>
        <w:t xml:space="preserve">, Vol. 1, No. 1, hiver 1972, pp. </w:t>
      </w:r>
      <w:r w:rsidR="00D71722">
        <w:rPr>
          <w:lang w:val="en-US"/>
        </w:rPr>
        <w:t>8-14</w:t>
      </w:r>
      <w:r w:rsidR="00D71722" w:rsidRPr="00D71722">
        <w:rPr>
          <w:lang w:val="en-US"/>
        </w:rPr>
        <w:t>.</w:t>
      </w:r>
    </w:p>
  </w:footnote>
  <w:footnote w:id="48">
    <w:p w14:paraId="5CF19A16" w14:textId="085FA7F9" w:rsidR="009300D7" w:rsidRPr="007C50CA" w:rsidRDefault="009300D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9">
    <w:p w14:paraId="34FB27AF" w14:textId="4BCC2EE8" w:rsidR="009300D7" w:rsidRPr="00111DFD" w:rsidRDefault="009300D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9300D7" w:rsidRPr="000619E7" w:rsidRDefault="009300D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9300D7" w:rsidRPr="00A77E2B" w:rsidRDefault="009300D7">
      <w:pPr>
        <w:pStyle w:val="FootnoteText"/>
      </w:pPr>
      <w:r>
        <w:rPr>
          <w:rStyle w:val="FootnoteReference"/>
        </w:rPr>
        <w:footnoteRef/>
      </w:r>
      <w:r>
        <w:t xml:space="preserve"> Qui récompense le spectateur connaissant son roman source.</w:t>
      </w:r>
    </w:p>
  </w:footnote>
  <w:footnote w:id="52">
    <w:p w14:paraId="5BF9C15F" w14:textId="67DC8EFE" w:rsidR="001A5734" w:rsidRPr="00BF5192" w:rsidRDefault="001A5734">
      <w:pPr>
        <w:pStyle w:val="FootnoteText"/>
        <w:rPr>
          <w:i/>
        </w:rPr>
      </w:pPr>
      <w:r>
        <w:rPr>
          <w:rStyle w:val="FootnoteReference"/>
        </w:rPr>
        <w:footnoteRef/>
      </w:r>
      <w:r>
        <w:t xml:space="preserve"> Fille du général commandant la base (</w:t>
      </w:r>
      <w:r w:rsidR="00BF5192">
        <w:t xml:space="preserve">porte-parole des </w:t>
      </w:r>
      <w:r w:rsidR="00BF5192">
        <w:rPr>
          <w:i/>
        </w:rPr>
        <w:t>pod people</w:t>
      </w:r>
      <w:r w:rsidR="00BF5192">
        <w:t xml:space="preserve"> dans la version de Ferrara) : le film joue ici de l’inversion de la figure d’autorité de Finney/Siegel, en plaçant une adolescente rebelle</w:t>
      </w:r>
      <w:r w:rsidR="006713C4">
        <w:t xml:space="preserve"> (mais quand même directement liée à l’autorité suprême de la base militaire)</w:t>
      </w:r>
      <w:r w:rsidR="00BF5192">
        <w:t xml:space="preserve"> dans la position de l’interrogateur.</w:t>
      </w:r>
    </w:p>
  </w:footnote>
  <w:footnote w:id="53">
    <w:p w14:paraId="64901509" w14:textId="79A99D42" w:rsidR="009300D7" w:rsidRPr="001E2F31" w:rsidRDefault="009300D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op. cit.</w:t>
      </w:r>
      <w:r w:rsidRPr="001E2F31">
        <w:t>, p</w:t>
      </w:r>
      <w:r>
        <w:t>p</w:t>
      </w:r>
      <w:r w:rsidRPr="001E2F31">
        <w:t xml:space="preserve">. </w:t>
      </w:r>
      <w:r>
        <w:t>139-140</w:t>
      </w:r>
      <w:r w:rsidRPr="001E2F31">
        <w:t>.</w:t>
      </w:r>
    </w:p>
  </w:footnote>
  <w:footnote w:id="54">
    <w:p w14:paraId="356D3C34" w14:textId="48885B0D" w:rsidR="009300D7" w:rsidRPr="00587903" w:rsidRDefault="009300D7">
      <w:pPr>
        <w:pStyle w:val="FootnoteText"/>
        <w:rPr>
          <w:lang w:val="en-GB"/>
        </w:rPr>
      </w:pPr>
      <w:r>
        <w:rPr>
          <w:rStyle w:val="FootnoteReference"/>
        </w:rPr>
        <w:footnoteRef/>
      </w:r>
      <w:r w:rsidRPr="00587903">
        <w:rPr>
          <w:lang w:val="en-GB"/>
        </w:rPr>
        <w:t xml:space="preserve"> « We didn’t look back.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55">
    <w:p w14:paraId="15487813" w14:textId="58697D88" w:rsidR="009300D7" w:rsidRPr="00861C32" w:rsidRDefault="009300D7">
      <w:pPr>
        <w:pStyle w:val="FootnoteText"/>
      </w:pPr>
      <w:r>
        <w:rPr>
          <w:rStyle w:val="FootnoteReference"/>
        </w:rPr>
        <w:footnoteRef/>
      </w:r>
      <w:r>
        <w:t xml:space="preserve"> Seule, cette fois ci.</w:t>
      </w:r>
    </w:p>
  </w:footnote>
  <w:footnote w:id="56">
    <w:p w14:paraId="3F4C0196" w14:textId="3D6FDF70" w:rsidR="009300D7" w:rsidRPr="006F7B40" w:rsidRDefault="009300D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9300D7" w:rsidRPr="005E3CE0" w:rsidRDefault="009300D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9300D7" w:rsidRPr="00CD11A3" w:rsidRDefault="009300D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9300D7" w:rsidRPr="00EA4307" w:rsidRDefault="009300D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13BDD426" w:rsidR="009300D7" w:rsidRPr="0046221B" w:rsidRDefault="009300D7"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9300D7" w:rsidRPr="0014095E" w:rsidRDefault="009300D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62">
    <w:p w14:paraId="4E0FFE15" w14:textId="76468A43" w:rsidR="009300D7" w:rsidRPr="000076D5" w:rsidRDefault="009300D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9300D7" w:rsidRPr="000076D5" w:rsidRDefault="009300D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64">
    <w:p w14:paraId="2CF855B4" w14:textId="5A2E74FB" w:rsidR="009300D7" w:rsidRPr="00C77F48" w:rsidRDefault="009300D7">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65">
    <w:p w14:paraId="5F804198" w14:textId="317B5BC8" w:rsidR="009300D7" w:rsidRPr="003D6827" w:rsidRDefault="009300D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66">
    <w:p w14:paraId="33D9C28A" w14:textId="3BB2FC47" w:rsidR="009300D7" w:rsidRPr="00350FDF" w:rsidRDefault="009300D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9300D7" w:rsidRPr="004503A3" w:rsidRDefault="009300D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9300D7" w:rsidRPr="00FD6FD5" w:rsidRDefault="009300D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9300D7" w:rsidRPr="00A320C8" w:rsidRDefault="009300D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70">
    <w:p w14:paraId="0B3B2F92" w14:textId="292F5EDF" w:rsidR="009300D7" w:rsidRPr="00441E4C" w:rsidRDefault="009300D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9300D7" w:rsidRPr="00A73CB2" w:rsidRDefault="009300D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9300D7" w:rsidRPr="00DB2BBD" w:rsidRDefault="009300D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9300D7" w:rsidRPr="005C68BF" w:rsidRDefault="009300D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9300D7" w:rsidRPr="00880154" w:rsidRDefault="009300D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9300D7" w:rsidRPr="006F5B76" w:rsidRDefault="009300D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9300D7" w:rsidRPr="00173138" w:rsidRDefault="009300D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9300D7" w:rsidRPr="00173138" w:rsidRDefault="009300D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9300D7" w:rsidRPr="00A60B3A" w:rsidRDefault="009300D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300D7" w:rsidRPr="00A60B3A" w:rsidRDefault="009300D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62D9F"/>
    <w:rsid w:val="00165D3F"/>
    <w:rsid w:val="0016799C"/>
    <w:rsid w:val="00171616"/>
    <w:rsid w:val="00173138"/>
    <w:rsid w:val="0017320C"/>
    <w:rsid w:val="001737D3"/>
    <w:rsid w:val="00174DF1"/>
    <w:rsid w:val="00180AF3"/>
    <w:rsid w:val="00182314"/>
    <w:rsid w:val="00187094"/>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A3261"/>
    <w:rsid w:val="004A38F3"/>
    <w:rsid w:val="004B2A45"/>
    <w:rsid w:val="004B4329"/>
    <w:rsid w:val="004B4F85"/>
    <w:rsid w:val="004C3583"/>
    <w:rsid w:val="004C4C04"/>
    <w:rsid w:val="004C4CE9"/>
    <w:rsid w:val="004C52B4"/>
    <w:rsid w:val="004C6A60"/>
    <w:rsid w:val="004D2C6F"/>
    <w:rsid w:val="004D383A"/>
    <w:rsid w:val="004D4B6F"/>
    <w:rsid w:val="004D5EAE"/>
    <w:rsid w:val="004E2BC7"/>
    <w:rsid w:val="004E3DD4"/>
    <w:rsid w:val="004E62A3"/>
    <w:rsid w:val="004E747B"/>
    <w:rsid w:val="004F50BF"/>
    <w:rsid w:val="004F5F1E"/>
    <w:rsid w:val="004F6744"/>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12EA"/>
    <w:rsid w:val="006C1C29"/>
    <w:rsid w:val="006C6A6A"/>
    <w:rsid w:val="006D0090"/>
    <w:rsid w:val="006D1E5C"/>
    <w:rsid w:val="006D2689"/>
    <w:rsid w:val="006D57C0"/>
    <w:rsid w:val="006E55DC"/>
    <w:rsid w:val="006E6021"/>
    <w:rsid w:val="006E7572"/>
    <w:rsid w:val="006E7E93"/>
    <w:rsid w:val="006F0155"/>
    <w:rsid w:val="006F0BCC"/>
    <w:rsid w:val="006F2F65"/>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418C"/>
    <w:rsid w:val="00755DC2"/>
    <w:rsid w:val="00761337"/>
    <w:rsid w:val="00766D6F"/>
    <w:rsid w:val="00772FF8"/>
    <w:rsid w:val="007737F8"/>
    <w:rsid w:val="00775155"/>
    <w:rsid w:val="0078071E"/>
    <w:rsid w:val="007814FC"/>
    <w:rsid w:val="007821EC"/>
    <w:rsid w:val="00782CBD"/>
    <w:rsid w:val="0078373E"/>
    <w:rsid w:val="00787726"/>
    <w:rsid w:val="007914D6"/>
    <w:rsid w:val="007920B5"/>
    <w:rsid w:val="00793445"/>
    <w:rsid w:val="00793AB5"/>
    <w:rsid w:val="00795BF6"/>
    <w:rsid w:val="00797B4F"/>
    <w:rsid w:val="007A0071"/>
    <w:rsid w:val="007A3A39"/>
    <w:rsid w:val="007A6397"/>
    <w:rsid w:val="007B0127"/>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87B"/>
    <w:rsid w:val="00AC0B7A"/>
    <w:rsid w:val="00AC1BF7"/>
    <w:rsid w:val="00AC22C4"/>
    <w:rsid w:val="00AC2FD6"/>
    <w:rsid w:val="00AD43D7"/>
    <w:rsid w:val="00AD62CD"/>
    <w:rsid w:val="00AD64B9"/>
    <w:rsid w:val="00AE2297"/>
    <w:rsid w:val="00AE47FE"/>
    <w:rsid w:val="00AE509F"/>
    <w:rsid w:val="00AE5AEA"/>
    <w:rsid w:val="00AE63DD"/>
    <w:rsid w:val="00AE7936"/>
    <w:rsid w:val="00AF0883"/>
    <w:rsid w:val="00AF114E"/>
    <w:rsid w:val="00AF430E"/>
    <w:rsid w:val="00B00158"/>
    <w:rsid w:val="00B0125D"/>
    <w:rsid w:val="00B01815"/>
    <w:rsid w:val="00B02260"/>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45A3"/>
    <w:rsid w:val="00BC46A0"/>
    <w:rsid w:val="00BC739F"/>
    <w:rsid w:val="00BC788E"/>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F02"/>
    <w:rsid w:val="00C7223B"/>
    <w:rsid w:val="00C72D1F"/>
    <w:rsid w:val="00C75684"/>
    <w:rsid w:val="00C77086"/>
    <w:rsid w:val="00C77557"/>
    <w:rsid w:val="00C77F48"/>
    <w:rsid w:val="00C82211"/>
    <w:rsid w:val="00C83CD2"/>
    <w:rsid w:val="00C866E9"/>
    <w:rsid w:val="00C8691C"/>
    <w:rsid w:val="00C9045C"/>
    <w:rsid w:val="00C90BCD"/>
    <w:rsid w:val="00C91909"/>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74E0D0B-31F4-8A4D-917C-2A50832C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4951</Words>
  <Characters>26739</Characters>
  <Application>Microsoft Macintosh Word</Application>
  <DocSecurity>0</DocSecurity>
  <Lines>2056</Lines>
  <Paragraphs>2263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118</cp:revision>
  <dcterms:created xsi:type="dcterms:W3CDTF">2016-12-13T23:22:00Z</dcterms:created>
  <dcterms:modified xsi:type="dcterms:W3CDTF">2016-12-17T14:05:00Z</dcterms:modified>
</cp:coreProperties>
</file>