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102C4880" w:rsidR="008C08B5" w:rsidRPr="00236668" w:rsidRDefault="00AB375C" w:rsidP="00541737">
      <w:pPr>
        <w:pStyle w:val="Heading1"/>
        <w:rPr>
          <w:lang w:val="fr-CH"/>
        </w:rPr>
      </w:pPr>
      <w:r w:rsidRPr="00236668">
        <w:rPr>
          <w:lang w:val="fr-CH"/>
        </w:rPr>
        <w:t>Conclusion</w:t>
      </w:r>
    </w:p>
    <w:p w14:paraId="03E4A15A" w14:textId="01E572C7" w:rsidR="008C1F63" w:rsidRPr="00D71F40" w:rsidRDefault="00170ACD" w:rsidP="00EB361E">
      <w:pPr>
        <w:pStyle w:val="Mmoire"/>
        <w:rPr>
          <w:lang w:val="fr-CH"/>
        </w:rPr>
      </w:pPr>
      <w:r w:rsidRPr="00CA1323">
        <w:rPr>
          <w:lang w:val="fr-CH"/>
        </w:rPr>
        <w:t>Dans un article s’intéressant</w:t>
      </w:r>
      <w:r w:rsidR="00655BF5" w:rsidRPr="00CA1323">
        <w:rPr>
          <w:lang w:val="fr-CH"/>
        </w:rPr>
        <w:t xml:space="preserve"> aux stratégies d’auto-canonisation du producteur américain Walt Disney</w:t>
      </w:r>
      <w:r w:rsidR="00D426BC" w:rsidRPr="00CA1323">
        <w:rPr>
          <w:rStyle w:val="FootnoteReference"/>
          <w:lang w:val="fr-CH"/>
        </w:rPr>
        <w:footnoteReference w:id="1"/>
      </w:r>
      <w:r w:rsidRPr="00CA1323">
        <w:rPr>
          <w:lang w:val="fr-CH"/>
        </w:rPr>
        <w:t xml:space="preserve">, Dick </w:t>
      </w:r>
      <w:r w:rsidR="00EA4249" w:rsidRPr="00CA1323">
        <w:rPr>
          <w:lang w:val="fr-CH"/>
        </w:rPr>
        <w:t xml:space="preserve">Tomasovic </w:t>
      </w:r>
      <w:r w:rsidR="00A754C0" w:rsidRPr="00CA1323">
        <w:rPr>
          <w:lang w:val="fr-CH"/>
        </w:rPr>
        <w:t xml:space="preserve">évoque une exposition </w:t>
      </w:r>
      <w:r w:rsidR="000A04FA">
        <w:rPr>
          <w:lang w:val="fr-CH"/>
        </w:rPr>
        <w:t>à Paris en</w:t>
      </w:r>
      <w:r w:rsidR="00A754C0" w:rsidRPr="00CA1323">
        <w:rPr>
          <w:lang w:val="fr-CH"/>
        </w:rPr>
        <w:t xml:space="preserve"> 2006 dédié</w:t>
      </w:r>
      <w:r w:rsidR="006F330F" w:rsidRPr="00CA1323">
        <w:rPr>
          <w:lang w:val="fr-CH"/>
        </w:rPr>
        <w:t xml:space="preserve">e </w:t>
      </w:r>
      <w:r w:rsidR="00727A37" w:rsidRPr="00CA1323">
        <w:rPr>
          <w:lang w:val="fr-CH"/>
        </w:rPr>
        <w:t xml:space="preserve">au producteur, dont il interprète la conception </w:t>
      </w:r>
      <w:r w:rsidR="00012FA0" w:rsidRPr="00CA1323">
        <w:rPr>
          <w:lang w:val="fr-CH"/>
        </w:rPr>
        <w:t xml:space="preserve">comme une tentative de canonisation de son sujet. L’auteur évoque </w:t>
      </w:r>
      <w:r w:rsidR="00224E12" w:rsidRPr="00CA1323">
        <w:rPr>
          <w:lang w:val="fr-CH"/>
        </w:rPr>
        <w:t>le paradoxe sur lequel cette exposition se construit : « Disney et ses œuvres se trouvent canonisés par une exposition qui se donne pour ambition d’expliquer les raisons mêmes de cette canonisation. C’est évidemment d’abord quelque peu naïf. »</w:t>
      </w:r>
      <w:r w:rsidR="00224E12" w:rsidRPr="00CA1323">
        <w:rPr>
          <w:rStyle w:val="FootnoteReference"/>
          <w:lang w:val="fr-CH"/>
        </w:rPr>
        <w:footnoteReference w:id="2"/>
      </w:r>
      <w:r w:rsidR="008C16C9" w:rsidRPr="00CA1323">
        <w:rPr>
          <w:lang w:val="fr-CH"/>
        </w:rPr>
        <w:t xml:space="preserve">. L’auteur procède ensuite à </w:t>
      </w:r>
      <w:r w:rsidR="001C0A1F">
        <w:rPr>
          <w:lang w:val="fr-CH"/>
        </w:rPr>
        <w:t>voir</w:t>
      </w:r>
      <w:r w:rsidR="008C16C9" w:rsidRPr="00CA1323">
        <w:rPr>
          <w:lang w:val="fr-CH"/>
        </w:rPr>
        <w:t xml:space="preserve">, à travers cinq films Disney, comment ces derniers constituent une </w:t>
      </w:r>
      <w:r w:rsidR="00405A7C">
        <w:rPr>
          <w:lang w:val="fr-CH"/>
        </w:rPr>
        <w:t xml:space="preserve">partie intégrante d’une </w:t>
      </w:r>
      <w:r w:rsidR="008C16C9" w:rsidRPr="00CA1323">
        <w:rPr>
          <w:lang w:val="fr-CH"/>
        </w:rPr>
        <w:t>stratégie</w:t>
      </w:r>
      <w:r w:rsidR="003272E0" w:rsidRPr="00CA1323">
        <w:rPr>
          <w:lang w:val="fr-CH"/>
        </w:rPr>
        <w:t xml:space="preserve"> d’auto-</w:t>
      </w:r>
      <w:r w:rsidR="008C16C9" w:rsidRPr="00CA1323">
        <w:rPr>
          <w:lang w:val="fr-CH"/>
        </w:rPr>
        <w:t xml:space="preserve">canonisation </w:t>
      </w:r>
      <w:r w:rsidR="003272E0" w:rsidRPr="00CA1323">
        <w:rPr>
          <w:lang w:val="fr-CH"/>
        </w:rPr>
        <w:t xml:space="preserve">– consciente – de </w:t>
      </w:r>
      <w:r w:rsidR="00194BB0" w:rsidRPr="00CA1323">
        <w:rPr>
          <w:lang w:val="fr-CH"/>
        </w:rPr>
        <w:t>la part du producteur.</w:t>
      </w:r>
      <w:r w:rsidR="00D71F40" w:rsidRPr="00CA1323">
        <w:rPr>
          <w:lang w:val="fr-CH"/>
        </w:rPr>
        <w:t xml:space="preserve"> Si cette approche se concentre sur un seul </w:t>
      </w:r>
      <w:r w:rsidR="00D71F40" w:rsidRPr="00CA1323">
        <w:rPr>
          <w:i/>
          <w:lang w:val="fr-CH"/>
        </w:rPr>
        <w:t>auteur</w:t>
      </w:r>
      <w:r w:rsidR="00D71F40" w:rsidRPr="00CA1323">
        <w:rPr>
          <w:lang w:val="fr-CH"/>
        </w:rPr>
        <w:t xml:space="preserve"> disposant d’un contrôle total sur les cinq films, et que dans le cas </w:t>
      </w:r>
      <w:r w:rsidR="00D71F40" w:rsidRPr="00CA1323">
        <w:rPr>
          <w:i/>
          <w:lang w:val="fr-CH"/>
        </w:rPr>
        <w:t xml:space="preserve">Invasion of the Body </w:t>
      </w:r>
      <w:r w:rsidR="00D71F40" w:rsidRPr="00CA1323">
        <w:rPr>
          <w:lang w:val="fr-CH"/>
        </w:rPr>
        <w:t xml:space="preserve">Snatchers les quatre films sont des œuvres indépendantes </w:t>
      </w:r>
      <w:r w:rsidR="008940EB" w:rsidRPr="00CA1323">
        <w:rPr>
          <w:lang w:val="fr-CH"/>
        </w:rPr>
        <w:t xml:space="preserve">dont le processus de production diffère grandement de celui des films de Disney en termes de contrôle auterial, </w:t>
      </w:r>
      <w:r w:rsidR="00D71F40" w:rsidRPr="00CA1323">
        <w:rPr>
          <w:lang w:val="fr-CH"/>
        </w:rPr>
        <w:t xml:space="preserve">ce travail a </w:t>
      </w:r>
      <w:r w:rsidR="000A04FA">
        <w:rPr>
          <w:lang w:val="fr-CH"/>
        </w:rPr>
        <w:t>cherché</w:t>
      </w:r>
      <w:r w:rsidR="000A04FA" w:rsidRPr="00CA1323">
        <w:rPr>
          <w:lang w:val="fr-CH"/>
        </w:rPr>
        <w:t xml:space="preserve"> </w:t>
      </w:r>
      <w:r w:rsidR="00D71F40" w:rsidRPr="00CA1323">
        <w:rPr>
          <w:lang w:val="fr-CH"/>
        </w:rPr>
        <w:t>à révéler une</w:t>
      </w:r>
      <w:r w:rsidR="008940EB" w:rsidRPr="00CA1323">
        <w:rPr>
          <w:lang w:val="fr-CH"/>
        </w:rPr>
        <w:t xml:space="preserve"> </w:t>
      </w:r>
      <w:r w:rsidR="00D71F40" w:rsidRPr="00CA1323">
        <w:rPr>
          <w:lang w:val="fr-CH"/>
        </w:rPr>
        <w:t>stratégie d’auto-canonisation</w:t>
      </w:r>
      <w:r w:rsidR="000A04FA">
        <w:rPr>
          <w:lang w:val="fr-CH"/>
        </w:rPr>
        <w:t xml:space="preserve"> similaire</w:t>
      </w:r>
      <w:r w:rsidR="00D71F40" w:rsidRPr="00CA1323">
        <w:rPr>
          <w:lang w:val="fr-CH"/>
        </w:rPr>
        <w:t xml:space="preserve"> </w:t>
      </w:r>
      <w:r w:rsidR="00034BBA" w:rsidRPr="00CA1323">
        <w:rPr>
          <w:lang w:val="fr-CH"/>
        </w:rPr>
        <w:t>présente d’une part dans les textes filmiques, mais également dans les discours se rattachant aux films.</w:t>
      </w:r>
    </w:p>
    <w:p w14:paraId="6588DE39" w14:textId="79BB5FD0" w:rsidR="00EB361E" w:rsidRDefault="00525B76" w:rsidP="00EB361E">
      <w:pPr>
        <w:pStyle w:val="Mmoire"/>
      </w:pPr>
      <w:r>
        <w:t>Malgré le volume important d</w:t>
      </w:r>
      <w:r w:rsidR="00236668">
        <w:t xml:space="preserve">e discours académiques relatifs au film de Siegel et à sa série de remakes, la </w:t>
      </w:r>
      <w:r w:rsidR="00771C36">
        <w:t xml:space="preserve">question de sa canonisation n’est jamais directement abordée par les auteurs. </w:t>
      </w:r>
      <w:r w:rsidR="00937423">
        <w:t>Parmi les pistes évoquées</w:t>
      </w:r>
      <w:r w:rsidR="005E0602">
        <w:t xml:space="preserve"> dans l’introduction générale</w:t>
      </w:r>
      <w:r w:rsidR="00937423">
        <w:t xml:space="preserve">, ce travail a proposé de se concentrer sur celle du remake. Afin de cerner la question du remake, il a d’abord été question des origines littéraires du film et en quoi ces dernières ont </w:t>
      </w:r>
      <w:r w:rsidR="00CA1345">
        <w:t xml:space="preserve">créé des conditions favorables </w:t>
      </w:r>
      <w:r w:rsidR="00C36D17">
        <w:t xml:space="preserve">à l’existence de la série via l’instabilité de leur texte. Il a ensuite été question de </w:t>
      </w:r>
      <w:r w:rsidR="005F5A09">
        <w:t xml:space="preserve">considérer les tensions entre </w:t>
      </w:r>
      <w:r w:rsidR="004775D3">
        <w:t>réflexivité</w:t>
      </w:r>
      <w:r w:rsidR="005F5A09">
        <w:t xml:space="preserve"> et originalité </w:t>
      </w:r>
      <w:r w:rsidR="004775D3">
        <w:t xml:space="preserve">problématisées au sein même du texte filmique des remakes. Finalement, il s’est agi de discerner dans les discours </w:t>
      </w:r>
      <w:r w:rsidR="00194B06">
        <w:t>autours</w:t>
      </w:r>
      <w:r w:rsidR="004775D3">
        <w:t xml:space="preserve"> films </w:t>
      </w:r>
      <w:r w:rsidR="00194B06">
        <w:t xml:space="preserve">la construction de </w:t>
      </w:r>
      <w:r w:rsidR="00194B06">
        <w:rPr>
          <w:i/>
        </w:rPr>
        <w:t>Invasion of the Body Snatchers</w:t>
      </w:r>
      <w:r w:rsidR="00194B06">
        <w:t xml:space="preserve"> comme un classique du cinéma.</w:t>
      </w:r>
    </w:p>
    <w:p w14:paraId="4E01B6D5" w14:textId="77777777" w:rsidR="00F56664" w:rsidRDefault="00F56664" w:rsidP="00F56664"/>
    <w:p w14:paraId="173A2405" w14:textId="5C105302" w:rsidR="006F02A9" w:rsidRDefault="00F56664" w:rsidP="006F02A9">
      <w:pPr>
        <w:pStyle w:val="Mmoire"/>
        <w:rPr>
          <w:lang w:val="fr-CH"/>
        </w:rPr>
      </w:pPr>
      <w:r>
        <w:lastRenderedPageBreak/>
        <w:tab/>
      </w:r>
      <w:r w:rsidR="006F02A9">
        <w:rPr>
          <w:lang w:val="fr-CH"/>
        </w:rPr>
        <w:tab/>
      </w:r>
      <w:r w:rsidR="00B579BB">
        <w:rPr>
          <w:lang w:val="fr-CH"/>
        </w:rPr>
        <w:t>L</w:t>
      </w:r>
      <w:r w:rsidR="0033216D">
        <w:rPr>
          <w:lang w:val="fr-CH"/>
        </w:rPr>
        <w:t>a</w:t>
      </w:r>
      <w:r w:rsidR="00B579BB">
        <w:rPr>
          <w:lang w:val="fr-CH"/>
        </w:rPr>
        <w:t xml:space="preserve"> premi</w:t>
      </w:r>
      <w:r w:rsidR="0033216D">
        <w:rPr>
          <w:lang w:val="fr-CH"/>
        </w:rPr>
        <w:t>è</w:t>
      </w:r>
      <w:r w:rsidR="00B579BB">
        <w:rPr>
          <w:lang w:val="fr-CH"/>
        </w:rPr>
        <w:t>r</w:t>
      </w:r>
      <w:r w:rsidR="0033216D">
        <w:rPr>
          <w:lang w:val="fr-CH"/>
        </w:rPr>
        <w:t>e</w:t>
      </w:r>
      <w:r w:rsidR="00B579BB">
        <w:rPr>
          <w:lang w:val="fr-CH"/>
        </w:rPr>
        <w:t xml:space="preserve"> </w:t>
      </w:r>
      <w:r w:rsidR="0033216D">
        <w:rPr>
          <w:lang w:val="fr-CH"/>
        </w:rPr>
        <w:t>partie</w:t>
      </w:r>
      <w:r w:rsidR="006F02A9">
        <w:rPr>
          <w:lang w:val="fr-CH"/>
        </w:rPr>
        <w:t xml:space="preserve"> a permis </w:t>
      </w:r>
      <w:r w:rsidR="00AA1408">
        <w:rPr>
          <w:lang w:val="fr-CH"/>
        </w:rPr>
        <w:t xml:space="preserve">de </w:t>
      </w:r>
      <w:r w:rsidR="009805B1">
        <w:rPr>
          <w:lang w:val="fr-CH"/>
        </w:rPr>
        <w:t xml:space="preserve">dessiner une définition générale du canon cinématographique, </w:t>
      </w:r>
      <w:r w:rsidR="006F02A9">
        <w:rPr>
          <w:lang w:val="fr-CH"/>
        </w:rPr>
        <w:t>d’effectuer une rétrospective sur la réception critique des films en se focalisant sur la manière dont les discours se construisent autour du lien qu’entretient un film avec ses prédécesseurs</w:t>
      </w:r>
      <w:r w:rsidR="00AA26DF">
        <w:rPr>
          <w:lang w:val="fr-CH"/>
        </w:rPr>
        <w:t xml:space="preserve"> dans sa </w:t>
      </w:r>
      <w:r w:rsidR="00B86EE2">
        <w:rPr>
          <w:lang w:val="fr-CH"/>
        </w:rPr>
        <w:t>réception</w:t>
      </w:r>
      <w:r w:rsidR="00AA26DF">
        <w:rPr>
          <w:lang w:val="fr-CH"/>
        </w:rPr>
        <w:t xml:space="preserve"> critique</w:t>
      </w:r>
      <w:r w:rsidR="00007F6A">
        <w:rPr>
          <w:lang w:val="fr-CH"/>
        </w:rPr>
        <w:t>.</w:t>
      </w:r>
      <w:r w:rsidR="006F02A9">
        <w:rPr>
          <w:lang w:val="fr-CH"/>
        </w:rPr>
        <w:t xml:space="preserve"> </w:t>
      </w:r>
      <w:r w:rsidR="00007F6A">
        <w:rPr>
          <w:lang w:val="fr-CH"/>
        </w:rPr>
        <w:t>I</w:t>
      </w:r>
      <w:r w:rsidR="006F02A9">
        <w:rPr>
          <w:lang w:val="fr-CH"/>
        </w:rPr>
        <w:t xml:space="preserve">l a également été question de l’hybridité générique des films et de ses conséquences supposées sur la </w:t>
      </w:r>
      <w:r w:rsidR="006F02A9">
        <w:rPr>
          <w:i/>
          <w:lang w:val="fr-CH"/>
        </w:rPr>
        <w:t>série</w:t>
      </w:r>
      <w:r w:rsidR="006F02A9">
        <w:rPr>
          <w:lang w:val="fr-CH"/>
        </w:rPr>
        <w:t xml:space="preserve">, et, finalement, il a été question de la foison d’interprétations offerte aussi bien par la critique que par le milieu académique. </w:t>
      </w:r>
      <w:r w:rsidR="00173416">
        <w:rPr>
          <w:lang w:val="fr-CH"/>
        </w:rPr>
        <w:t>Ce bilan historiographique à permit tout d’abord de montrer que</w:t>
      </w:r>
      <w:r w:rsidR="008A5FAB">
        <w:rPr>
          <w:lang w:val="fr-CH"/>
        </w:rPr>
        <w:t xml:space="preserve"> </w:t>
      </w:r>
      <w:r w:rsidR="000B77BC">
        <w:rPr>
          <w:lang w:val="fr-CH"/>
        </w:rPr>
        <w:t>les discours autour du canon en proposent plusieurs typologies variées</w:t>
      </w:r>
      <w:r w:rsidR="008A5FAB">
        <w:rPr>
          <w:lang w:val="fr-CH"/>
        </w:rPr>
        <w:t xml:space="preserve"> et que</w:t>
      </w:r>
      <w:r w:rsidR="00173416">
        <w:rPr>
          <w:lang w:val="fr-CH"/>
        </w:rPr>
        <w:t xml:space="preserve"> le statut du film de Siegel en tant que « classique » se construit progressivement dans la réception critique de ses remakes, et que l’hybridité générique de la série </w:t>
      </w:r>
      <w:r w:rsidR="009F3A30">
        <w:rPr>
          <w:lang w:val="fr-CH"/>
        </w:rPr>
        <w:t xml:space="preserve">– peu relevée dans les discours sur le film – est rarement évoquée. </w:t>
      </w:r>
      <w:r w:rsidR="00084008">
        <w:rPr>
          <w:lang w:val="fr-CH"/>
        </w:rPr>
        <w:t xml:space="preserve">Cette </w:t>
      </w:r>
      <w:r w:rsidR="006E544C">
        <w:rPr>
          <w:lang w:val="fr-CH"/>
        </w:rPr>
        <w:t xml:space="preserve">instabilité des genres, tirant ses racines dans le texte de Finney, est </w:t>
      </w:r>
      <w:r w:rsidR="001E6D0B">
        <w:rPr>
          <w:lang w:val="fr-CH"/>
        </w:rPr>
        <w:t>occultée au profit d</w:t>
      </w:r>
      <w:r w:rsidR="00C14803">
        <w:rPr>
          <w:lang w:val="fr-CH"/>
        </w:rPr>
        <w:t xml:space="preserve">es interprétations qu’il offre. En effet, </w:t>
      </w:r>
      <w:r w:rsidR="00DF0F3B">
        <w:rPr>
          <w:lang w:val="fr-CH"/>
        </w:rPr>
        <w:t>l’étude des textes académiques liés au</w:t>
      </w:r>
      <w:r w:rsidR="00CF7729">
        <w:rPr>
          <w:lang w:val="fr-CH"/>
        </w:rPr>
        <w:t>x</w:t>
      </w:r>
      <w:r w:rsidR="00DF0F3B">
        <w:rPr>
          <w:lang w:val="fr-CH"/>
        </w:rPr>
        <w:t xml:space="preserve"> film</w:t>
      </w:r>
      <w:r w:rsidR="00CF7729">
        <w:rPr>
          <w:lang w:val="fr-CH"/>
        </w:rPr>
        <w:t>s</w:t>
      </w:r>
      <w:r w:rsidR="00DF0F3B">
        <w:rPr>
          <w:lang w:val="fr-CH"/>
        </w:rPr>
        <w:t xml:space="preserve"> ont permis de montrer </w:t>
      </w:r>
      <w:r w:rsidR="0052402F">
        <w:rPr>
          <w:lang w:val="fr-CH"/>
        </w:rPr>
        <w:t xml:space="preserve">sa légitimation progressive </w:t>
      </w:r>
      <w:r w:rsidR="000C544B">
        <w:rPr>
          <w:lang w:val="fr-CH"/>
        </w:rPr>
        <w:t>comme objet d’étude</w:t>
      </w:r>
      <w:r w:rsidR="003361D0">
        <w:rPr>
          <w:lang w:val="fr-CH"/>
        </w:rPr>
        <w:t xml:space="preserve"> </w:t>
      </w:r>
      <w:r w:rsidR="000C544B">
        <w:rPr>
          <w:lang w:val="fr-CH"/>
        </w:rPr>
        <w:t xml:space="preserve">: à la fois </w:t>
      </w:r>
      <w:r w:rsidR="003652CA">
        <w:rPr>
          <w:lang w:val="fr-CH"/>
        </w:rPr>
        <w:t>po</w:t>
      </w:r>
      <w:r w:rsidR="00ED2C20">
        <w:rPr>
          <w:lang w:val="fr-CH"/>
        </w:rPr>
        <w:t xml:space="preserve">ur </w:t>
      </w:r>
      <w:r w:rsidR="003C6F1A">
        <w:rPr>
          <w:lang w:val="fr-CH"/>
        </w:rPr>
        <w:t>leur</w:t>
      </w:r>
      <w:r w:rsidR="00ED2C20">
        <w:rPr>
          <w:lang w:val="fr-CH"/>
        </w:rPr>
        <w:t xml:space="preserve"> valeur </w:t>
      </w:r>
      <w:r w:rsidR="000C544B">
        <w:rPr>
          <w:lang w:val="fr-CH"/>
        </w:rPr>
        <w:t>de commentaire</w:t>
      </w:r>
      <w:r w:rsidR="00ED2C20">
        <w:rPr>
          <w:lang w:val="fr-CH"/>
        </w:rPr>
        <w:t xml:space="preserve"> sur une certaine pratique </w:t>
      </w:r>
      <w:r w:rsidR="009534CE">
        <w:rPr>
          <w:lang w:val="fr-CH"/>
        </w:rPr>
        <w:t xml:space="preserve">artistique ou </w:t>
      </w:r>
      <w:r w:rsidR="00A938A5">
        <w:rPr>
          <w:lang w:val="fr-CH"/>
        </w:rPr>
        <w:t>industrielle</w:t>
      </w:r>
      <w:r w:rsidR="00173EC4">
        <w:rPr>
          <w:lang w:val="fr-CH"/>
        </w:rPr>
        <w:t>,</w:t>
      </w:r>
      <w:r w:rsidR="000C544B">
        <w:rPr>
          <w:lang w:val="fr-CH"/>
        </w:rPr>
        <w:t xml:space="preserve"> mais également de reflet</w:t>
      </w:r>
      <w:r w:rsidR="003C6F1A">
        <w:rPr>
          <w:lang w:val="fr-CH"/>
        </w:rPr>
        <w:t xml:space="preserve"> </w:t>
      </w:r>
      <w:r w:rsidR="00173EC4">
        <w:rPr>
          <w:lang w:val="fr-CH"/>
        </w:rPr>
        <w:t>de leur</w:t>
      </w:r>
      <w:r w:rsidR="00D133AB">
        <w:rPr>
          <w:lang w:val="fr-CH"/>
        </w:rPr>
        <w:t>s</w:t>
      </w:r>
      <w:r w:rsidR="00173EC4">
        <w:rPr>
          <w:lang w:val="fr-CH"/>
        </w:rPr>
        <w:t xml:space="preserve"> contextes</w:t>
      </w:r>
      <w:r w:rsidR="00D133AB">
        <w:rPr>
          <w:lang w:val="fr-CH"/>
        </w:rPr>
        <w:t xml:space="preserve"> </w:t>
      </w:r>
      <w:r w:rsidR="00357A6F">
        <w:rPr>
          <w:lang w:val="fr-CH"/>
        </w:rPr>
        <w:t xml:space="preserve">socio-politiques </w:t>
      </w:r>
      <w:r w:rsidR="00D133AB">
        <w:rPr>
          <w:lang w:val="fr-CH"/>
        </w:rPr>
        <w:t>de production respectif</w:t>
      </w:r>
      <w:r w:rsidR="003D38F6">
        <w:rPr>
          <w:lang w:val="fr-CH"/>
        </w:rPr>
        <w:t>s</w:t>
      </w:r>
      <w:r w:rsidR="00B74CDA">
        <w:rPr>
          <w:lang w:val="fr-CH"/>
        </w:rPr>
        <w:t xml:space="preserve"> de par sa potentialité allégorique</w:t>
      </w:r>
      <w:r w:rsidR="00D133AB">
        <w:rPr>
          <w:lang w:val="fr-CH"/>
        </w:rPr>
        <w:t>.</w:t>
      </w:r>
    </w:p>
    <w:p w14:paraId="32CFE76A" w14:textId="5931560A" w:rsidR="00F56664" w:rsidRDefault="00492374" w:rsidP="00EA5998">
      <w:pPr>
        <w:pStyle w:val="Mmoire"/>
        <w:ind w:firstLine="720"/>
      </w:pPr>
      <w:r w:rsidRPr="00FF398A">
        <w:t>Dans l</w:t>
      </w:r>
      <w:r w:rsidR="00FA3DAE" w:rsidRPr="00FF398A">
        <w:t>a</w:t>
      </w:r>
      <w:r w:rsidRPr="00FF398A">
        <w:t xml:space="preserve"> </w:t>
      </w:r>
      <w:r w:rsidR="00FA3DAE" w:rsidRPr="00FF398A">
        <w:t>deuxième</w:t>
      </w:r>
      <w:r w:rsidRPr="00FF398A">
        <w:t xml:space="preserve"> </w:t>
      </w:r>
      <w:r w:rsidR="00FA3DAE" w:rsidRPr="00FF398A">
        <w:t>partie</w:t>
      </w:r>
      <w:r w:rsidR="006F02A9" w:rsidRPr="00FF398A">
        <w:t xml:space="preserve">, </w:t>
      </w:r>
      <w:r w:rsidR="00DE4B94" w:rsidRPr="00FF398A">
        <w:t xml:space="preserve">il a été question des origines littéraires de </w:t>
      </w:r>
      <w:r w:rsidR="00DE4B94" w:rsidRPr="00FF398A">
        <w:rPr>
          <w:i/>
        </w:rPr>
        <w:t>Invasion of the Body Snatchers</w:t>
      </w:r>
      <w:r w:rsidR="00DE4B94" w:rsidRPr="00FF398A">
        <w:t xml:space="preserve">, tout d’abord du feuilleton en trois parties publié dans </w:t>
      </w:r>
      <w:r w:rsidR="00DE4B94" w:rsidRPr="00FF398A">
        <w:rPr>
          <w:i/>
        </w:rPr>
        <w:t xml:space="preserve">Collider’s </w:t>
      </w:r>
      <w:r w:rsidR="00DE4B94" w:rsidRPr="00FF398A">
        <w:t xml:space="preserve">puis de la publication sous forme romanesque en 1955 et ses éditions ultérieures. Une lecture comparée entre les différents textes (feuilleton, film de Siegel et roman) a montré </w:t>
      </w:r>
      <w:r w:rsidR="000F3F7A">
        <w:t>qu’</w:t>
      </w:r>
      <w:r w:rsidR="00FF398A">
        <w:t>un dialogue intertextuel</w:t>
      </w:r>
      <w:r w:rsidR="00EB03FB">
        <w:t xml:space="preserve"> </w:t>
      </w:r>
      <w:r w:rsidR="000F3F7A">
        <w:t xml:space="preserve">entre les </w:t>
      </w:r>
      <w:r w:rsidR="00DE4B94" w:rsidRPr="00FF398A">
        <w:t>texte</w:t>
      </w:r>
      <w:r w:rsidR="00EB03FB">
        <w:t>s de Finney</w:t>
      </w:r>
      <w:r w:rsidR="00DE4B94" w:rsidRPr="00FF398A">
        <w:t xml:space="preserve"> </w:t>
      </w:r>
      <w:r w:rsidR="000F3F7A">
        <w:t>et</w:t>
      </w:r>
      <w:r w:rsidR="00DE4B94" w:rsidRPr="00FF398A">
        <w:t xml:space="preserve"> </w:t>
      </w:r>
      <w:r w:rsidR="000F3F7A">
        <w:t>l’</w:t>
      </w:r>
      <w:r w:rsidR="00DE4B94" w:rsidRPr="00FF398A">
        <w:t>adaptation cinématographique</w:t>
      </w:r>
      <w:r w:rsidR="00D42A48">
        <w:t xml:space="preserve"> avait lieu</w:t>
      </w:r>
      <w:r w:rsidR="00F8064F">
        <w:t xml:space="preserve">. </w:t>
      </w:r>
      <w:r w:rsidR="00DE4B94" w:rsidRPr="00FF398A">
        <w:t xml:space="preserve">La lecture croisée a permis de constater une certaine porosité entre le film et le roman, ce premier informant une partie des changements opérés par Finney lors du transfert de son œuvre </w:t>
      </w:r>
      <w:r w:rsidR="004455FF">
        <w:t>vers la forme romanesque</w:t>
      </w:r>
      <w:r w:rsidR="00DE4B94" w:rsidRPr="00FF398A">
        <w:t>. Finalement, un retour sur l’historique de publication du roman de Finney a permis de constater que les changements apportés au fil des éditions trouvent un certain écho dans la trajectoire de ses versions filmiques</w:t>
      </w:r>
      <w:r w:rsidR="002151FD">
        <w:t> ; écho qui peut être considéré comme une strat</w:t>
      </w:r>
      <w:r w:rsidR="00B7674D">
        <w:t>égie de convergence médiatique</w:t>
      </w:r>
      <w:r w:rsidR="009F21B8">
        <w:t xml:space="preserve"> visant à créer des synergies entre sortie des films et réédition des romans, mais qui a également pour effet de prolonger l’intertextualité entre films et roman bien après sa première adaptation</w:t>
      </w:r>
      <w:r w:rsidR="00B7674D">
        <w:t>.</w:t>
      </w:r>
      <w:r w:rsidR="00DE4B94" w:rsidRPr="00FF398A">
        <w:t xml:space="preserve"> L’analyse effectuée permet de dresser un premier bilan quant au rôle du remake dans le processus de canonisation d’une œuvre filmique adaptée d’une source </w:t>
      </w:r>
      <w:r w:rsidR="00DE4B94" w:rsidRPr="00FF398A">
        <w:lastRenderedPageBreak/>
        <w:t>littéraire</w:t>
      </w:r>
      <w:r w:rsidR="00DE4B94" w:rsidRPr="00FF398A">
        <w:rPr>
          <w:rStyle w:val="FootnoteReference"/>
        </w:rPr>
        <w:footnoteReference w:id="3"/>
      </w:r>
      <w:r w:rsidR="00DE4B94" w:rsidRPr="00FF398A">
        <w:t xml:space="preserve">, et de mesurer le rôle </w:t>
      </w:r>
      <w:r w:rsidR="007610B1">
        <w:t xml:space="preserve">de l’œuvre </w:t>
      </w:r>
      <w:r w:rsidR="00F30BCA">
        <w:t>source</w:t>
      </w:r>
      <w:r w:rsidR="00DE4B94" w:rsidRPr="00FF398A">
        <w:t xml:space="preserve"> comme créatrice </w:t>
      </w:r>
      <w:r w:rsidR="008608B9">
        <w:t>du récit matriciel formant une formule</w:t>
      </w:r>
      <w:r w:rsidR="00DE4B94" w:rsidRPr="00FF398A">
        <w:t xml:space="preserve"> </w:t>
      </w:r>
      <w:r w:rsidR="008608B9">
        <w:t>ensuite redéployée dans toute la série</w:t>
      </w:r>
      <w:r w:rsidR="00DE4B94" w:rsidRPr="00FF398A">
        <w:t>.</w:t>
      </w:r>
    </w:p>
    <w:p w14:paraId="792D2842" w14:textId="50C33124" w:rsidR="006F02A9" w:rsidRPr="008A7FFD" w:rsidRDefault="006F02A9" w:rsidP="006F02A9">
      <w:pPr>
        <w:pStyle w:val="Mmoire"/>
      </w:pPr>
      <w:r>
        <w:rPr>
          <w:lang w:val="fr-CH"/>
        </w:rPr>
        <w:tab/>
      </w:r>
      <w:r w:rsidRPr="00A37137">
        <w:rPr>
          <w:lang w:val="fr-CH"/>
        </w:rPr>
        <w:t xml:space="preserve">Dans </w:t>
      </w:r>
      <w:r w:rsidR="003C7D67" w:rsidRPr="00A37137">
        <w:rPr>
          <w:lang w:val="fr-CH"/>
        </w:rPr>
        <w:t>l</w:t>
      </w:r>
      <w:r w:rsidR="0033216D" w:rsidRPr="00A37137">
        <w:rPr>
          <w:lang w:val="fr-CH"/>
        </w:rPr>
        <w:t>a</w:t>
      </w:r>
      <w:r w:rsidR="003C7D67" w:rsidRPr="00A37137">
        <w:rPr>
          <w:lang w:val="fr-CH"/>
        </w:rPr>
        <w:t xml:space="preserve"> </w:t>
      </w:r>
      <w:r w:rsidR="00B14971" w:rsidRPr="00A37137">
        <w:rPr>
          <w:lang w:val="fr-CH"/>
        </w:rPr>
        <w:t>troisième</w:t>
      </w:r>
      <w:r w:rsidR="003C7D67" w:rsidRPr="00A37137">
        <w:rPr>
          <w:lang w:val="fr-CH"/>
        </w:rPr>
        <w:t xml:space="preserve"> </w:t>
      </w:r>
      <w:r w:rsidR="0033216D" w:rsidRPr="00A37137">
        <w:rPr>
          <w:lang w:val="fr-CH"/>
        </w:rPr>
        <w:t>partie</w:t>
      </w:r>
      <w:r w:rsidR="008A7FFD" w:rsidRPr="00A37137">
        <w:rPr>
          <w:lang w:val="fr-CH"/>
        </w:rPr>
        <w:t>, il a été question des liens</w:t>
      </w:r>
      <w:r w:rsidR="008A70E1">
        <w:rPr>
          <w:lang w:val="fr-CH"/>
        </w:rPr>
        <w:t xml:space="preserve"> intertextuels</w:t>
      </w:r>
      <w:r w:rsidR="008A7FFD" w:rsidRPr="00A37137">
        <w:rPr>
          <w:lang w:val="fr-CH"/>
        </w:rPr>
        <w:t xml:space="preserve"> qu’entretiennent les différents films du corpus des remakes officiels et de la manière dont ces liens </w:t>
      </w:r>
      <w:r w:rsidR="00BD4399">
        <w:rPr>
          <w:lang w:val="fr-CH"/>
        </w:rPr>
        <w:t>révèlent</w:t>
      </w:r>
      <w:r w:rsidR="008A7FFD" w:rsidRPr="00A37137">
        <w:rPr>
          <w:lang w:val="fr-CH"/>
        </w:rPr>
        <w:t xml:space="preserve"> </w:t>
      </w:r>
      <w:r w:rsidR="00495356">
        <w:rPr>
          <w:lang w:val="fr-CH"/>
        </w:rPr>
        <w:t>la</w:t>
      </w:r>
      <w:r w:rsidR="008A7FFD" w:rsidRPr="00A37137">
        <w:rPr>
          <w:lang w:val="fr-CH"/>
        </w:rPr>
        <w:t xml:space="preserve"> </w:t>
      </w:r>
      <w:r w:rsidR="00C42FA6">
        <w:rPr>
          <w:lang w:val="fr-CH"/>
        </w:rPr>
        <w:t>dialectique</w:t>
      </w:r>
      <w:r w:rsidR="008A7FFD" w:rsidRPr="00A37137">
        <w:rPr>
          <w:lang w:val="fr-CH"/>
        </w:rPr>
        <w:t xml:space="preserve"> entre réflexivité et originalité centrale à tout remake. Les éléments narratifs comme le générique d’ouverture et l’utilisation d’une voix off et la récurrence de figures comme le cri des </w:t>
      </w:r>
      <w:r w:rsidR="008A7FFD" w:rsidRPr="00A37137">
        <w:rPr>
          <w:i/>
          <w:lang w:val="fr-CH"/>
        </w:rPr>
        <w:t>pod people</w:t>
      </w:r>
      <w:r w:rsidR="008A7FFD" w:rsidRPr="00A37137">
        <w:rPr>
          <w:lang w:val="fr-CH"/>
        </w:rPr>
        <w:t xml:space="preserve"> ou la scène de camouflage </w:t>
      </w:r>
      <w:r w:rsidR="00DB7B8E">
        <w:rPr>
          <w:lang w:val="fr-CH"/>
        </w:rPr>
        <w:t xml:space="preserve">rendent évidente </w:t>
      </w:r>
      <w:r w:rsidR="008A7FFD" w:rsidRPr="00A37137">
        <w:rPr>
          <w:lang w:val="fr-CH"/>
        </w:rPr>
        <w:t>cette tension : celle d’un texte cherchant à se démarquer d’un autre tout en lui rendant hommage. Finalement, il a été question du statut de la série : si la suite du film est systématiquement présentée comme une série de remakes par la critique (journalistique, spécialisée et académique), les débordements et déplacements spatio-temporels d’un film au suivant permettent tout autant de considérer le corpus comme une série de fictions plurielles reposant sur la même formule</w:t>
      </w:r>
      <w:r w:rsidR="008A7FFD" w:rsidRPr="00A37137">
        <w:rPr>
          <w:rStyle w:val="FootnoteReference"/>
          <w:lang w:val="fr-CH"/>
        </w:rPr>
        <w:footnoteReference w:id="4"/>
      </w:r>
      <w:r w:rsidR="00201882">
        <w:rPr>
          <w:lang w:val="fr-CH"/>
        </w:rPr>
        <w:t xml:space="preserve"> matricielle</w:t>
      </w:r>
      <w:r w:rsidR="008A7FFD" w:rsidRPr="00A37137">
        <w:rPr>
          <w:lang w:val="fr-CH"/>
        </w:rPr>
        <w:t xml:space="preserve">. Le monde de </w:t>
      </w:r>
      <w:r w:rsidR="008A7FFD" w:rsidRPr="00A37137">
        <w:rPr>
          <w:i/>
          <w:lang w:val="fr-CH"/>
        </w:rPr>
        <w:t>Invasion of the Body Snatchers</w:t>
      </w:r>
      <w:r w:rsidR="008A7FFD" w:rsidRPr="00A37137">
        <w:rPr>
          <w:lang w:val="fr-CH"/>
        </w:rPr>
        <w:t xml:space="preserve"> serait donc un monde diégétique cohérent, et chacune des versions une occurrence de la série reprenant la même formule</w:t>
      </w:r>
      <w:r w:rsidR="008A7FFD" w:rsidRPr="00A37137">
        <w:rPr>
          <w:rStyle w:val="FootnoteReference"/>
          <w:lang w:val="fr-CH"/>
        </w:rPr>
        <w:footnoteReference w:id="5"/>
      </w:r>
      <w:r w:rsidR="008A7FFD" w:rsidRPr="00A37137">
        <w:rPr>
          <w:lang w:val="fr-CH"/>
        </w:rPr>
        <w:t xml:space="preserve"> mais opérant un déplacement spatio-temporel. Dans tous les cas, l’ensemble de ces éléments montre comment chaque film de la série, de par son texte, y confirme son appartenance tout en problématisant son essence-même. En reconduisant certains motifs et schémas narratifs, </w:t>
      </w:r>
      <w:r w:rsidR="005E639A">
        <w:rPr>
          <w:lang w:val="fr-CH"/>
        </w:rPr>
        <w:t>chaque version</w:t>
      </w:r>
      <w:r w:rsidR="008A7FFD" w:rsidRPr="00A37137">
        <w:rPr>
          <w:lang w:val="fr-CH"/>
        </w:rPr>
        <w:t xml:space="preserve"> valide l’existence des précédent</w:t>
      </w:r>
      <w:r w:rsidR="00FF5B91">
        <w:rPr>
          <w:lang w:val="fr-CH"/>
        </w:rPr>
        <w:t>e</w:t>
      </w:r>
      <w:r w:rsidR="008A7FFD" w:rsidRPr="00A37137">
        <w:rPr>
          <w:lang w:val="fr-CH"/>
        </w:rPr>
        <w:t>s et assure que leu</w:t>
      </w:r>
      <w:r w:rsidR="002D13A7">
        <w:rPr>
          <w:lang w:val="fr-CH"/>
        </w:rPr>
        <w:t>r existence ne soit pas oubliée</w:t>
      </w:r>
      <w:r w:rsidR="00DB771B">
        <w:rPr>
          <w:lang w:val="fr-CH"/>
        </w:rPr>
        <w:t> ;</w:t>
      </w:r>
      <w:r w:rsidR="008A7FFD" w:rsidRPr="00A37137">
        <w:rPr>
          <w:lang w:val="fr-CH"/>
        </w:rPr>
        <w:t xml:space="preserve"> </w:t>
      </w:r>
      <w:r w:rsidR="00FF5B91">
        <w:rPr>
          <w:lang w:val="fr-CH"/>
        </w:rPr>
        <w:t>puisque c’est son existence même qui en dépends</w:t>
      </w:r>
      <w:r w:rsidR="008A7FFD" w:rsidRPr="00A37137">
        <w:rPr>
          <w:lang w:val="fr-CH"/>
        </w:rPr>
        <w:t>.</w:t>
      </w:r>
    </w:p>
    <w:p w14:paraId="14E543EF" w14:textId="6BE5C49C" w:rsidR="006F02A9" w:rsidRDefault="006F02A9" w:rsidP="006F02A9">
      <w:pPr>
        <w:pStyle w:val="Mmoire"/>
        <w:rPr>
          <w:lang w:val="fr-CH"/>
        </w:rPr>
      </w:pPr>
      <w:r>
        <w:rPr>
          <w:lang w:val="fr-CH"/>
        </w:rPr>
        <w:tab/>
      </w:r>
      <w:r w:rsidR="00667872">
        <w:rPr>
          <w:lang w:val="fr-CH"/>
        </w:rPr>
        <w:t>Finalement, d</w:t>
      </w:r>
      <w:r w:rsidR="00C741AA">
        <w:rPr>
          <w:lang w:val="fr-CH"/>
        </w:rPr>
        <w:t>ans l</w:t>
      </w:r>
      <w:r w:rsidR="0033216D">
        <w:rPr>
          <w:lang w:val="fr-CH"/>
        </w:rPr>
        <w:t>a</w:t>
      </w:r>
      <w:r w:rsidR="00C741AA">
        <w:rPr>
          <w:lang w:val="fr-CH"/>
        </w:rPr>
        <w:t xml:space="preserve"> </w:t>
      </w:r>
      <w:r w:rsidR="001163C3">
        <w:rPr>
          <w:lang w:val="fr-CH"/>
        </w:rPr>
        <w:t>quatrième</w:t>
      </w:r>
      <w:r w:rsidR="00C741AA">
        <w:rPr>
          <w:lang w:val="fr-CH"/>
        </w:rPr>
        <w:t xml:space="preserve"> </w:t>
      </w:r>
      <w:r w:rsidR="0033216D">
        <w:rPr>
          <w:lang w:val="fr-CH"/>
        </w:rPr>
        <w:t>partie</w:t>
      </w:r>
      <w:r>
        <w:rPr>
          <w:lang w:val="fr-CH"/>
        </w:rPr>
        <w:t xml:space="preserve">, il a été question de l’évolution du statut des films à travers le </w:t>
      </w:r>
      <w:r w:rsidRPr="00C33052">
        <w:rPr>
          <w:lang w:val="fr-CH"/>
        </w:rPr>
        <w:t>discours de leurs auteurs</w:t>
      </w:r>
      <w:r>
        <w:rPr>
          <w:lang w:val="fr-CH"/>
        </w:rPr>
        <w:t xml:space="preserve">, de leur diffusion ultérieure et des discours académique y étant attachés. L’étude de ces </w:t>
      </w:r>
      <w:r w:rsidRPr="0097241B">
        <w:rPr>
          <w:lang w:val="fr-CH"/>
        </w:rPr>
        <w:t>trois vecteurs</w:t>
      </w:r>
      <w:r>
        <w:rPr>
          <w:lang w:val="fr-CH"/>
        </w:rPr>
        <w:t xml:space="preserve"> de canonisation a montré que ce changement de statut n’est pas imputable à un seul élément isolable, mais plutôt à un ensemble de facteurs </w:t>
      </w:r>
      <w:r>
        <w:rPr>
          <w:lang w:val="fr-CH"/>
        </w:rPr>
        <w:lastRenderedPageBreak/>
        <w:t>interdépendants. Cette dépendance pouvant prendre même forme au sein d’un seul de ces vecteurs en particuliers</w:t>
      </w:r>
      <w:r w:rsidR="00C33052">
        <w:rPr>
          <w:lang w:val="fr-CH"/>
        </w:rPr>
        <w:t xml:space="preserve"> </w:t>
      </w:r>
      <w:r w:rsidRPr="00C33052">
        <w:rPr>
          <w:lang w:val="fr-CH"/>
        </w:rPr>
        <w:t>:</w:t>
      </w:r>
      <w:r>
        <w:rPr>
          <w:lang w:val="fr-CH"/>
        </w:rPr>
        <w:t xml:space="preserve"> le discours de Siegel étant rendu possible par sa relative réussite commerciale et le statut d’auteur qui lui est rétroactivement attribué, </w:t>
      </w:r>
      <w:r>
        <w:rPr>
          <w:i/>
          <w:lang w:val="fr-CH"/>
        </w:rPr>
        <w:t>Invasion of the Body Snatchers</w:t>
      </w:r>
      <w:r>
        <w:rPr>
          <w:lang w:val="fr-CH"/>
        </w:rPr>
        <w:t xml:space="preserve"> participant d’une certaine mesure de cette réévaluation. Cette dépendance peut se manifester </w:t>
      </w:r>
      <w:r w:rsidR="00736BA8">
        <w:rPr>
          <w:lang w:val="fr-CH"/>
        </w:rPr>
        <w:t>dans ses aspects très pratiques</w:t>
      </w:r>
      <w:r w:rsidR="00C33052">
        <w:rPr>
          <w:lang w:val="fr-CH"/>
        </w:rPr>
        <w:t xml:space="preserve"> </w:t>
      </w:r>
      <w:r w:rsidRPr="00C33052">
        <w:rPr>
          <w:lang w:val="fr-CH"/>
        </w:rPr>
        <w:t>:</w:t>
      </w:r>
      <w:r>
        <w:rPr>
          <w:lang w:val="fr-CH"/>
        </w:rPr>
        <w:t xml:space="preserve"> l’accès facilité au film par ses rediffusions télévisées facilite grandement le travail de chercheurs, et peut s’avérer un facteur décisif dans l’inclusion du film dans un discours. Les trois vecteurs analysés dans ce</w:t>
      </w:r>
      <w:r w:rsidR="0033216D">
        <w:rPr>
          <w:lang w:val="fr-CH"/>
        </w:rPr>
        <w:t>tte</w:t>
      </w:r>
      <w:r>
        <w:rPr>
          <w:lang w:val="fr-CH"/>
        </w:rPr>
        <w:t xml:space="preserve"> </w:t>
      </w:r>
      <w:r w:rsidR="0033216D">
        <w:rPr>
          <w:lang w:val="fr-CH"/>
        </w:rPr>
        <w:t>partie</w:t>
      </w:r>
      <w:r>
        <w:rPr>
          <w:lang w:val="fr-CH"/>
        </w:rPr>
        <w:t xml:space="preserve"> ne sont certainement pas les seuls ayant cont</w:t>
      </w:r>
      <w:r w:rsidR="00C4505E">
        <w:rPr>
          <w:lang w:val="fr-CH"/>
        </w:rPr>
        <w:t>ribué à la canonisation du film</w:t>
      </w:r>
      <w:r w:rsidR="009D3173">
        <w:rPr>
          <w:lang w:val="fr-CH"/>
        </w:rPr>
        <w:t xml:space="preserve"> </w:t>
      </w:r>
      <w:r>
        <w:rPr>
          <w:lang w:val="fr-CH"/>
        </w:rPr>
        <w:t>: les discours d’autres réalisateurs sur le film</w:t>
      </w:r>
      <w:r>
        <w:rPr>
          <w:rStyle w:val="FootnoteReference"/>
          <w:lang w:val="fr-CH"/>
        </w:rPr>
        <w:footnoteReference w:id="6"/>
      </w:r>
      <w:r>
        <w:rPr>
          <w:lang w:val="fr-CH"/>
        </w:rPr>
        <w:t xml:space="preserve">, mythes autour de la postproduction des films de Siegel, Ferrara et Hirschbiegel, </w:t>
      </w:r>
      <w:r w:rsidR="0097241B">
        <w:rPr>
          <w:lang w:val="fr-CH"/>
        </w:rPr>
        <w:t xml:space="preserve">et </w:t>
      </w:r>
      <w:r>
        <w:rPr>
          <w:lang w:val="fr-CH"/>
        </w:rPr>
        <w:t>la réarticulation de certains de ses motifs dans d’autres productions audio-visuelle</w:t>
      </w:r>
      <w:r w:rsidR="0097241B">
        <w:rPr>
          <w:lang w:val="fr-CH"/>
        </w:rPr>
        <w:t>s.</w:t>
      </w:r>
      <w:r>
        <w:rPr>
          <w:lang w:val="fr-CH"/>
        </w:rPr>
        <w:t xml:space="preserve"> Les facteurs étudiés ont relevé l’importance du processus de remake dans cette canonisation </w:t>
      </w:r>
      <w:r w:rsidRPr="006F11E1">
        <w:rPr>
          <w:lang w:val="fr-CH"/>
        </w:rPr>
        <w:t>:</w:t>
      </w:r>
      <w:r>
        <w:rPr>
          <w:lang w:val="fr-CH"/>
        </w:rPr>
        <w:t xml:space="preserve"> la sortie du remake coïncidant avec l’intensification du rythme de publication d’articles académiques relatifs au film, et permettant également à de nouveaux réalisateurs</w:t>
      </w:r>
      <w:r>
        <w:rPr>
          <w:rStyle w:val="FootnoteReference"/>
          <w:lang w:val="fr-CH"/>
        </w:rPr>
        <w:footnoteReference w:id="7"/>
      </w:r>
      <w:r>
        <w:rPr>
          <w:lang w:val="fr-CH"/>
        </w:rPr>
        <w:t xml:space="preserve"> de s’exprimer sur les œuvres antérieures. Le remake, sans être une condition </w:t>
      </w:r>
      <w:r w:rsidRPr="00E60A6A">
        <w:rPr>
          <w:i/>
          <w:lang w:val="fr-CH"/>
        </w:rPr>
        <w:t>sine qua non</w:t>
      </w:r>
      <w:r>
        <w:rPr>
          <w:lang w:val="fr-CH"/>
        </w:rPr>
        <w:t xml:space="preserve"> de la réévaluation du statut d’un film, semble pourtant entretenir une relation dialectique de co-dépendance avec son œuvre source</w:t>
      </w:r>
      <w:r w:rsidR="0097241B">
        <w:rPr>
          <w:lang w:val="fr-CH"/>
        </w:rPr>
        <w:t xml:space="preserve"> et</w:t>
      </w:r>
      <w:r>
        <w:rPr>
          <w:lang w:val="fr-CH"/>
        </w:rPr>
        <w:t xml:space="preserve"> puis</w:t>
      </w:r>
      <w:r w:rsidR="0097241B">
        <w:rPr>
          <w:lang w:val="fr-CH"/>
        </w:rPr>
        <w:t>e</w:t>
      </w:r>
      <w:r>
        <w:rPr>
          <w:lang w:val="fr-CH"/>
        </w:rPr>
        <w:t xml:space="preserve"> </w:t>
      </w:r>
      <w:r w:rsidR="0097241B">
        <w:rPr>
          <w:lang w:val="fr-CH"/>
        </w:rPr>
        <w:t>dans</w:t>
      </w:r>
      <w:r>
        <w:rPr>
          <w:lang w:val="fr-CH"/>
        </w:rPr>
        <w:t xml:space="preserve"> son </w:t>
      </w:r>
      <w:r>
        <w:rPr>
          <w:i/>
          <w:lang w:val="fr-CH"/>
        </w:rPr>
        <w:t>aura</w:t>
      </w:r>
      <w:r w:rsidR="004773E2">
        <w:rPr>
          <w:rStyle w:val="FootnoteReference"/>
          <w:i/>
          <w:lang w:val="fr-CH"/>
        </w:rPr>
        <w:footnoteReference w:id="8"/>
      </w:r>
      <w:r>
        <w:rPr>
          <w:lang w:val="fr-CH"/>
        </w:rPr>
        <w:t xml:space="preserve"> tout en confirmant cette dernière.</w:t>
      </w:r>
    </w:p>
    <w:p w14:paraId="26A858ED" w14:textId="77777777" w:rsidR="00736BA8" w:rsidRDefault="00736BA8" w:rsidP="00736BA8">
      <w:pPr>
        <w:rPr>
          <w:lang w:val="fr-CH"/>
        </w:rPr>
      </w:pPr>
    </w:p>
    <w:p w14:paraId="7FF6BAF6" w14:textId="20BE4721" w:rsidR="00736BA8" w:rsidRDefault="00736BA8" w:rsidP="00846C6C">
      <w:pPr>
        <w:pStyle w:val="Mmoire"/>
        <w:rPr>
          <w:lang w:val="fr-CH"/>
        </w:rPr>
      </w:pPr>
      <w:r>
        <w:rPr>
          <w:lang w:val="fr-CH"/>
        </w:rPr>
        <w:tab/>
      </w:r>
      <w:r w:rsidR="00846C6C">
        <w:rPr>
          <w:lang w:val="fr-CH"/>
        </w:rPr>
        <w:t>Bien q</w:t>
      </w:r>
      <w:r w:rsidR="00E97203">
        <w:rPr>
          <w:lang w:val="fr-CH"/>
        </w:rPr>
        <w:t xml:space="preserve">ue ce travail ait montré </w:t>
      </w:r>
      <w:r w:rsidR="00E97203" w:rsidRPr="001D46C1">
        <w:rPr>
          <w:lang w:val="fr-CH"/>
        </w:rPr>
        <w:t>que l’instabilité</w:t>
      </w:r>
      <w:r w:rsidR="001D46C1" w:rsidRPr="001D46C1">
        <w:rPr>
          <w:rStyle w:val="FootnoteReference"/>
          <w:lang w:val="fr-CH"/>
        </w:rPr>
        <w:footnoteReference w:id="9"/>
      </w:r>
      <w:r w:rsidR="00E97203" w:rsidRPr="001D46C1">
        <w:rPr>
          <w:lang w:val="fr-CH"/>
        </w:rPr>
        <w:t xml:space="preserve"> du récit</w:t>
      </w:r>
      <w:r w:rsidR="00E97203">
        <w:rPr>
          <w:lang w:val="fr-CH"/>
        </w:rPr>
        <w:t xml:space="preserve"> de Finney aie crée un terrain fertile pour les</w:t>
      </w:r>
      <w:r w:rsidR="00846C6C">
        <w:rPr>
          <w:lang w:val="fr-CH"/>
        </w:rPr>
        <w:t xml:space="preserve"> remakes</w:t>
      </w:r>
      <w:r w:rsidR="00E97203">
        <w:rPr>
          <w:lang w:val="fr-CH"/>
        </w:rPr>
        <w:t>, et que ceux-ci</w:t>
      </w:r>
      <w:r w:rsidR="00846C6C">
        <w:rPr>
          <w:lang w:val="fr-CH"/>
        </w:rPr>
        <w:t xml:space="preserve"> ont sans aucun doute contribué au changement progressif du statut du film de Siegel</w:t>
      </w:r>
      <w:r w:rsidR="00BA1BA6">
        <w:rPr>
          <w:lang w:val="fr-CH"/>
        </w:rPr>
        <w:t xml:space="preserve">, </w:t>
      </w:r>
      <w:r w:rsidR="00DD1365">
        <w:rPr>
          <w:lang w:val="fr-CH"/>
        </w:rPr>
        <w:t>il serait faux de postuler qu’il en est le seul</w:t>
      </w:r>
      <w:r w:rsidR="00C16615">
        <w:rPr>
          <w:lang w:val="fr-CH"/>
        </w:rPr>
        <w:t xml:space="preserve"> </w:t>
      </w:r>
      <w:r w:rsidR="00DD1365" w:rsidRPr="00C16615">
        <w:rPr>
          <w:lang w:val="fr-CH"/>
        </w:rPr>
        <w:t>:</w:t>
      </w:r>
      <w:r w:rsidR="00DD1365">
        <w:rPr>
          <w:lang w:val="fr-CH"/>
        </w:rPr>
        <w:t xml:space="preserve"> l’apparition progressive du statut d’auteur dans le champ académique et critique durant toute la moitié </w:t>
      </w:r>
      <w:r w:rsidR="00DD1365">
        <w:rPr>
          <w:lang w:val="fr-CH"/>
        </w:rPr>
        <w:lastRenderedPageBreak/>
        <w:t>deuxième du XX</w:t>
      </w:r>
      <w:r w:rsidR="00DD1365" w:rsidRPr="00DD1365">
        <w:rPr>
          <w:vertAlign w:val="superscript"/>
          <w:lang w:val="fr-CH"/>
        </w:rPr>
        <w:t>ème</w:t>
      </w:r>
      <w:r w:rsidR="00DD1365">
        <w:rPr>
          <w:lang w:val="fr-CH"/>
        </w:rPr>
        <w:t xml:space="preserve"> siècle</w:t>
      </w:r>
      <w:r w:rsidR="00DD1365">
        <w:rPr>
          <w:rStyle w:val="FootnoteReference"/>
          <w:lang w:val="fr-CH"/>
        </w:rPr>
        <w:footnoteReference w:id="10"/>
      </w:r>
      <w:r w:rsidR="00684B2F">
        <w:rPr>
          <w:lang w:val="fr-CH"/>
        </w:rPr>
        <w:t>, la réévaluation des films de série B dans la critique académique</w:t>
      </w:r>
      <w:r w:rsidR="00684B2F">
        <w:rPr>
          <w:rStyle w:val="FootnoteReference"/>
          <w:lang w:val="fr-CH"/>
        </w:rPr>
        <w:footnoteReference w:id="11"/>
      </w:r>
      <w:r w:rsidR="00A65C80">
        <w:rPr>
          <w:lang w:val="fr-CH"/>
        </w:rPr>
        <w:t xml:space="preserve">, </w:t>
      </w:r>
      <w:r w:rsidR="00BF2B1D">
        <w:rPr>
          <w:lang w:val="fr-CH"/>
        </w:rPr>
        <w:t>sa potentialité d’interprétation dans des champs divers</w:t>
      </w:r>
      <w:r w:rsidR="00B90FE3">
        <w:rPr>
          <w:lang w:val="fr-CH"/>
        </w:rPr>
        <w:t xml:space="preserve">, </w:t>
      </w:r>
      <w:r w:rsidR="00934601">
        <w:rPr>
          <w:lang w:val="fr-CH"/>
        </w:rPr>
        <w:t xml:space="preserve">les connivences avec la série anglaise </w:t>
      </w:r>
      <w:r w:rsidR="00934601">
        <w:rPr>
          <w:i/>
          <w:lang w:val="fr-CH"/>
        </w:rPr>
        <w:t>Quartermass</w:t>
      </w:r>
      <w:r w:rsidR="002A7659">
        <w:rPr>
          <w:rStyle w:val="FootnoteReference"/>
          <w:i/>
          <w:lang w:val="fr-CH"/>
        </w:rPr>
        <w:footnoteReference w:id="12"/>
      </w:r>
      <w:r w:rsidR="00934601">
        <w:rPr>
          <w:i/>
          <w:lang w:val="fr-CH"/>
        </w:rPr>
        <w:t xml:space="preserve"> </w:t>
      </w:r>
      <w:r w:rsidR="00E65549">
        <w:rPr>
          <w:lang w:val="fr-CH"/>
        </w:rPr>
        <w:t>elle aussi partie intégrant</w:t>
      </w:r>
      <w:r w:rsidR="00C16615">
        <w:rPr>
          <w:lang w:val="fr-CH"/>
        </w:rPr>
        <w:t>e du canon de la science-fiction.</w:t>
      </w:r>
      <w:r w:rsidR="00990D42">
        <w:rPr>
          <w:lang w:val="fr-CH"/>
        </w:rPr>
        <w:t xml:space="preserve"> </w:t>
      </w:r>
      <w:r w:rsidR="00A47453">
        <w:rPr>
          <w:lang w:val="fr-CH"/>
        </w:rPr>
        <w:t xml:space="preserve">Il </w:t>
      </w:r>
      <w:r w:rsidR="006315B1">
        <w:rPr>
          <w:lang w:val="fr-CH"/>
        </w:rPr>
        <w:t xml:space="preserve">n’est même pas certain qu’une étude plus exhaustive parvienne à </w:t>
      </w:r>
      <w:r w:rsidR="00276681">
        <w:rPr>
          <w:lang w:val="fr-CH"/>
        </w:rPr>
        <w:t>décrire dans ses détails les plus précis le processus de canonisation qu’</w:t>
      </w:r>
      <w:r w:rsidR="00ED36F9">
        <w:rPr>
          <w:lang w:val="fr-CH"/>
        </w:rPr>
        <w:t>a</w:t>
      </w:r>
      <w:r w:rsidR="00276681">
        <w:rPr>
          <w:lang w:val="fr-CH"/>
        </w:rPr>
        <w:t xml:space="preserve"> connu </w:t>
      </w:r>
      <w:r w:rsidR="00FC2139">
        <w:rPr>
          <w:i/>
          <w:lang w:val="fr-CH"/>
        </w:rPr>
        <w:t>Invasion of the Body Snatchers</w:t>
      </w:r>
      <w:r w:rsidR="00FC2139">
        <w:rPr>
          <w:lang w:val="fr-CH"/>
        </w:rPr>
        <w:t>.</w:t>
      </w:r>
    </w:p>
    <w:p w14:paraId="60E355F0" w14:textId="3F02DE8A" w:rsidR="00E704AF" w:rsidRPr="00885AFE" w:rsidRDefault="00E704AF" w:rsidP="00E704AF">
      <w:pPr>
        <w:pStyle w:val="Mmoire"/>
        <w:rPr>
          <w:lang w:val="fr-CH"/>
        </w:rPr>
      </w:pPr>
      <w:r>
        <w:rPr>
          <w:lang w:val="fr-CH"/>
        </w:rPr>
        <w:tab/>
        <w:t>Quoi qu’il en soit, la place qu’occupe aujourd’hui le film dans l’imaginaire collectif est indéniable</w:t>
      </w:r>
      <w:r w:rsidR="00110A5A">
        <w:rPr>
          <w:lang w:val="fr-CH"/>
        </w:rPr>
        <w:t xml:space="preserve"> </w:t>
      </w:r>
      <w:r w:rsidR="00CD23DB">
        <w:rPr>
          <w:lang w:val="fr-CH"/>
        </w:rPr>
        <w:t>:</w:t>
      </w:r>
      <w:r>
        <w:rPr>
          <w:lang w:val="fr-CH"/>
        </w:rPr>
        <w:t xml:space="preserve"> des images iconiques de la série se retrouvent régulièrement dans la culture populaire (fig. </w:t>
      </w:r>
      <w:r w:rsidR="00522CE6">
        <w:rPr>
          <w:lang w:val="fr-CH"/>
        </w:rPr>
        <w:t>26</w:t>
      </w:r>
      <w:r>
        <w:rPr>
          <w:lang w:val="fr-CH"/>
        </w:rPr>
        <w:t xml:space="preserve">), son </w:t>
      </w:r>
      <w:r w:rsidR="00E149A4">
        <w:rPr>
          <w:lang w:val="fr-CH"/>
        </w:rPr>
        <w:t>postulat de départ a au moins donné naissance à une série télévisée</w:t>
      </w:r>
      <w:r w:rsidR="00E149A4">
        <w:rPr>
          <w:rStyle w:val="FootnoteReference"/>
          <w:lang w:val="fr-CH"/>
        </w:rPr>
        <w:footnoteReference w:id="13"/>
      </w:r>
      <w:r w:rsidR="00E149A4">
        <w:rPr>
          <w:lang w:val="fr-CH"/>
        </w:rPr>
        <w:t xml:space="preserve"> et inspiré plusieurs épisodes d’</w:t>
      </w:r>
      <w:r w:rsidR="006B6889">
        <w:rPr>
          <w:lang w:val="fr-CH"/>
        </w:rPr>
        <w:t>autres</w:t>
      </w:r>
      <w:r w:rsidR="009F4EAA">
        <w:rPr>
          <w:lang w:val="fr-CH"/>
        </w:rPr>
        <w:t xml:space="preserve"> (fig. 2</w:t>
      </w:r>
      <w:r w:rsidR="00522CE6">
        <w:rPr>
          <w:lang w:val="fr-CH"/>
        </w:rPr>
        <w:t>7</w:t>
      </w:r>
      <w:r w:rsidR="009F4EAA">
        <w:rPr>
          <w:lang w:val="fr-CH"/>
        </w:rPr>
        <w:t>)</w:t>
      </w:r>
      <w:r w:rsidR="00E149A4">
        <w:rPr>
          <w:lang w:val="fr-CH"/>
        </w:rPr>
        <w:t xml:space="preserve">, </w:t>
      </w:r>
      <w:r w:rsidR="00CD23DB">
        <w:rPr>
          <w:lang w:val="fr-CH"/>
        </w:rPr>
        <w:t>le remake</w:t>
      </w:r>
      <w:r w:rsidR="00CD23DB">
        <w:rPr>
          <w:rStyle w:val="FootnoteReference"/>
          <w:lang w:val="fr-CH"/>
        </w:rPr>
        <w:footnoteReference w:id="14"/>
      </w:r>
      <w:r w:rsidR="00CD23DB">
        <w:rPr>
          <w:lang w:val="fr-CH"/>
        </w:rPr>
        <w:t xml:space="preserve"> de </w:t>
      </w:r>
      <w:r w:rsidR="00CD23DB">
        <w:rPr>
          <w:i/>
          <w:lang w:val="fr-CH"/>
        </w:rPr>
        <w:t>The Stepford Wives</w:t>
      </w:r>
      <w:r w:rsidR="00CD23DB">
        <w:rPr>
          <w:rStyle w:val="FootnoteReference"/>
          <w:i/>
          <w:lang w:val="fr-CH"/>
        </w:rPr>
        <w:footnoteReference w:id="15"/>
      </w:r>
      <w:r w:rsidR="002066C9">
        <w:rPr>
          <w:lang w:val="fr-CH"/>
        </w:rPr>
        <w:t xml:space="preserve"> </w:t>
      </w:r>
      <w:r w:rsidR="00C96F0F">
        <w:rPr>
          <w:lang w:val="fr-CH"/>
        </w:rPr>
        <w:t>–</w:t>
      </w:r>
      <w:r w:rsidR="00D634C3">
        <w:rPr>
          <w:lang w:val="fr-CH"/>
        </w:rPr>
        <w:t xml:space="preserve"> film dont l’histoire repose également sur la duplication des membres d’une communauté </w:t>
      </w:r>
      <w:r w:rsidR="00C96F0F">
        <w:rPr>
          <w:lang w:val="fr-CH"/>
        </w:rPr>
        <w:t>– opère à un retournement de la scène du baiser du film de Siegel dans laquelle le baiser est utilisé par une femme pour convaincre son mari de son humanité (fig. 2</w:t>
      </w:r>
      <w:r w:rsidR="00522CE6">
        <w:rPr>
          <w:lang w:val="fr-CH"/>
        </w:rPr>
        <w:t>8</w:t>
      </w:r>
      <w:r w:rsidR="0006197A">
        <w:rPr>
          <w:lang w:val="fr-CH"/>
        </w:rPr>
        <w:t>).</w:t>
      </w:r>
      <w:r w:rsidR="00DC6BA2">
        <w:rPr>
          <w:lang w:val="fr-CH"/>
        </w:rPr>
        <w:t xml:space="preserve"> </w:t>
      </w:r>
      <w:r w:rsidR="0063541C">
        <w:rPr>
          <w:lang w:val="fr-CH"/>
        </w:rPr>
        <w:t>Manifestations de la manière dont</w:t>
      </w:r>
      <w:r w:rsidR="00DC6BA2">
        <w:rPr>
          <w:lang w:val="fr-CH"/>
        </w:rPr>
        <w:t xml:space="preserve"> </w:t>
      </w:r>
      <w:r w:rsidR="00DC6BA2">
        <w:rPr>
          <w:i/>
          <w:lang w:val="fr-CH"/>
        </w:rPr>
        <w:t>Invasion of the Body Snatchers</w:t>
      </w:r>
      <w:r w:rsidR="00DC6BA2">
        <w:rPr>
          <w:lang w:val="fr-CH"/>
        </w:rPr>
        <w:t xml:space="preserve"> </w:t>
      </w:r>
      <w:r w:rsidR="0063541C">
        <w:rPr>
          <w:lang w:val="fr-CH"/>
        </w:rPr>
        <w:t xml:space="preserve">a marqué l’imaginaire de </w:t>
      </w:r>
      <w:r w:rsidR="00C8143D">
        <w:rPr>
          <w:lang w:val="fr-CH"/>
        </w:rPr>
        <w:t>plusieurs générations</w:t>
      </w:r>
      <w:r w:rsidR="0063541C">
        <w:rPr>
          <w:lang w:val="fr-CH"/>
        </w:rPr>
        <w:t xml:space="preserve"> de producteurs, scénaristes et réalisateurs.</w:t>
      </w:r>
      <w:r w:rsidR="005E541C">
        <w:rPr>
          <w:lang w:val="fr-CH"/>
        </w:rPr>
        <w:t xml:space="preserve"> Ces </w:t>
      </w:r>
      <w:r w:rsidR="00F73564">
        <w:rPr>
          <w:lang w:val="fr-CH"/>
        </w:rPr>
        <w:t>variantes et reprises</w:t>
      </w:r>
      <w:r w:rsidR="005E541C">
        <w:rPr>
          <w:lang w:val="fr-CH"/>
        </w:rPr>
        <w:t>, encore jamais étudiées</w:t>
      </w:r>
      <w:r w:rsidR="00FF2EBE">
        <w:rPr>
          <w:lang w:val="fr-CH"/>
        </w:rPr>
        <w:t xml:space="preserve"> en détail</w:t>
      </w:r>
      <w:r w:rsidR="005E541C">
        <w:rPr>
          <w:lang w:val="fr-CH"/>
        </w:rPr>
        <w:t xml:space="preserve"> au moment de la rédaction de ce travail, pourraient servir de point de départ dans la création d’un nouveau modèle du processus de remake s’articulant </w:t>
      </w:r>
      <w:r w:rsidR="00A17083">
        <w:rPr>
          <w:lang w:val="fr-CH"/>
        </w:rPr>
        <w:t xml:space="preserve">autour de la </w:t>
      </w:r>
      <w:r w:rsidR="00C239C7">
        <w:rPr>
          <w:lang w:val="fr-CH"/>
        </w:rPr>
        <w:t xml:space="preserve">contagion culturelle </w:t>
      </w:r>
      <w:r w:rsidR="00C52DF9">
        <w:rPr>
          <w:lang w:val="fr-CH"/>
        </w:rPr>
        <w:t>de motifs (formels ou narratifs)</w:t>
      </w:r>
      <w:r w:rsidR="0017535D">
        <w:rPr>
          <w:lang w:val="fr-CH"/>
        </w:rPr>
        <w:t xml:space="preserve"> au sein des productions audio-visuelles.</w:t>
      </w:r>
      <w:r w:rsidR="00C52DF9">
        <w:rPr>
          <w:lang w:val="fr-CH"/>
        </w:rPr>
        <w:t xml:space="preserve"> </w:t>
      </w:r>
      <w:r w:rsidR="00AF0625">
        <w:rPr>
          <w:lang w:val="fr-CH"/>
        </w:rPr>
        <w:t xml:space="preserve">Ce modèle épidémiologique, déjà partiellement développé dans les textes de </w:t>
      </w:r>
      <w:r w:rsidR="00965BD9">
        <w:rPr>
          <w:lang w:val="fr-CH"/>
        </w:rPr>
        <w:t>Richard Dawkins</w:t>
      </w:r>
      <w:r w:rsidR="00965BD9">
        <w:rPr>
          <w:rStyle w:val="FootnoteReference"/>
          <w:lang w:val="fr-CH"/>
        </w:rPr>
        <w:footnoteReference w:id="16"/>
      </w:r>
      <w:r w:rsidR="00965BD9">
        <w:rPr>
          <w:lang w:val="fr-CH"/>
        </w:rPr>
        <w:t>,</w:t>
      </w:r>
      <w:r w:rsidR="008F14DA">
        <w:rPr>
          <w:lang w:val="fr-CH"/>
        </w:rPr>
        <w:t xml:space="preserve"> Susan Blackmore</w:t>
      </w:r>
      <w:r w:rsidR="008F14DA">
        <w:rPr>
          <w:rStyle w:val="FootnoteReference"/>
          <w:lang w:val="fr-CH"/>
        </w:rPr>
        <w:footnoteReference w:id="17"/>
      </w:r>
      <w:r w:rsidR="008F14DA">
        <w:rPr>
          <w:lang w:val="fr-CH"/>
        </w:rPr>
        <w:t xml:space="preserve"> et</w:t>
      </w:r>
      <w:r w:rsidR="00965BD9">
        <w:rPr>
          <w:lang w:val="fr-CH"/>
        </w:rPr>
        <w:t xml:space="preserve"> </w:t>
      </w:r>
      <w:r w:rsidR="00AF0625">
        <w:rPr>
          <w:lang w:val="fr-CH"/>
        </w:rPr>
        <w:t>Dan Sperber</w:t>
      </w:r>
      <w:r w:rsidR="000B148F">
        <w:rPr>
          <w:rStyle w:val="FootnoteReference"/>
          <w:lang w:val="fr-CH"/>
        </w:rPr>
        <w:footnoteReference w:id="18"/>
      </w:r>
      <w:r w:rsidR="00336906">
        <w:rPr>
          <w:lang w:val="fr-CH"/>
        </w:rPr>
        <w:t xml:space="preserve"> permettrait de considérer la sérialité dans un corpus plus vaste de productions et s’intéressant à la manière dont les </w:t>
      </w:r>
      <w:r w:rsidR="00336906">
        <w:rPr>
          <w:i/>
          <w:lang w:val="fr-CH"/>
        </w:rPr>
        <w:t>memes</w:t>
      </w:r>
      <w:r w:rsidR="00336906">
        <w:rPr>
          <w:lang w:val="fr-CH"/>
        </w:rPr>
        <w:t xml:space="preserve"> – unités de culture transmissibles – émanent et varient au sein, par exemple, d’</w:t>
      </w:r>
      <w:r w:rsidR="00CD670D">
        <w:rPr>
          <w:lang w:val="fr-CH"/>
        </w:rPr>
        <w:t>un genre filmique</w:t>
      </w:r>
      <w:r w:rsidR="00336906">
        <w:rPr>
          <w:lang w:val="fr-CH"/>
        </w:rPr>
        <w:t xml:space="preserve"> donné.</w:t>
      </w:r>
      <w:r w:rsidR="00ED4693">
        <w:rPr>
          <w:lang w:val="fr-CH"/>
        </w:rPr>
        <w:t xml:space="preserve"> Cette approche épidémiologique aurait également l’avantage de pouvoir s’appliquer à n’importe quel texte </w:t>
      </w:r>
      <w:r w:rsidR="00ED4693">
        <w:rPr>
          <w:lang w:val="fr-CH"/>
        </w:rPr>
        <w:lastRenderedPageBreak/>
        <w:t xml:space="preserve">filmique, </w:t>
      </w:r>
      <w:r w:rsidR="00885AFE">
        <w:rPr>
          <w:lang w:val="fr-CH"/>
        </w:rPr>
        <w:t xml:space="preserve">pour autant qu’un </w:t>
      </w:r>
      <w:r w:rsidR="00885AFE">
        <w:rPr>
          <w:i/>
          <w:lang w:val="fr-CH"/>
        </w:rPr>
        <w:t>meme</w:t>
      </w:r>
      <w:r w:rsidR="00885AFE">
        <w:rPr>
          <w:lang w:val="fr-CH"/>
        </w:rPr>
        <w:t xml:space="preserve"> puisse être identifié au sein du texte filmique, sans devoir nécessairement dépendre de catégories sérielles déjà existantes et parfois très restrictives </w:t>
      </w:r>
      <w:r w:rsidR="00CC2CB9">
        <w:rPr>
          <w:lang w:val="fr-CH"/>
        </w:rPr>
        <w:t>dans leurs définitions.</w:t>
      </w:r>
    </w:p>
    <w:p w14:paraId="018AD59D" w14:textId="09139FED" w:rsidR="00F62A4E" w:rsidRPr="00AF04E8" w:rsidRDefault="000B41AE" w:rsidP="00AF04E8">
      <w:pPr>
        <w:pStyle w:val="Mmoire"/>
        <w:rPr>
          <w:lang w:val="fr-CH"/>
        </w:rPr>
      </w:pPr>
      <w:r>
        <w:rPr>
          <w:lang w:val="fr-CH"/>
        </w:rPr>
        <w:tab/>
        <w:t xml:space="preserve">En conclusion, il serait opportun de reprendre une prévision faite par certains auteurs affirmant que </w:t>
      </w:r>
      <w:r w:rsidR="00FB7F52">
        <w:rPr>
          <w:lang w:val="fr-CH"/>
        </w:rPr>
        <w:t>« </w:t>
      </w:r>
      <w:r w:rsidR="00AC4CF8">
        <w:rPr>
          <w:lang w:val="fr-CH"/>
        </w:rPr>
        <w:t xml:space="preserve">étant donné ces nouvelles technologies [ingénierie génétique, intelligence artificielle, la robotique et l’internet], il faut nous attendre à ce que la version originale de </w:t>
      </w:r>
      <w:r w:rsidR="00AC4CF8">
        <w:rPr>
          <w:i/>
          <w:lang w:val="fr-CH"/>
        </w:rPr>
        <w:t>Invasion of the Body Snatchers</w:t>
      </w:r>
      <w:r w:rsidR="00AC4CF8">
        <w:rPr>
          <w:lang w:val="fr-CH"/>
        </w:rPr>
        <w:t xml:space="preserve"> reste </w:t>
      </w:r>
      <w:r w:rsidR="00573374">
        <w:rPr>
          <w:lang w:val="fr-CH"/>
        </w:rPr>
        <w:t xml:space="preserve">pertinente et </w:t>
      </w:r>
      <w:r w:rsidR="00D1717B">
        <w:rPr>
          <w:lang w:val="fr-CH"/>
        </w:rPr>
        <w:t>convaincante et qu’il y aura encore d’autres remakes dans le futur. »</w:t>
      </w:r>
      <w:r w:rsidR="00D1717B">
        <w:rPr>
          <w:rStyle w:val="FootnoteReference"/>
          <w:lang w:val="fr-CH"/>
        </w:rPr>
        <w:footnoteReference w:id="19"/>
      </w:r>
      <w:r w:rsidR="00975AA0">
        <w:rPr>
          <w:lang w:val="fr-CH"/>
        </w:rPr>
        <w:t>.</w:t>
      </w:r>
      <w:r w:rsidR="006E6FB2">
        <w:rPr>
          <w:lang w:val="fr-CH"/>
        </w:rPr>
        <w:t xml:space="preserve"> L’occasion idéale pour les futures générations d’historiens et théoriciens du cinéma d’explorer encore l’objet </w:t>
      </w:r>
      <w:r w:rsidR="001E6FF6">
        <w:rPr>
          <w:lang w:val="fr-CH"/>
        </w:rPr>
        <w:t>passionnant</w:t>
      </w:r>
      <w:r w:rsidR="00A17083">
        <w:rPr>
          <w:lang w:val="fr-CH"/>
        </w:rPr>
        <w:t xml:space="preserve"> que représente cette série ; et pour les critiques de souligner encore une fois l’ironie de dupliquer sans cesse un film dont le thème central est la perte d’émotions engendrée par cette dernièr</w:t>
      </w:r>
      <w:r w:rsidR="0097241B">
        <w:rPr>
          <w:lang w:val="fr-CH"/>
        </w:rPr>
        <w:t>e.</w:t>
      </w:r>
    </w:p>
    <w:sectPr w:rsidR="00F62A4E" w:rsidRPr="00AF04E8"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49FED" w14:textId="77777777" w:rsidR="00E06D40" w:rsidRDefault="00E06D40" w:rsidP="00173138">
      <w:r>
        <w:separator/>
      </w:r>
    </w:p>
  </w:endnote>
  <w:endnote w:type="continuationSeparator" w:id="0">
    <w:p w14:paraId="0C763B2C" w14:textId="77777777" w:rsidR="00E06D40" w:rsidRDefault="00E06D40"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A865C3">
      <w:rPr>
        <w:rStyle w:val="PageNumber"/>
        <w:noProof/>
        <w:sz w:val="22"/>
      </w:rPr>
      <w:t>5</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FA2D0" w14:textId="77777777" w:rsidR="00E06D40" w:rsidRDefault="00E06D40" w:rsidP="00173138">
      <w:r>
        <w:separator/>
      </w:r>
    </w:p>
  </w:footnote>
  <w:footnote w:type="continuationSeparator" w:id="0">
    <w:p w14:paraId="56DBAF11" w14:textId="77777777" w:rsidR="00E06D40" w:rsidRDefault="00E06D40" w:rsidP="00173138">
      <w:r>
        <w:continuationSeparator/>
      </w:r>
    </w:p>
  </w:footnote>
  <w:footnote w:id="1">
    <w:p w14:paraId="220987A3" w14:textId="7ACA3D7E" w:rsidR="00D426BC" w:rsidRPr="00D426BC" w:rsidRDefault="00D426BC">
      <w:pPr>
        <w:pStyle w:val="FootnoteText"/>
        <w:rPr>
          <w:i/>
        </w:rPr>
      </w:pPr>
      <w:r>
        <w:rPr>
          <w:rStyle w:val="FootnoteReference"/>
        </w:rPr>
        <w:footnoteRef/>
      </w:r>
      <w:r>
        <w:t xml:space="preserve"> Dick Tomasovic, « Stratégies d’auto-canonisation: le cas Walt Disney », </w:t>
      </w:r>
      <w:r>
        <w:rPr>
          <w:i/>
        </w:rPr>
        <w:t>in</w:t>
      </w:r>
      <w:r>
        <w:t xml:space="preserve"> </w:t>
      </w:r>
      <w:r w:rsidRPr="00665ADF">
        <w:rPr>
          <w:lang w:val="fr-CH"/>
        </w:rPr>
        <w:t>Petro Bianchi, Giuli</w:t>
      </w:r>
      <w:r w:rsidR="00B677F3">
        <w:rPr>
          <w:lang w:val="fr-CH"/>
        </w:rPr>
        <w:t>o Bursi et Simone Venturini (éd</w:t>
      </w:r>
      <w:r w:rsidRPr="00665ADF">
        <w:rPr>
          <w:lang w:val="fr-CH"/>
        </w:rPr>
        <w:t xml:space="preserve">.), </w:t>
      </w:r>
      <w:r w:rsidRPr="00665ADF">
        <w:rPr>
          <w:i/>
          <w:lang w:val="fr-CH"/>
        </w:rPr>
        <w:t>op. cit.</w:t>
      </w:r>
      <w:r w:rsidRPr="00665ADF">
        <w:rPr>
          <w:lang w:val="fr-CH"/>
        </w:rPr>
        <w:t>, p</w:t>
      </w:r>
      <w:r>
        <w:rPr>
          <w:lang w:val="fr-CH"/>
        </w:rPr>
        <w:t>p</w:t>
      </w:r>
      <w:r w:rsidRPr="00665ADF">
        <w:rPr>
          <w:lang w:val="fr-CH"/>
        </w:rPr>
        <w:t xml:space="preserve">. </w:t>
      </w:r>
      <w:r>
        <w:rPr>
          <w:lang w:val="fr-CH"/>
        </w:rPr>
        <w:t>107-116</w:t>
      </w:r>
      <w:r w:rsidRPr="00665ADF">
        <w:rPr>
          <w:lang w:val="fr-CH"/>
        </w:rPr>
        <w:t>.</w:t>
      </w:r>
    </w:p>
  </w:footnote>
  <w:footnote w:id="2">
    <w:p w14:paraId="3D57119B" w14:textId="39804DEC" w:rsidR="00224E12" w:rsidRPr="00224E12" w:rsidRDefault="00224E12">
      <w:pPr>
        <w:pStyle w:val="FootnoteText"/>
        <w:rPr>
          <w:lang w:val="en-GB"/>
        </w:rPr>
      </w:pPr>
      <w:r>
        <w:rPr>
          <w:rStyle w:val="FootnoteReference"/>
        </w:rPr>
        <w:footnoteRef/>
      </w:r>
      <w:r w:rsidRPr="00224E12">
        <w:rPr>
          <w:lang w:val="en-GB"/>
        </w:rPr>
        <w:t xml:space="preserve"> Dick Tomasovic, </w:t>
      </w:r>
      <w:r w:rsidRPr="00224E12">
        <w:rPr>
          <w:i/>
          <w:lang w:val="en-GB"/>
        </w:rPr>
        <w:t>op. cit.</w:t>
      </w:r>
      <w:r w:rsidRPr="00224E12">
        <w:rPr>
          <w:lang w:val="en-GB"/>
        </w:rPr>
        <w:t>, p</w:t>
      </w:r>
      <w:r>
        <w:rPr>
          <w:lang w:val="en-GB"/>
        </w:rPr>
        <w:t>. 108.</w:t>
      </w:r>
    </w:p>
  </w:footnote>
  <w:footnote w:id="3">
    <w:p w14:paraId="40C74682" w14:textId="77777777" w:rsidR="00DE4B94" w:rsidRDefault="00DE4B94" w:rsidP="00DE4B94">
      <w:pPr>
        <w:pStyle w:val="FootnoteText"/>
        <w:rPr>
          <w:lang w:val="fr-CH"/>
        </w:rPr>
      </w:pPr>
      <w:r w:rsidRPr="002371FC">
        <w:rPr>
          <w:rStyle w:val="FootnoteReference"/>
        </w:rPr>
        <w:footnoteRef/>
      </w:r>
      <w:r w:rsidRPr="002371FC">
        <w:t xml:space="preserve"> </w:t>
      </w:r>
      <w:r w:rsidRPr="002371FC">
        <w:rPr>
          <w:lang w:val="fr-CH"/>
        </w:rPr>
        <w:t>La discussion sur le statut canonique du roman de Finney dans la science</w:t>
      </w:r>
      <w:r>
        <w:rPr>
          <w:lang w:val="fr-CH"/>
        </w:rPr>
        <w:t xml:space="preserv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 w:id="4">
    <w:p w14:paraId="5B2E14D6" w14:textId="66369EED" w:rsidR="008A7FFD" w:rsidRPr="00235415" w:rsidRDefault="008A7FFD" w:rsidP="008A7FFD">
      <w:pPr>
        <w:pStyle w:val="FootnoteText"/>
      </w:pPr>
      <w:r>
        <w:rPr>
          <w:rStyle w:val="FootnoteReference"/>
        </w:rPr>
        <w:footnoteRef/>
      </w:r>
      <w:r w:rsidR="000F7FA2">
        <w:t xml:space="preserve"> Le terme formule est utilisé ici a</w:t>
      </w:r>
      <w:r>
        <w:t xml:space="preserve">u sens de « matrice consignée dans une </w:t>
      </w:r>
      <w:r w:rsidRPr="00FC11CA">
        <w:rPr>
          <w:i/>
        </w:rPr>
        <w:t>bible</w:t>
      </w:r>
      <w:r>
        <w:t xml:space="preserve"> et formalisée dans le pilote de chaque œuvre. » </w:t>
      </w:r>
      <w:r w:rsidR="002C2696">
        <w:t>[</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w:t>
      </w:r>
      <w:r w:rsidR="002C2696">
        <w:t>]</w:t>
      </w:r>
      <w:r>
        <w:t> ; le pilote étant ici l’adaptation originale de Siegel qui informerait chacune de ses suites.</w:t>
      </w:r>
    </w:p>
  </w:footnote>
  <w:footnote w:id="5">
    <w:p w14:paraId="11E2411E" w14:textId="225D7E1E" w:rsidR="008A7FFD" w:rsidRPr="007D7C24" w:rsidRDefault="008A7FFD" w:rsidP="008A7FFD">
      <w:pPr>
        <w:pStyle w:val="FootnoteText"/>
        <w:rPr>
          <w:lang w:val="fr-CH"/>
        </w:rPr>
      </w:pPr>
      <w:r>
        <w:rPr>
          <w:rStyle w:val="FootnoteReference"/>
        </w:rPr>
        <w:footnoteRef/>
      </w:r>
      <w:r>
        <w:t xml:space="preserve"> </w:t>
      </w:r>
      <w:r w:rsidR="00827407">
        <w:t>Formule dont</w:t>
      </w:r>
      <w:r>
        <w:t xml:space="preserve"> les « paramètres invariants » seraient les prémices du récit (sa source littéraire), certaines scènes (par exemple celle du camouflage) et éléments clés (l’insomnie).</w:t>
      </w:r>
    </w:p>
  </w:footnote>
  <w:footnote w:id="6">
    <w:p w14:paraId="5D5AF2C4" w14:textId="3B083613" w:rsidR="006F02A9" w:rsidRPr="003C246A" w:rsidRDefault="006F02A9" w:rsidP="006F02A9">
      <w:pPr>
        <w:pStyle w:val="FootnoteText"/>
        <w:rPr>
          <w:lang w:val="en-US"/>
        </w:rPr>
      </w:pPr>
      <w:r>
        <w:rPr>
          <w:rStyle w:val="FootnoteReference"/>
        </w:rPr>
        <w:footnoteRef/>
      </w:r>
      <w:r>
        <w:t xml:space="preserve"> </w:t>
      </w:r>
      <w:r>
        <w:rPr>
          <w:lang w:val="fr-CH"/>
        </w:rPr>
        <w:t xml:space="preserve">Par exemple </w:t>
      </w:r>
      <w:r w:rsidR="00AD69CF">
        <w:rPr>
          <w:lang w:val="fr-CH"/>
        </w:rPr>
        <w:t xml:space="preserve">le discours de </w:t>
      </w:r>
      <w:r>
        <w:rPr>
          <w:lang w:val="fr-CH"/>
        </w:rPr>
        <w:t xml:space="preserve">Sam </w:t>
      </w:r>
      <w:r w:rsidRPr="002D655C">
        <w:rPr>
          <w:lang w:val="fr-CH"/>
        </w:rPr>
        <w:t>Peckinpah</w:t>
      </w:r>
      <w:r>
        <w:rPr>
          <w:lang w:val="fr-CH"/>
        </w:rPr>
        <w:t xml:space="preserve">, auteur ayant lui aussi connu une réévaluation de son statut d’auteur, qui à plusieurs reprises </w:t>
      </w:r>
      <w:r w:rsidR="009F1AF6">
        <w:rPr>
          <w:lang w:val="fr-CH"/>
        </w:rPr>
        <w:t>a</w:t>
      </w:r>
      <w:r>
        <w:rPr>
          <w:lang w:val="fr-CH"/>
        </w:rPr>
        <w:t xml:space="preserve"> prétendu avoir contribué au scénario du film; propos rapidement balayés par Siegel dans une entrevue.  </w:t>
      </w:r>
      <w:r w:rsidRPr="003C246A">
        <w:rPr>
          <w:lang w:val="en-US"/>
        </w:rPr>
        <w:t>Nancy</w:t>
      </w:r>
      <w:r>
        <w:rPr>
          <w:lang w:val="en-US"/>
        </w:rPr>
        <w:t xml:space="preserve"> Steffen-Fluhr</w:t>
      </w:r>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xml:space="preserve">, </w:t>
      </w:r>
      <w:r w:rsidR="00B23193">
        <w:rPr>
          <w:lang w:val="en-US"/>
        </w:rPr>
        <w:t>v</w:t>
      </w:r>
      <w:r w:rsidRPr="003C246A">
        <w:rPr>
          <w:lang w:val="en-US"/>
        </w:rPr>
        <w:t xml:space="preserve">ol. 11, </w:t>
      </w:r>
      <w:r w:rsidR="00B23193" w:rsidRPr="00B23193">
        <w:rPr>
          <w:lang w:val="en-US"/>
        </w:rPr>
        <w:t>n°</w:t>
      </w:r>
      <w:r w:rsidRPr="003C246A">
        <w:rPr>
          <w:lang w:val="en-US"/>
        </w:rPr>
        <w:t xml:space="preserve"> 2, j</w:t>
      </w:r>
      <w:r>
        <w:rPr>
          <w:lang w:val="en-US"/>
        </w:rPr>
        <w:t>uillet 1984, p. 151.</w:t>
      </w:r>
    </w:p>
  </w:footnote>
  <w:footnote w:id="7">
    <w:p w14:paraId="05202DC3" w14:textId="016C0E81" w:rsidR="006F02A9" w:rsidRPr="002114DC" w:rsidRDefault="006F02A9" w:rsidP="006F02A9">
      <w:pPr>
        <w:pStyle w:val="FootnoteText"/>
        <w:rPr>
          <w:lang w:val="fr-CH"/>
        </w:rPr>
      </w:pPr>
      <w:r>
        <w:rPr>
          <w:rStyle w:val="FootnoteReference"/>
        </w:rPr>
        <w:footnoteRef/>
      </w:r>
      <w:r>
        <w:t xml:space="preserve"> </w:t>
      </w:r>
      <w:r w:rsidR="004364C1">
        <w:rPr>
          <w:lang w:val="fr-CH"/>
        </w:rPr>
        <w:t>Le terme réalisateur peut également renvoyer ici,</w:t>
      </w:r>
      <w:r>
        <w:rPr>
          <w:lang w:val="fr-CH"/>
        </w:rPr>
        <w:t xml:space="preserve"> au sens plus large, </w:t>
      </w:r>
      <w:r w:rsidR="00DC4166">
        <w:rPr>
          <w:lang w:val="fr-CH"/>
        </w:rPr>
        <w:t xml:space="preserve">aux </w:t>
      </w:r>
      <w:r>
        <w:rPr>
          <w:lang w:val="fr-CH"/>
        </w:rPr>
        <w:t>acteurs de l’industrie cinématographique</w:t>
      </w:r>
      <w:r w:rsidR="00DC4166">
        <w:rPr>
          <w:lang w:val="fr-CH"/>
        </w:rPr>
        <w:t> ; comme c’est le cas dans les discours autour du film de 2007</w:t>
      </w:r>
      <w:r>
        <w:rPr>
          <w:lang w:val="fr-CH"/>
        </w:rPr>
        <w:t>.</w:t>
      </w:r>
    </w:p>
  </w:footnote>
  <w:footnote w:id="8">
    <w:p w14:paraId="6B7C6E20" w14:textId="5A1AE934" w:rsidR="004773E2" w:rsidRPr="007F602F" w:rsidRDefault="004773E2">
      <w:pPr>
        <w:pStyle w:val="FootnoteText"/>
        <w:rPr>
          <w:lang w:val="en-GB"/>
        </w:rPr>
      </w:pPr>
      <w:r>
        <w:rPr>
          <w:rStyle w:val="FootnoteReference"/>
        </w:rPr>
        <w:footnoteRef/>
      </w:r>
      <w:r>
        <w:t xml:space="preserve"> </w:t>
      </w:r>
      <w:r w:rsidR="003A6A57" w:rsidRPr="003A6A57">
        <w:t>L’aura</w:t>
      </w:r>
      <w:r w:rsidR="003A6A57">
        <w:t xml:space="preserve"> est évoquée ici a</w:t>
      </w:r>
      <w:r w:rsidR="00E01658">
        <w:t>u</w:t>
      </w:r>
      <w:r>
        <w:t xml:space="preserve"> sens proposé par Walter Benjamin. </w:t>
      </w:r>
      <w:r w:rsidRPr="007F602F">
        <w:rPr>
          <w:lang w:val="en-GB"/>
        </w:rPr>
        <w:t xml:space="preserve">Voir Walter Benjamin, </w:t>
      </w:r>
      <w:r w:rsidRPr="007F602F">
        <w:rPr>
          <w:i/>
          <w:lang w:val="en-GB"/>
        </w:rPr>
        <w:t>The Work of Art in the Age of Mechanical Reproduction</w:t>
      </w:r>
      <w:r w:rsidRPr="007F602F">
        <w:rPr>
          <w:lang w:val="en-GB"/>
        </w:rPr>
        <w:t xml:space="preserve">, </w:t>
      </w:r>
      <w:r w:rsidR="007F602F" w:rsidRPr="007F602F">
        <w:rPr>
          <w:lang w:val="en-GB"/>
        </w:rPr>
        <w:t xml:space="preserve">trad. de l’allemand par J.A. </w:t>
      </w:r>
      <w:r w:rsidR="007F602F">
        <w:rPr>
          <w:lang w:val="en-GB"/>
        </w:rPr>
        <w:t xml:space="preserve">Underwood, </w:t>
      </w:r>
      <w:r w:rsidR="0069231C" w:rsidRPr="007F602F">
        <w:rPr>
          <w:lang w:val="en-GB"/>
        </w:rPr>
        <w:t>London, Penguin, 2008 [</w:t>
      </w:r>
      <w:r w:rsidR="008B4F6C" w:rsidRPr="007F602F">
        <w:rPr>
          <w:lang w:val="en-GB"/>
        </w:rPr>
        <w:t>1939</w:t>
      </w:r>
      <w:r w:rsidR="0069231C" w:rsidRPr="007F602F">
        <w:rPr>
          <w:lang w:val="en-GB"/>
        </w:rPr>
        <w:t>]</w:t>
      </w:r>
      <w:r w:rsidR="00A716A5">
        <w:rPr>
          <w:lang w:val="en-GB"/>
        </w:rPr>
        <w:t>.</w:t>
      </w:r>
    </w:p>
  </w:footnote>
  <w:footnote w:id="9">
    <w:p w14:paraId="3EBB6DFE" w14:textId="00AA07A5" w:rsidR="001D46C1" w:rsidRPr="001D46C1" w:rsidRDefault="001D46C1">
      <w:pPr>
        <w:pStyle w:val="FootnoteText"/>
      </w:pPr>
      <w:r>
        <w:rPr>
          <w:rStyle w:val="FootnoteReference"/>
        </w:rPr>
        <w:footnoteRef/>
      </w:r>
      <w:r>
        <w:t xml:space="preserve"> Le terme d’instabilité est utilisé ici pour désigner d’une part l’existence de deux versions de l’histoire de Finney sur deux supports (feuilleton et roman), mais également pour signifier les modifications apportées au roman lors de ses rééditions ultérieures.</w:t>
      </w:r>
    </w:p>
  </w:footnote>
  <w:footnote w:id="10">
    <w:p w14:paraId="2BD865EC" w14:textId="76519CE9" w:rsidR="00DD1365" w:rsidRPr="00DD1365" w:rsidRDefault="00DD1365">
      <w:pPr>
        <w:pStyle w:val="FootnoteText"/>
        <w:rPr>
          <w:lang w:val="fr-CH"/>
        </w:rPr>
      </w:pPr>
      <w:r>
        <w:rPr>
          <w:rStyle w:val="FootnoteReference"/>
        </w:rPr>
        <w:footnoteRef/>
      </w:r>
      <w:r>
        <w:t xml:space="preserve"> </w:t>
      </w:r>
      <w:r w:rsidR="00765F57">
        <w:rPr>
          <w:lang w:val="fr-CH"/>
        </w:rPr>
        <w:t xml:space="preserve">Une apparition qui </w:t>
      </w:r>
      <w:r w:rsidR="004C6E21">
        <w:rPr>
          <w:lang w:val="fr-CH"/>
        </w:rPr>
        <w:t>entraine</w:t>
      </w:r>
      <w:r>
        <w:rPr>
          <w:lang w:val="fr-CH"/>
        </w:rPr>
        <w:t xml:space="preserve"> l’élévation de Siegel au statut d’auteur, notamment </w:t>
      </w:r>
      <w:r w:rsidR="0014181E">
        <w:rPr>
          <w:lang w:val="fr-CH"/>
        </w:rPr>
        <w:t>amorcé par sa redécouverte à la fin des années 1950 par des jeunes critiques des cahiers du cinéma.</w:t>
      </w:r>
    </w:p>
  </w:footnote>
  <w:footnote w:id="11">
    <w:p w14:paraId="304BAB58" w14:textId="01DEC7EC" w:rsidR="00684B2F" w:rsidRPr="00684B2F" w:rsidRDefault="00684B2F">
      <w:pPr>
        <w:pStyle w:val="FootnoteText"/>
        <w:rPr>
          <w:lang w:val="fr-CH"/>
        </w:rPr>
      </w:pPr>
      <w:r>
        <w:rPr>
          <w:rStyle w:val="FootnoteReference"/>
        </w:rPr>
        <w:footnoteRef/>
      </w:r>
      <w:r>
        <w:t xml:space="preserve"> </w:t>
      </w:r>
      <w:r w:rsidR="00330062">
        <w:rPr>
          <w:lang w:val="fr-CH"/>
        </w:rPr>
        <w:t>Une réévaluation qui est a</w:t>
      </w:r>
      <w:r>
        <w:rPr>
          <w:lang w:val="fr-CH"/>
        </w:rPr>
        <w:t>morcée, entre autres, par l’article de Sontag évoqué dans ce travail.</w:t>
      </w:r>
    </w:p>
  </w:footnote>
  <w:footnote w:id="12">
    <w:p w14:paraId="1948D1F2" w14:textId="00037BEE" w:rsidR="002A7659" w:rsidRPr="002A7659" w:rsidRDefault="002A7659">
      <w:pPr>
        <w:pStyle w:val="FootnoteText"/>
        <w:rPr>
          <w:lang w:val="fr-CH"/>
        </w:rPr>
      </w:pPr>
      <w:r>
        <w:rPr>
          <w:rStyle w:val="FootnoteReference"/>
        </w:rPr>
        <w:footnoteRef/>
      </w:r>
      <w:r>
        <w:t xml:space="preserve"> </w:t>
      </w:r>
      <w:r w:rsidR="00A865C3">
        <w:rPr>
          <w:lang w:val="fr-CH"/>
        </w:rPr>
        <w:t>Une série qui</w:t>
      </w:r>
      <w:bookmarkStart w:id="0" w:name="_GoBack"/>
      <w:bookmarkEnd w:id="0"/>
      <w:r>
        <w:rPr>
          <w:lang w:val="fr-CH"/>
        </w:rPr>
        <w:t xml:space="preserve"> s’articule elle-aussi autour d’une invasion extraterrestre d’origine biologique ; et dont le premier film sorti en 1955 a également donné lieu à de nombreuses suites ou </w:t>
      </w:r>
      <w:r>
        <w:rPr>
          <w:i/>
          <w:lang w:val="fr-CH"/>
        </w:rPr>
        <w:t>spin-offs</w:t>
      </w:r>
      <w:r>
        <w:rPr>
          <w:lang w:val="fr-CH"/>
        </w:rPr>
        <w:t xml:space="preserve"> télévisés. </w:t>
      </w:r>
    </w:p>
  </w:footnote>
  <w:footnote w:id="13">
    <w:p w14:paraId="5B817D67" w14:textId="402A25F8" w:rsidR="00E149A4" w:rsidRPr="009C1334" w:rsidRDefault="00E149A4">
      <w:pPr>
        <w:pStyle w:val="FootnoteText"/>
        <w:rPr>
          <w:lang w:val="fr-CH"/>
        </w:rPr>
      </w:pPr>
      <w:r>
        <w:rPr>
          <w:rStyle w:val="FootnoteReference"/>
        </w:rPr>
        <w:footnoteRef/>
      </w:r>
      <w:r>
        <w:t xml:space="preserve"> </w:t>
      </w:r>
      <w:r w:rsidR="00CD23DB" w:rsidRPr="009C1334">
        <w:rPr>
          <w:i/>
          <w:lang w:val="fr-CH"/>
        </w:rPr>
        <w:t>Invasion</w:t>
      </w:r>
      <w:r w:rsidR="00CD23DB" w:rsidRPr="009C1334">
        <w:rPr>
          <w:lang w:val="fr-CH"/>
        </w:rPr>
        <w:t>, Shaun Cassidy, ABC, 2005.</w:t>
      </w:r>
    </w:p>
  </w:footnote>
  <w:footnote w:id="14">
    <w:p w14:paraId="722DA300" w14:textId="641A6270" w:rsidR="00CD23DB" w:rsidRPr="00CD23DB" w:rsidRDefault="00CD23DB">
      <w:pPr>
        <w:pStyle w:val="FootnoteText"/>
        <w:rPr>
          <w:lang w:val="fr-CH"/>
        </w:rPr>
      </w:pPr>
      <w:r>
        <w:rPr>
          <w:rStyle w:val="FootnoteReference"/>
        </w:rPr>
        <w:footnoteRef/>
      </w:r>
      <w:r>
        <w:t xml:space="preserve"> </w:t>
      </w:r>
      <w:r w:rsidR="009C1334" w:rsidRPr="009C1334">
        <w:rPr>
          <w:i/>
          <w:lang w:val="fr-CH"/>
        </w:rPr>
        <w:t xml:space="preserve">The Stepford Wives </w:t>
      </w:r>
      <w:r w:rsidR="009C1334" w:rsidRPr="009C1334">
        <w:rPr>
          <w:lang w:val="fr-CH"/>
        </w:rPr>
        <w:t>(</w:t>
      </w:r>
      <w:r w:rsidR="009C1334" w:rsidRPr="009C1334">
        <w:rPr>
          <w:i/>
          <w:lang w:val="fr-CH"/>
        </w:rPr>
        <w:t>Et l'homme créa la femme</w:t>
      </w:r>
      <w:r w:rsidR="009C1334" w:rsidRPr="009C1334">
        <w:rPr>
          <w:lang w:val="fr-CH"/>
        </w:rPr>
        <w:t>), Frank Oz, 2004.</w:t>
      </w:r>
    </w:p>
  </w:footnote>
  <w:footnote w:id="15">
    <w:p w14:paraId="2CFFD79F" w14:textId="438D30CF" w:rsidR="00CD23DB" w:rsidRPr="00CD23DB" w:rsidRDefault="00CD23DB">
      <w:pPr>
        <w:pStyle w:val="FootnoteText"/>
        <w:rPr>
          <w:lang w:val="en-GB"/>
        </w:rPr>
      </w:pPr>
      <w:r>
        <w:rPr>
          <w:rStyle w:val="FootnoteReference"/>
        </w:rPr>
        <w:footnoteRef/>
      </w:r>
      <w:r w:rsidRPr="00C16615">
        <w:rPr>
          <w:lang w:val="en-GB"/>
        </w:rPr>
        <w:t xml:space="preserve"> </w:t>
      </w:r>
      <w:r w:rsidRPr="00CD23DB">
        <w:rPr>
          <w:i/>
          <w:lang w:val="en-GB"/>
        </w:rPr>
        <w:t xml:space="preserve">The Stepford Wives </w:t>
      </w:r>
      <w:r w:rsidRPr="00CD23DB">
        <w:rPr>
          <w:lang w:val="en-GB"/>
        </w:rPr>
        <w:t>(</w:t>
      </w:r>
      <w:r w:rsidRPr="00CD23DB">
        <w:rPr>
          <w:i/>
          <w:lang w:val="en-GB"/>
        </w:rPr>
        <w:t>Les femmes de Stepford</w:t>
      </w:r>
      <w:r w:rsidRPr="00CD23DB">
        <w:rPr>
          <w:lang w:val="en-GB"/>
        </w:rPr>
        <w:t>), Bryan Forbes, 1975.</w:t>
      </w:r>
    </w:p>
  </w:footnote>
  <w:footnote w:id="16">
    <w:p w14:paraId="76DD9B95" w14:textId="294CA3C5" w:rsidR="00965BD9" w:rsidRPr="00965BD9" w:rsidRDefault="00965BD9">
      <w:pPr>
        <w:pStyle w:val="FootnoteText"/>
        <w:rPr>
          <w:lang w:val="en-GB"/>
        </w:rPr>
      </w:pPr>
      <w:r>
        <w:rPr>
          <w:rStyle w:val="FootnoteReference"/>
        </w:rPr>
        <w:footnoteRef/>
      </w:r>
      <w:r w:rsidRPr="00965BD9">
        <w:rPr>
          <w:lang w:val="en-GB"/>
        </w:rPr>
        <w:t xml:space="preserve"> </w:t>
      </w:r>
      <w:r>
        <w:rPr>
          <w:lang w:val="en-GB"/>
        </w:rPr>
        <w:t xml:space="preserve">Richard Dawkins, </w:t>
      </w:r>
      <w:r w:rsidRPr="00965BD9">
        <w:rPr>
          <w:lang w:val="en-GB"/>
        </w:rPr>
        <w:t>« Memes : The New Rep</w:t>
      </w:r>
      <w:r w:rsidR="00C93407">
        <w:rPr>
          <w:lang w:val="en-GB"/>
        </w:rPr>
        <w:t>l</w:t>
      </w:r>
      <w:r w:rsidRPr="00965BD9">
        <w:rPr>
          <w:lang w:val="en-GB"/>
        </w:rPr>
        <w:t>icators »</w:t>
      </w:r>
      <w:r>
        <w:rPr>
          <w:lang w:val="en-GB"/>
        </w:rPr>
        <w:t xml:space="preserve"> </w:t>
      </w:r>
      <w:r>
        <w:rPr>
          <w:i/>
          <w:lang w:val="en-GB"/>
        </w:rPr>
        <w:t xml:space="preserve">in </w:t>
      </w:r>
      <w:r>
        <w:rPr>
          <w:lang w:val="en-GB"/>
        </w:rPr>
        <w:t xml:space="preserve">Richard Dawkins, </w:t>
      </w:r>
      <w:r w:rsidRPr="00965BD9">
        <w:rPr>
          <w:i/>
          <w:lang w:val="en-US"/>
        </w:rPr>
        <w:t>The Selfish Gene</w:t>
      </w:r>
      <w:r w:rsidRPr="00965BD9">
        <w:rPr>
          <w:lang w:val="en-US"/>
        </w:rPr>
        <w:t>, Oxford, Oxfor</w:t>
      </w:r>
      <w:r>
        <w:rPr>
          <w:lang w:val="en-US"/>
        </w:rPr>
        <w:t>d University Press, 2006 [1976], pp. 189-201.</w:t>
      </w:r>
    </w:p>
  </w:footnote>
  <w:footnote w:id="17">
    <w:p w14:paraId="0CD07CC4" w14:textId="3540EFCB" w:rsidR="008F14DA" w:rsidRPr="008F14DA" w:rsidRDefault="008F14DA">
      <w:pPr>
        <w:pStyle w:val="FootnoteText"/>
        <w:rPr>
          <w:lang w:val="en-GB"/>
        </w:rPr>
      </w:pPr>
      <w:r>
        <w:rPr>
          <w:rStyle w:val="FootnoteReference"/>
        </w:rPr>
        <w:footnoteRef/>
      </w:r>
      <w:r w:rsidRPr="008F14DA">
        <w:rPr>
          <w:lang w:val="en-GB"/>
        </w:rPr>
        <w:t xml:space="preserve"> </w:t>
      </w:r>
      <w:r>
        <w:rPr>
          <w:lang w:val="en-GB"/>
        </w:rPr>
        <w:t xml:space="preserve">Susan Blackmore, </w:t>
      </w:r>
      <w:r w:rsidRPr="00D07F36">
        <w:rPr>
          <w:rFonts w:cs="Times New Roman"/>
          <w:i/>
          <w:color w:val="000000"/>
          <w:lang w:val="en-US"/>
        </w:rPr>
        <w:t>The Meme Machine</w:t>
      </w:r>
      <w:r w:rsidRPr="00D07F36">
        <w:rPr>
          <w:rFonts w:cs="Times New Roman"/>
          <w:color w:val="000000"/>
          <w:lang w:val="en-US"/>
        </w:rPr>
        <w:t>, Oxford, Oxford University Press, 1999.</w:t>
      </w:r>
    </w:p>
  </w:footnote>
  <w:footnote w:id="18">
    <w:p w14:paraId="1F3D7EDB" w14:textId="76678647" w:rsidR="000B148F" w:rsidRPr="000B148F" w:rsidRDefault="000B148F">
      <w:pPr>
        <w:pStyle w:val="FootnoteText"/>
        <w:rPr>
          <w:lang w:val="en-GB"/>
        </w:rPr>
      </w:pPr>
      <w:r>
        <w:rPr>
          <w:rStyle w:val="FootnoteReference"/>
        </w:rPr>
        <w:footnoteRef/>
      </w:r>
      <w:r w:rsidRPr="000B148F">
        <w:rPr>
          <w:lang w:val="en-GB"/>
        </w:rPr>
        <w:t xml:space="preserve"> </w:t>
      </w:r>
      <w:r>
        <w:rPr>
          <w:lang w:val="en-GB"/>
        </w:rPr>
        <w:t xml:space="preserve">Dan Sperber, </w:t>
      </w:r>
      <w:r w:rsidRPr="000B148F">
        <w:rPr>
          <w:i/>
          <w:lang w:val="en-US"/>
        </w:rPr>
        <w:t>Explaining Culture: A Naturalistic Approach</w:t>
      </w:r>
      <w:r w:rsidRPr="000B148F">
        <w:rPr>
          <w:lang w:val="en-US"/>
        </w:rPr>
        <w:t>, Oxford/Cambridge, Blackwell, 2002 [1996].</w:t>
      </w:r>
    </w:p>
  </w:footnote>
  <w:footnote w:id="19">
    <w:p w14:paraId="4F02935A" w14:textId="21BBE8D7" w:rsidR="00D1717B" w:rsidRPr="00D1717B" w:rsidRDefault="00D1717B">
      <w:pPr>
        <w:pStyle w:val="FootnoteText"/>
        <w:rPr>
          <w:lang w:val="en-GB"/>
        </w:rPr>
      </w:pPr>
      <w:r>
        <w:rPr>
          <w:rStyle w:val="FootnoteReference"/>
        </w:rPr>
        <w:footnoteRef/>
      </w:r>
      <w:r w:rsidRPr="00D1717B">
        <w:rPr>
          <w:lang w:val="en-GB"/>
        </w:rPr>
        <w:t xml:space="preserve"> « Given these new technologies, we should expect the original version of </w:t>
      </w:r>
      <w:r w:rsidRPr="00D1717B">
        <w:rPr>
          <w:i/>
          <w:lang w:val="en-GB"/>
        </w:rPr>
        <w:t>Invasion of the Body Snatchers</w:t>
      </w:r>
      <w:r>
        <w:rPr>
          <w:lang w:val="en-GB"/>
        </w:rPr>
        <w:t xml:space="preserve"> to remain relevant and compelling for viewers, and that there will be yet further remakes in the future. </w:t>
      </w:r>
      <w:r w:rsidRPr="00D1717B">
        <w:rPr>
          <w:lang w:val="en-GB"/>
        </w:rPr>
        <w:t>»</w:t>
      </w:r>
      <w:r>
        <w:rPr>
          <w:lang w:val="en-GB"/>
        </w:rPr>
        <w:t xml:space="preserve"> </w:t>
      </w:r>
      <w:r w:rsidR="00E32D21">
        <w:rPr>
          <w:lang w:val="en-GB"/>
        </w:rPr>
        <w:t>[</w:t>
      </w:r>
      <w:r>
        <w:rPr>
          <w:lang w:val="en-GB"/>
        </w:rPr>
        <w:t xml:space="preserve">Barry Keith Grant, </w:t>
      </w:r>
      <w:r>
        <w:rPr>
          <w:i/>
          <w:lang w:val="en-GB"/>
        </w:rPr>
        <w:t>op. cit.</w:t>
      </w:r>
      <w:r w:rsidR="00E32D21">
        <w:rPr>
          <w:lang w:val="en-GB"/>
        </w:rPr>
        <w:t>, p. 104].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C4A2EB0"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B375C">
      <w:rPr>
        <w:rFonts w:ascii="Baskerville" w:hAnsi="Baskerville"/>
        <w:b/>
        <w:color w:val="7F7F7F" w:themeColor="text1" w:themeTint="80"/>
        <w:sz w:val="20"/>
      </w:rPr>
      <w:t>Conclusion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F165E"/>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E71"/>
    <w:rsid w:val="00007F6A"/>
    <w:rsid w:val="00012FA0"/>
    <w:rsid w:val="00026DEC"/>
    <w:rsid w:val="00034BBA"/>
    <w:rsid w:val="00037D70"/>
    <w:rsid w:val="00040872"/>
    <w:rsid w:val="0006197A"/>
    <w:rsid w:val="000634E0"/>
    <w:rsid w:val="00083709"/>
    <w:rsid w:val="00084008"/>
    <w:rsid w:val="00084430"/>
    <w:rsid w:val="000A04FA"/>
    <w:rsid w:val="000B148F"/>
    <w:rsid w:val="000B41AE"/>
    <w:rsid w:val="000B5190"/>
    <w:rsid w:val="000B77BC"/>
    <w:rsid w:val="000C544B"/>
    <w:rsid w:val="000D04D2"/>
    <w:rsid w:val="000D2034"/>
    <w:rsid w:val="000E0580"/>
    <w:rsid w:val="000F3F7A"/>
    <w:rsid w:val="000F68B8"/>
    <w:rsid w:val="000F7FA2"/>
    <w:rsid w:val="00106EE2"/>
    <w:rsid w:val="00110A5A"/>
    <w:rsid w:val="00111C76"/>
    <w:rsid w:val="001163C3"/>
    <w:rsid w:val="0014073B"/>
    <w:rsid w:val="0014181E"/>
    <w:rsid w:val="001462C4"/>
    <w:rsid w:val="00146748"/>
    <w:rsid w:val="00162D97"/>
    <w:rsid w:val="00165D3F"/>
    <w:rsid w:val="00170ACD"/>
    <w:rsid w:val="00173138"/>
    <w:rsid w:val="0017320C"/>
    <w:rsid w:val="00173416"/>
    <w:rsid w:val="00173EC4"/>
    <w:rsid w:val="0017524A"/>
    <w:rsid w:val="0017535D"/>
    <w:rsid w:val="00194B06"/>
    <w:rsid w:val="00194BB0"/>
    <w:rsid w:val="001A1430"/>
    <w:rsid w:val="001B3D9E"/>
    <w:rsid w:val="001B59ED"/>
    <w:rsid w:val="001C0A1F"/>
    <w:rsid w:val="001C7833"/>
    <w:rsid w:val="001D46C1"/>
    <w:rsid w:val="001D6AC5"/>
    <w:rsid w:val="001E6D0B"/>
    <w:rsid w:val="001E6FF6"/>
    <w:rsid w:val="00201882"/>
    <w:rsid w:val="002066C9"/>
    <w:rsid w:val="00207038"/>
    <w:rsid w:val="00211C03"/>
    <w:rsid w:val="002151FD"/>
    <w:rsid w:val="00220532"/>
    <w:rsid w:val="002210A4"/>
    <w:rsid w:val="00222A0F"/>
    <w:rsid w:val="002235F1"/>
    <w:rsid w:val="00224E12"/>
    <w:rsid w:val="00225E46"/>
    <w:rsid w:val="00233B8F"/>
    <w:rsid w:val="00236668"/>
    <w:rsid w:val="00237C1E"/>
    <w:rsid w:val="00242DC7"/>
    <w:rsid w:val="002619E7"/>
    <w:rsid w:val="00266588"/>
    <w:rsid w:val="00267523"/>
    <w:rsid w:val="00276681"/>
    <w:rsid w:val="00283880"/>
    <w:rsid w:val="002856B4"/>
    <w:rsid w:val="00291917"/>
    <w:rsid w:val="002A7659"/>
    <w:rsid w:val="002C2696"/>
    <w:rsid w:val="002D13A7"/>
    <w:rsid w:val="002D513A"/>
    <w:rsid w:val="002D772A"/>
    <w:rsid w:val="002D7B33"/>
    <w:rsid w:val="0030216F"/>
    <w:rsid w:val="00313F77"/>
    <w:rsid w:val="003272E0"/>
    <w:rsid w:val="00330062"/>
    <w:rsid w:val="0033216D"/>
    <w:rsid w:val="003361D0"/>
    <w:rsid w:val="00336723"/>
    <w:rsid w:val="00336906"/>
    <w:rsid w:val="003404E5"/>
    <w:rsid w:val="003423A7"/>
    <w:rsid w:val="00344D50"/>
    <w:rsid w:val="003542E2"/>
    <w:rsid w:val="00357A6F"/>
    <w:rsid w:val="003606F9"/>
    <w:rsid w:val="003652CA"/>
    <w:rsid w:val="00371D86"/>
    <w:rsid w:val="003873C4"/>
    <w:rsid w:val="003878FF"/>
    <w:rsid w:val="003905E9"/>
    <w:rsid w:val="003A6A57"/>
    <w:rsid w:val="003B03D5"/>
    <w:rsid w:val="003C6F1A"/>
    <w:rsid w:val="003C7D67"/>
    <w:rsid w:val="003D38F6"/>
    <w:rsid w:val="003E168C"/>
    <w:rsid w:val="003E611C"/>
    <w:rsid w:val="003E71E3"/>
    <w:rsid w:val="004025E2"/>
    <w:rsid w:val="00405A7C"/>
    <w:rsid w:val="00411460"/>
    <w:rsid w:val="00417F55"/>
    <w:rsid w:val="00423903"/>
    <w:rsid w:val="004364C1"/>
    <w:rsid w:val="004455FF"/>
    <w:rsid w:val="00461A37"/>
    <w:rsid w:val="00465ED2"/>
    <w:rsid w:val="0047279B"/>
    <w:rsid w:val="00474C42"/>
    <w:rsid w:val="004773E2"/>
    <w:rsid w:val="004775D3"/>
    <w:rsid w:val="00492374"/>
    <w:rsid w:val="00495356"/>
    <w:rsid w:val="004A67D9"/>
    <w:rsid w:val="004A749A"/>
    <w:rsid w:val="004B4329"/>
    <w:rsid w:val="004C2BE1"/>
    <w:rsid w:val="004C4C04"/>
    <w:rsid w:val="004C6E21"/>
    <w:rsid w:val="004D02B8"/>
    <w:rsid w:val="004D4B6F"/>
    <w:rsid w:val="004E62A3"/>
    <w:rsid w:val="004E747B"/>
    <w:rsid w:val="004F6744"/>
    <w:rsid w:val="00510CB6"/>
    <w:rsid w:val="00515D4E"/>
    <w:rsid w:val="00515D8C"/>
    <w:rsid w:val="00522CE6"/>
    <w:rsid w:val="0052402F"/>
    <w:rsid w:val="00525B76"/>
    <w:rsid w:val="00541737"/>
    <w:rsid w:val="00541F81"/>
    <w:rsid w:val="00573374"/>
    <w:rsid w:val="00581670"/>
    <w:rsid w:val="00581E90"/>
    <w:rsid w:val="00584A63"/>
    <w:rsid w:val="005857FD"/>
    <w:rsid w:val="00596CCC"/>
    <w:rsid w:val="005B09D3"/>
    <w:rsid w:val="005C6BF4"/>
    <w:rsid w:val="005E0602"/>
    <w:rsid w:val="005E541C"/>
    <w:rsid w:val="005E639A"/>
    <w:rsid w:val="005E65B7"/>
    <w:rsid w:val="005F0862"/>
    <w:rsid w:val="005F3C37"/>
    <w:rsid w:val="005F5A09"/>
    <w:rsid w:val="005F7AD1"/>
    <w:rsid w:val="006127A9"/>
    <w:rsid w:val="00614BED"/>
    <w:rsid w:val="0061689F"/>
    <w:rsid w:val="00624AD3"/>
    <w:rsid w:val="006315B1"/>
    <w:rsid w:val="0063541C"/>
    <w:rsid w:val="00635A5C"/>
    <w:rsid w:val="00642E46"/>
    <w:rsid w:val="00655BF5"/>
    <w:rsid w:val="00663B0A"/>
    <w:rsid w:val="00665C44"/>
    <w:rsid w:val="00667872"/>
    <w:rsid w:val="00674BE2"/>
    <w:rsid w:val="00684B2F"/>
    <w:rsid w:val="0069231C"/>
    <w:rsid w:val="00693A30"/>
    <w:rsid w:val="006A0B89"/>
    <w:rsid w:val="006A31EF"/>
    <w:rsid w:val="006A3862"/>
    <w:rsid w:val="006B2252"/>
    <w:rsid w:val="006B3574"/>
    <w:rsid w:val="006B65BF"/>
    <w:rsid w:val="006B6889"/>
    <w:rsid w:val="006C6A6A"/>
    <w:rsid w:val="006C7D67"/>
    <w:rsid w:val="006D0090"/>
    <w:rsid w:val="006D57C0"/>
    <w:rsid w:val="006E544C"/>
    <w:rsid w:val="006E6FB2"/>
    <w:rsid w:val="006F02A9"/>
    <w:rsid w:val="006F11E1"/>
    <w:rsid w:val="006F330F"/>
    <w:rsid w:val="00704090"/>
    <w:rsid w:val="00722301"/>
    <w:rsid w:val="00727A37"/>
    <w:rsid w:val="00732974"/>
    <w:rsid w:val="007344B8"/>
    <w:rsid w:val="0073541F"/>
    <w:rsid w:val="00736BA8"/>
    <w:rsid w:val="007412C3"/>
    <w:rsid w:val="0074692C"/>
    <w:rsid w:val="007610B1"/>
    <w:rsid w:val="00765F57"/>
    <w:rsid w:val="00766D6F"/>
    <w:rsid w:val="0077172C"/>
    <w:rsid w:val="00771C36"/>
    <w:rsid w:val="00782CBD"/>
    <w:rsid w:val="0078373E"/>
    <w:rsid w:val="007914D6"/>
    <w:rsid w:val="007A0071"/>
    <w:rsid w:val="007A3A39"/>
    <w:rsid w:val="007D593E"/>
    <w:rsid w:val="007F3FEA"/>
    <w:rsid w:val="007F602F"/>
    <w:rsid w:val="00801F85"/>
    <w:rsid w:val="0080297C"/>
    <w:rsid w:val="008138ED"/>
    <w:rsid w:val="0081693C"/>
    <w:rsid w:val="00816A54"/>
    <w:rsid w:val="00827407"/>
    <w:rsid w:val="008349BE"/>
    <w:rsid w:val="00846C6C"/>
    <w:rsid w:val="0085797C"/>
    <w:rsid w:val="008608B9"/>
    <w:rsid w:val="008748E8"/>
    <w:rsid w:val="00880274"/>
    <w:rsid w:val="00881454"/>
    <w:rsid w:val="00885AFE"/>
    <w:rsid w:val="00887E1D"/>
    <w:rsid w:val="008940EB"/>
    <w:rsid w:val="00897A27"/>
    <w:rsid w:val="008A25CF"/>
    <w:rsid w:val="008A323A"/>
    <w:rsid w:val="008A5FAB"/>
    <w:rsid w:val="008A70E1"/>
    <w:rsid w:val="008A7FFD"/>
    <w:rsid w:val="008B4F6C"/>
    <w:rsid w:val="008C08B5"/>
    <w:rsid w:val="008C16C9"/>
    <w:rsid w:val="008C1F63"/>
    <w:rsid w:val="008C600F"/>
    <w:rsid w:val="008D19D6"/>
    <w:rsid w:val="008E367A"/>
    <w:rsid w:val="008E3E84"/>
    <w:rsid w:val="008F14DA"/>
    <w:rsid w:val="008F6058"/>
    <w:rsid w:val="008F7692"/>
    <w:rsid w:val="00917414"/>
    <w:rsid w:val="00923E14"/>
    <w:rsid w:val="00925377"/>
    <w:rsid w:val="0092764D"/>
    <w:rsid w:val="00932DDA"/>
    <w:rsid w:val="00933880"/>
    <w:rsid w:val="00934601"/>
    <w:rsid w:val="0093468C"/>
    <w:rsid w:val="00937423"/>
    <w:rsid w:val="00950853"/>
    <w:rsid w:val="009534CE"/>
    <w:rsid w:val="0096089B"/>
    <w:rsid w:val="00962F49"/>
    <w:rsid w:val="00965BD9"/>
    <w:rsid w:val="00970CC6"/>
    <w:rsid w:val="0097241B"/>
    <w:rsid w:val="00975AA0"/>
    <w:rsid w:val="00977317"/>
    <w:rsid w:val="009805B1"/>
    <w:rsid w:val="00980F5B"/>
    <w:rsid w:val="00983F2F"/>
    <w:rsid w:val="0099055C"/>
    <w:rsid w:val="00990D42"/>
    <w:rsid w:val="00991A81"/>
    <w:rsid w:val="009A7696"/>
    <w:rsid w:val="009B1242"/>
    <w:rsid w:val="009B2A36"/>
    <w:rsid w:val="009B2F04"/>
    <w:rsid w:val="009B43D7"/>
    <w:rsid w:val="009C1334"/>
    <w:rsid w:val="009C43E8"/>
    <w:rsid w:val="009D3173"/>
    <w:rsid w:val="009E67C3"/>
    <w:rsid w:val="009F1AF6"/>
    <w:rsid w:val="009F21B8"/>
    <w:rsid w:val="009F3A30"/>
    <w:rsid w:val="009F3C8F"/>
    <w:rsid w:val="009F4648"/>
    <w:rsid w:val="009F4EAA"/>
    <w:rsid w:val="009F674F"/>
    <w:rsid w:val="009F709F"/>
    <w:rsid w:val="00A07145"/>
    <w:rsid w:val="00A17083"/>
    <w:rsid w:val="00A2003F"/>
    <w:rsid w:val="00A320AC"/>
    <w:rsid w:val="00A37137"/>
    <w:rsid w:val="00A43A85"/>
    <w:rsid w:val="00A47453"/>
    <w:rsid w:val="00A50EFA"/>
    <w:rsid w:val="00A5532D"/>
    <w:rsid w:val="00A60B3A"/>
    <w:rsid w:val="00A613B7"/>
    <w:rsid w:val="00A63218"/>
    <w:rsid w:val="00A65C80"/>
    <w:rsid w:val="00A716A5"/>
    <w:rsid w:val="00A73D15"/>
    <w:rsid w:val="00A754C0"/>
    <w:rsid w:val="00A85356"/>
    <w:rsid w:val="00A865C3"/>
    <w:rsid w:val="00A90860"/>
    <w:rsid w:val="00A91B5F"/>
    <w:rsid w:val="00A9200C"/>
    <w:rsid w:val="00A938A5"/>
    <w:rsid w:val="00A95CCC"/>
    <w:rsid w:val="00AA1408"/>
    <w:rsid w:val="00AA23EE"/>
    <w:rsid w:val="00AA26DF"/>
    <w:rsid w:val="00AA7398"/>
    <w:rsid w:val="00AB375C"/>
    <w:rsid w:val="00AC4CF8"/>
    <w:rsid w:val="00AD62CD"/>
    <w:rsid w:val="00AD64B9"/>
    <w:rsid w:val="00AD69CF"/>
    <w:rsid w:val="00AE5AEA"/>
    <w:rsid w:val="00AE63DD"/>
    <w:rsid w:val="00AF04E8"/>
    <w:rsid w:val="00AF0625"/>
    <w:rsid w:val="00AF114E"/>
    <w:rsid w:val="00B00158"/>
    <w:rsid w:val="00B02260"/>
    <w:rsid w:val="00B032DC"/>
    <w:rsid w:val="00B11DA2"/>
    <w:rsid w:val="00B14971"/>
    <w:rsid w:val="00B16D37"/>
    <w:rsid w:val="00B22B0C"/>
    <w:rsid w:val="00B23193"/>
    <w:rsid w:val="00B31517"/>
    <w:rsid w:val="00B31E7A"/>
    <w:rsid w:val="00B45BE7"/>
    <w:rsid w:val="00B50D87"/>
    <w:rsid w:val="00B545BA"/>
    <w:rsid w:val="00B579BB"/>
    <w:rsid w:val="00B677F3"/>
    <w:rsid w:val="00B74CDA"/>
    <w:rsid w:val="00B7674D"/>
    <w:rsid w:val="00B82DB0"/>
    <w:rsid w:val="00B86EE2"/>
    <w:rsid w:val="00B90FE3"/>
    <w:rsid w:val="00B9441C"/>
    <w:rsid w:val="00B96B22"/>
    <w:rsid w:val="00BA1BA6"/>
    <w:rsid w:val="00BA6F90"/>
    <w:rsid w:val="00BA72D1"/>
    <w:rsid w:val="00BB6E40"/>
    <w:rsid w:val="00BD4399"/>
    <w:rsid w:val="00BF0810"/>
    <w:rsid w:val="00BF1718"/>
    <w:rsid w:val="00BF2B1D"/>
    <w:rsid w:val="00BF2DE4"/>
    <w:rsid w:val="00BF32E7"/>
    <w:rsid w:val="00BF701A"/>
    <w:rsid w:val="00C00EFC"/>
    <w:rsid w:val="00C03C7A"/>
    <w:rsid w:val="00C06571"/>
    <w:rsid w:val="00C103A2"/>
    <w:rsid w:val="00C115FF"/>
    <w:rsid w:val="00C14803"/>
    <w:rsid w:val="00C155B8"/>
    <w:rsid w:val="00C16615"/>
    <w:rsid w:val="00C239C7"/>
    <w:rsid w:val="00C25610"/>
    <w:rsid w:val="00C27606"/>
    <w:rsid w:val="00C30FA4"/>
    <w:rsid w:val="00C32EB3"/>
    <w:rsid w:val="00C33052"/>
    <w:rsid w:val="00C36D17"/>
    <w:rsid w:val="00C42FA6"/>
    <w:rsid w:val="00C439CE"/>
    <w:rsid w:val="00C4505E"/>
    <w:rsid w:val="00C451C9"/>
    <w:rsid w:val="00C45E5D"/>
    <w:rsid w:val="00C5001D"/>
    <w:rsid w:val="00C52DF9"/>
    <w:rsid w:val="00C54A06"/>
    <w:rsid w:val="00C5547A"/>
    <w:rsid w:val="00C65644"/>
    <w:rsid w:val="00C6663D"/>
    <w:rsid w:val="00C70B5B"/>
    <w:rsid w:val="00C741AA"/>
    <w:rsid w:val="00C75684"/>
    <w:rsid w:val="00C8143D"/>
    <w:rsid w:val="00C8691C"/>
    <w:rsid w:val="00C93407"/>
    <w:rsid w:val="00C952EC"/>
    <w:rsid w:val="00C96F0F"/>
    <w:rsid w:val="00CA0D63"/>
    <w:rsid w:val="00CA1323"/>
    <w:rsid w:val="00CA1345"/>
    <w:rsid w:val="00CA4BEE"/>
    <w:rsid w:val="00CB707A"/>
    <w:rsid w:val="00CC2CB9"/>
    <w:rsid w:val="00CD23DB"/>
    <w:rsid w:val="00CD2ABD"/>
    <w:rsid w:val="00CD670D"/>
    <w:rsid w:val="00CE062F"/>
    <w:rsid w:val="00CF7729"/>
    <w:rsid w:val="00D0023D"/>
    <w:rsid w:val="00D06483"/>
    <w:rsid w:val="00D133AB"/>
    <w:rsid w:val="00D1717B"/>
    <w:rsid w:val="00D2493B"/>
    <w:rsid w:val="00D26AA7"/>
    <w:rsid w:val="00D31576"/>
    <w:rsid w:val="00D4081D"/>
    <w:rsid w:val="00D42550"/>
    <w:rsid w:val="00D426BC"/>
    <w:rsid w:val="00D42A48"/>
    <w:rsid w:val="00D42CAE"/>
    <w:rsid w:val="00D46285"/>
    <w:rsid w:val="00D52DB4"/>
    <w:rsid w:val="00D5422B"/>
    <w:rsid w:val="00D60196"/>
    <w:rsid w:val="00D62069"/>
    <w:rsid w:val="00D634C3"/>
    <w:rsid w:val="00D71F40"/>
    <w:rsid w:val="00D85D1D"/>
    <w:rsid w:val="00D91021"/>
    <w:rsid w:val="00DB57AB"/>
    <w:rsid w:val="00DB771B"/>
    <w:rsid w:val="00DB7B8E"/>
    <w:rsid w:val="00DC4166"/>
    <w:rsid w:val="00DC6BA2"/>
    <w:rsid w:val="00DD1365"/>
    <w:rsid w:val="00DD4B93"/>
    <w:rsid w:val="00DD7E5F"/>
    <w:rsid w:val="00DE0619"/>
    <w:rsid w:val="00DE4B94"/>
    <w:rsid w:val="00DE6510"/>
    <w:rsid w:val="00DF0F3B"/>
    <w:rsid w:val="00DF57D5"/>
    <w:rsid w:val="00E01658"/>
    <w:rsid w:val="00E027DF"/>
    <w:rsid w:val="00E06D40"/>
    <w:rsid w:val="00E144C2"/>
    <w:rsid w:val="00E149A4"/>
    <w:rsid w:val="00E16E4E"/>
    <w:rsid w:val="00E16EEB"/>
    <w:rsid w:val="00E217C0"/>
    <w:rsid w:val="00E256C7"/>
    <w:rsid w:val="00E25763"/>
    <w:rsid w:val="00E32D21"/>
    <w:rsid w:val="00E62DA4"/>
    <w:rsid w:val="00E6478A"/>
    <w:rsid w:val="00E65549"/>
    <w:rsid w:val="00E704AF"/>
    <w:rsid w:val="00E773D5"/>
    <w:rsid w:val="00E80FD5"/>
    <w:rsid w:val="00E97203"/>
    <w:rsid w:val="00EA4249"/>
    <w:rsid w:val="00EA5998"/>
    <w:rsid w:val="00EB03FB"/>
    <w:rsid w:val="00EB361E"/>
    <w:rsid w:val="00EB4BF5"/>
    <w:rsid w:val="00EB6212"/>
    <w:rsid w:val="00EC6915"/>
    <w:rsid w:val="00ED2C20"/>
    <w:rsid w:val="00ED36F9"/>
    <w:rsid w:val="00ED4693"/>
    <w:rsid w:val="00EE1CBE"/>
    <w:rsid w:val="00EE65BC"/>
    <w:rsid w:val="00EE6601"/>
    <w:rsid w:val="00EF6438"/>
    <w:rsid w:val="00EF7F3F"/>
    <w:rsid w:val="00F04FE8"/>
    <w:rsid w:val="00F11331"/>
    <w:rsid w:val="00F16449"/>
    <w:rsid w:val="00F2193B"/>
    <w:rsid w:val="00F25250"/>
    <w:rsid w:val="00F30BCA"/>
    <w:rsid w:val="00F33859"/>
    <w:rsid w:val="00F37F51"/>
    <w:rsid w:val="00F4480F"/>
    <w:rsid w:val="00F541EE"/>
    <w:rsid w:val="00F56664"/>
    <w:rsid w:val="00F6235E"/>
    <w:rsid w:val="00F62A4E"/>
    <w:rsid w:val="00F66B1F"/>
    <w:rsid w:val="00F7084A"/>
    <w:rsid w:val="00F73564"/>
    <w:rsid w:val="00F8064F"/>
    <w:rsid w:val="00F839BB"/>
    <w:rsid w:val="00F8693F"/>
    <w:rsid w:val="00F91148"/>
    <w:rsid w:val="00F92066"/>
    <w:rsid w:val="00F95A52"/>
    <w:rsid w:val="00F973FA"/>
    <w:rsid w:val="00FA3DAE"/>
    <w:rsid w:val="00FB3F74"/>
    <w:rsid w:val="00FB7F52"/>
    <w:rsid w:val="00FC2139"/>
    <w:rsid w:val="00FC30BB"/>
    <w:rsid w:val="00FD0709"/>
    <w:rsid w:val="00FD7019"/>
    <w:rsid w:val="00FE5064"/>
    <w:rsid w:val="00FE519B"/>
    <w:rsid w:val="00FF04E3"/>
    <w:rsid w:val="00FF2EBE"/>
    <w:rsid w:val="00FF2F90"/>
    <w:rsid w:val="00FF398A"/>
    <w:rsid w:val="00FF5B9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DB9F426-5045-234F-91DF-2C21ECED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1870</Words>
  <Characters>9691</Characters>
  <Application>Microsoft Macintosh Word</Application>
  <DocSecurity>0</DocSecurity>
  <Lines>153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25</cp:revision>
  <dcterms:created xsi:type="dcterms:W3CDTF">2016-12-22T09:13:00Z</dcterms:created>
  <dcterms:modified xsi:type="dcterms:W3CDTF">2016-12-22T21:28:00Z</dcterms:modified>
</cp:coreProperties>
</file>