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789399DA" w:rsidR="00CF7E1B" w:rsidRDefault="00367E5D" w:rsidP="00CF7E1B">
      <w:pPr>
        <w:pStyle w:val="Mmoire"/>
        <w:rPr>
          <w:lang w:val="fr-CH"/>
        </w:rPr>
      </w:pPr>
      <w:r>
        <w:rPr>
          <w:lang w:val="fr-CH"/>
        </w:rPr>
        <w:t xml:space="preserve">En préambule à ce chapitre consacré à l’état de l’Art,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de </w:t>
      </w:r>
      <w:r w:rsidR="00016E91">
        <w:rPr>
          <w:i/>
          <w:lang w:val="fr-CH"/>
        </w:rPr>
        <w:t>Invasion of the Body Snatchers</w:t>
      </w:r>
      <w:r w:rsidR="00016E91">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du film au centre de notre travail en laissant de cô</w:t>
      </w:r>
      <w:r w:rsidR="004C3836">
        <w:rPr>
          <w:lang w:val="fr-CH"/>
        </w:rPr>
        <w:t>té le roman</w:t>
      </w:r>
      <w:r w:rsidR="00016E91">
        <w:rPr>
          <w:lang w:val="fr-CH"/>
        </w:rPr>
        <w:t xml:space="preserve"> source et les questions </w:t>
      </w:r>
      <w:r w:rsidR="00016E91" w:rsidRPr="004C3836">
        <w:rPr>
          <w:i/>
          <w:lang w:val="fr-CH"/>
        </w:rPr>
        <w:t>d’</w:t>
      </w:r>
      <w:r w:rsidR="004C3836" w:rsidRPr="004C3836">
        <w:rPr>
          <w:i/>
          <w:lang w:val="fr-CH"/>
        </w:rPr>
        <w:t>adaptation</w:t>
      </w:r>
      <w:r w:rsidR="00016E91">
        <w:rPr>
          <w:lang w:val="fr-CH"/>
        </w:rPr>
        <w:t xml:space="preserve"> pures, sans toutefois complètement les omettre.</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de source dans le cadre de la dernière partie de ce chapitre, intitulée « une métaphore pluri-sémantique »,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articles académiques consacrés au(x) film(s).</w:t>
      </w:r>
      <w:r w:rsidR="008364AE">
        <w:rPr>
          <w:lang w:val="fr-CH"/>
        </w:rPr>
        <w:t xml:space="preserve"> Finalement, il conviendra de mentionner les 3 livres dédi</w:t>
      </w:r>
      <w:r w:rsidR="00C87D83">
        <w:rPr>
          <w:lang w:val="fr-CH"/>
        </w:rPr>
        <w:t>és au(x) film(s)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de </w:t>
      </w:r>
      <w:r w:rsidR="00333A58">
        <w:rPr>
          <w:i/>
          <w:lang w:val="fr-CH"/>
        </w:rPr>
        <w:t xml:space="preserve">Invasion </w:t>
      </w:r>
      <w:r w:rsidR="00333A58">
        <w:rPr>
          <w:i/>
          <w:lang w:val="fr-CH"/>
        </w:rPr>
        <w:lastRenderedPageBreak/>
        <w:t>of the Body Snatchers</w:t>
      </w:r>
      <w:r w:rsidR="00333A58">
        <w:rPr>
          <w:rStyle w:val="FootnoteReference"/>
          <w:i/>
          <w:lang w:val="fr-CH"/>
        </w:rPr>
        <w:footnoteReference w:id="6"/>
      </w:r>
      <w:r w:rsidR="007D7652">
        <w:rPr>
          <w:lang w:val="fr-CH"/>
        </w:rPr>
        <w:t>. Néanmoins, les trois livres ont grandement facilité la démarche entreprise dans le cadre de ces travail en reproduisant 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21D5CA55" w14:textId="77777777" w:rsidR="00F56B7E" w:rsidRPr="00F56B7E" w:rsidRDefault="00F56B7E" w:rsidP="00F56B7E"/>
    <w:p w14:paraId="1151E095" w14:textId="1BCEECA9" w:rsidR="00EB361E" w:rsidRPr="00611886" w:rsidRDefault="00A82504" w:rsidP="00EB361E">
      <w:pPr>
        <w:pStyle w:val="Heading2"/>
        <w:rPr>
          <w:lang w:val="fr-CH"/>
        </w:rPr>
      </w:pPr>
      <w:r w:rsidRPr="00611886">
        <w:rPr>
          <w:lang w:val="fr-CH"/>
        </w:rPr>
        <w:t xml:space="preserve">Un « classique » et ses </w:t>
      </w:r>
      <w:r w:rsidRPr="00611886">
        <w:rPr>
          <w:i/>
          <w:lang w:val="fr-CH"/>
        </w:rPr>
        <w:t>remakes</w:t>
      </w:r>
      <w:r w:rsidRPr="00611886">
        <w:rPr>
          <w:lang w:val="fr-CH"/>
        </w:rPr>
        <w:t xml:space="preserve"> vus par la critique</w:t>
      </w:r>
    </w:p>
    <w:p w14:paraId="4B5E6F95" w14:textId="77777777" w:rsidR="00EB361E" w:rsidRPr="00CD78D5" w:rsidRDefault="00EB361E" w:rsidP="00EB361E">
      <w:pPr>
        <w:rPr>
          <w:lang w:val="fr-CH"/>
        </w:rPr>
      </w:pPr>
    </w:p>
    <w:p w14:paraId="6588DE39" w14:textId="09D58092"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 comme le témoigne la lettre de Walter Wagner du 7 mai 1956 adressée à Bosley</w:t>
      </w:r>
      <w:r w:rsidR="0000607A">
        <w:rPr>
          <w:lang w:val="fr-CH"/>
        </w:rPr>
        <w:t xml:space="preserve"> Crowther</w:t>
      </w:r>
      <w:r w:rsidR="0000607A">
        <w:rPr>
          <w:rStyle w:val="FootnoteReference"/>
          <w:lang w:val="fr-CH"/>
        </w:rPr>
        <w:footnoteReference w:id="8"/>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dans laquelle il affirme également </w:t>
      </w:r>
      <w:r w:rsidR="00A17F6D">
        <w:rPr>
          <w:lang w:val="fr-CH"/>
        </w:rPr>
        <w:t>« </w:t>
      </w:r>
      <w:r w:rsidR="00A17F6D" w:rsidRPr="00A17F6D">
        <w:rPr>
          <w:lang w:val="en-US"/>
        </w:rPr>
        <w:t xml:space="preserve">it’s definitely an exploitation picture which they </w:t>
      </w:r>
      <w:r w:rsidR="00A17F6D">
        <w:rPr>
          <w:lang w:val="en-US"/>
        </w:rPr>
        <w:t>[the distributor and exhibitor]</w:t>
      </w:r>
      <w:r w:rsidR="00ED47B2">
        <w:rPr>
          <w:lang w:val="en-US"/>
        </w:rPr>
        <w:t xml:space="preserve"> </w:t>
      </w:r>
      <w:r w:rsidR="00A17F6D" w:rsidRPr="00A17F6D">
        <w:rPr>
          <w:lang w:val="en-US"/>
        </w:rPr>
        <w:t>didn’t exploit</w:t>
      </w:r>
      <w:r w:rsidR="00A17F6D">
        <w:rPr>
          <w:lang w:val="fr-CH"/>
        </w:rPr>
        <w:t> »</w:t>
      </w:r>
      <w:r w:rsidR="00A17F6D">
        <w:rPr>
          <w:rStyle w:val="FootnoteReference"/>
          <w:lang w:val="fr-CH"/>
        </w:rPr>
        <w:footnoteReference w:id="9"/>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mais également sa lucidité face à son statut de « film d’exploitation ». Le choix de plusieurs auteurs</w:t>
      </w:r>
      <w:r w:rsidR="00F4408F">
        <w:rPr>
          <w:rStyle w:val="FootnoteReference"/>
          <w:lang w:val="fr-CH"/>
        </w:rPr>
        <w:footnoteReference w:id="10"/>
      </w:r>
      <w:r w:rsidR="006E044F">
        <w:rPr>
          <w:lang w:val="fr-CH"/>
        </w:rPr>
        <w:t xml:space="preserve"> de citer cette lettre </w:t>
      </w:r>
      <w:r w:rsidR="00F51A78">
        <w:rPr>
          <w:lang w:val="fr-CH"/>
        </w:rPr>
        <w:t>trahit également une volonté de légitimation d’un film ignoré lors de sa première sortie en salle en suggérant que, malgré l’implication de son producteur, le destin se serait acharné contre le film</w:t>
      </w:r>
      <w:r w:rsidR="00F51A78">
        <w:rPr>
          <w:rStyle w:val="FootnoteReference"/>
          <w:lang w:val="fr-CH"/>
        </w:rPr>
        <w:footnoteReference w:id="11"/>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12"/>
      </w:r>
      <w:r w:rsidR="00293BA0">
        <w:rPr>
          <w:lang w:val="fr-CH"/>
        </w:rPr>
        <w:t>, avait connu un retentissement positif dans la grande presse. Il cite trois facteurs qui ont entrainé le manque d’</w:t>
      </w:r>
      <w:r w:rsidR="008915E7">
        <w:rPr>
          <w:lang w:val="fr-CH"/>
        </w:rPr>
        <w:t>intérêt</w:t>
      </w:r>
      <w:r w:rsidR="00293BA0">
        <w:rPr>
          <w:lang w:val="fr-CH"/>
        </w:rPr>
        <w:t xml:space="preserve"> des publications majeures pour le film : son « </w:t>
      </w:r>
      <w:r w:rsidR="00293BA0" w:rsidRPr="00C060D1">
        <w:rPr>
          <w:lang w:val="en-US"/>
        </w:rPr>
        <w:t>lowly science fiction status</w:t>
      </w:r>
      <w:r w:rsidR="00293BA0">
        <w:rPr>
          <w:lang w:val="fr-CH"/>
        </w:rPr>
        <w:t> », ses sous-entendus de « film d’exploitation » et un distributeur indifférent</w:t>
      </w:r>
      <w:r w:rsidR="008915E7">
        <w:rPr>
          <w:rStyle w:val="FootnoteReference"/>
          <w:lang w:val="fr-CH"/>
        </w:rPr>
        <w:footnoteReference w:id="13"/>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 sorti en salles le 5 février 1956</w:t>
      </w:r>
      <w:r w:rsidR="00902AA9">
        <w:rPr>
          <w:rStyle w:val="FootnoteReference"/>
          <w:lang w:val="fr-CH"/>
        </w:rPr>
        <w:footnoteReference w:id="14"/>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15"/>
      </w:r>
      <w:r w:rsidR="00F963E4">
        <w:rPr>
          <w:lang w:val="fr-CH"/>
        </w:rPr>
        <w:t xml:space="preserve">, une période de vacances peu propice à </w:t>
      </w:r>
      <w:r w:rsidR="00F963E4">
        <w:rPr>
          <w:lang w:val="fr-CH"/>
        </w:rPr>
        <w:lastRenderedPageBreak/>
        <w:t>ce genre d’</w:t>
      </w:r>
      <w:r w:rsidR="00B90B58">
        <w:rPr>
          <w:lang w:val="fr-CH"/>
        </w:rPr>
        <w:t>évènements</w:t>
      </w:r>
      <w:r w:rsidR="00F963E4">
        <w:rPr>
          <w:lang w:val="fr-CH"/>
        </w:rPr>
        <w:t>.</w:t>
      </w:r>
      <w:r w:rsidR="001D3B62">
        <w:rPr>
          <w:lang w:val="fr-CH"/>
        </w:rPr>
        <w:t xml:space="preserve"> La douzaine de critiques publiées au moment de la sortie du film sont malgré tout positives : </w:t>
      </w:r>
      <w:r w:rsidR="009E498B" w:rsidRPr="00C060D1">
        <w:rPr>
          <w:i/>
          <w:lang w:val="en-US"/>
        </w:rPr>
        <w:t>Sight and Sound</w:t>
      </w:r>
      <w:r w:rsidR="009E498B">
        <w:rPr>
          <w:lang w:val="fr-CH"/>
        </w:rPr>
        <w:t xml:space="preserve"> parle d’une « </w:t>
      </w:r>
      <w:r w:rsidR="001B2667" w:rsidRPr="00C060D1">
        <w:rPr>
          <w:lang w:val="en-US"/>
        </w:rPr>
        <w:t>excellent</w:t>
      </w:r>
      <w:r w:rsidR="00E4428C" w:rsidRPr="00C060D1">
        <w:rPr>
          <w:lang w:val="en-US"/>
        </w:rPr>
        <w:t xml:space="preserve"> </w:t>
      </w:r>
      <w:r w:rsidR="009E498B" w:rsidRPr="00C060D1">
        <w:rPr>
          <w:lang w:val="en-US"/>
        </w:rPr>
        <w:t>atmosphere </w:t>
      </w:r>
      <w:r w:rsidR="009E498B">
        <w:rPr>
          <w:lang w:val="fr-CH"/>
        </w:rPr>
        <w:t>»</w:t>
      </w:r>
      <w:r w:rsidR="009E498B">
        <w:rPr>
          <w:rStyle w:val="FootnoteReference"/>
          <w:lang w:val="fr-CH"/>
        </w:rPr>
        <w:footnoteReference w:id="16"/>
      </w:r>
      <w:r w:rsidR="00E4428C">
        <w:rPr>
          <w:lang w:val="fr-CH"/>
        </w:rPr>
        <w:t xml:space="preserve">, </w:t>
      </w:r>
      <w:r w:rsidR="00E4428C">
        <w:rPr>
          <w:i/>
          <w:lang w:val="fr-CH"/>
        </w:rPr>
        <w:t>The Hollywood Reporter</w:t>
      </w:r>
      <w:r w:rsidR="00E4428C">
        <w:rPr>
          <w:lang w:val="fr-CH"/>
        </w:rPr>
        <w:t xml:space="preserve"> souligne « </w:t>
      </w:r>
      <w:r w:rsidR="001B2667" w:rsidRPr="00C060D1">
        <w:rPr>
          <w:lang w:val="en-US"/>
        </w:rPr>
        <w:t>the solid emotion and suspense</w:t>
      </w:r>
      <w:r w:rsidR="001B2667">
        <w:rPr>
          <w:lang w:val="fr-CH"/>
        </w:rPr>
        <w:t xml:space="preserve"> </w:t>
      </w:r>
      <w:r w:rsidR="00E4428C">
        <w:rPr>
          <w:lang w:val="fr-CH"/>
        </w:rPr>
        <w:t>» apportés par la réalisation de Don Siegel</w:t>
      </w:r>
      <w:r w:rsidR="00E4428C">
        <w:rPr>
          <w:rStyle w:val="FootnoteReference"/>
          <w:lang w:val="fr-CH"/>
        </w:rPr>
        <w:footnoteReference w:id="17"/>
      </w:r>
      <w:r w:rsidR="001B2667">
        <w:rPr>
          <w:lang w:val="fr-CH"/>
        </w:rPr>
        <w:t xml:space="preserve">, </w:t>
      </w:r>
      <w:r w:rsidR="001B2667" w:rsidRPr="00C060D1">
        <w:rPr>
          <w:i/>
          <w:lang w:val="en-US"/>
        </w:rPr>
        <w:t>The Daily Film Reviewer</w:t>
      </w:r>
      <w:r w:rsidR="001B2667">
        <w:rPr>
          <w:lang w:val="fr-CH"/>
        </w:rPr>
        <w:t xml:space="preserve"> qualifie le film de «</w:t>
      </w:r>
      <w:r w:rsidR="001B2667" w:rsidRPr="00C060D1">
        <w:rPr>
          <w:lang w:val="en-US"/>
        </w:rPr>
        <w:t> </w:t>
      </w:r>
      <w:r w:rsidR="00C060D1" w:rsidRPr="00C060D1">
        <w:rPr>
          <w:lang w:val="en-US"/>
        </w:rPr>
        <w:t>brilliant</w:t>
      </w:r>
      <w:r w:rsidR="001B2667" w:rsidRPr="00C060D1">
        <w:rPr>
          <w:lang w:val="en-US"/>
        </w:rPr>
        <w:t xml:space="preserve"> and unusual science shocker </w:t>
      </w:r>
      <w:r w:rsidR="001B2667">
        <w:rPr>
          <w:lang w:val="fr-CH"/>
        </w:rPr>
        <w:t>»</w:t>
      </w:r>
      <w:r w:rsidR="001B2667">
        <w:rPr>
          <w:rStyle w:val="FootnoteReference"/>
          <w:lang w:val="fr-CH"/>
        </w:rPr>
        <w:footnoteReference w:id="18"/>
      </w:r>
      <w:r w:rsidR="001B2667">
        <w:rPr>
          <w:lang w:val="fr-CH"/>
        </w:rPr>
        <w:t>.</w:t>
      </w:r>
      <w:r w:rsidR="00C54399">
        <w:rPr>
          <w:lang w:val="fr-CH"/>
        </w:rPr>
        <w:t xml:space="preserve"> Un certain nombre de critiques dressent un parallèle entre le film et « </w:t>
      </w:r>
      <w:r w:rsidR="00C54399" w:rsidRPr="00C060D1">
        <w:rPr>
          <w:i/>
          <w:lang w:val="en-US"/>
        </w:rPr>
        <w:t>The Thing</w:t>
      </w:r>
      <w:r w:rsidR="00810BFA">
        <w:rPr>
          <w:rStyle w:val="FootnoteReference"/>
          <w:i/>
          <w:lang w:val="fr-CH"/>
        </w:rPr>
        <w:footnoteReference w:id="19"/>
      </w:r>
      <w:r w:rsidR="00C54399">
        <w:rPr>
          <w:i/>
          <w:lang w:val="fr-CH"/>
        </w:rPr>
        <w:t> »</w:t>
      </w:r>
      <w:r w:rsidR="00C54399">
        <w:rPr>
          <w:rStyle w:val="FootnoteReference"/>
          <w:i/>
          <w:lang w:val="fr-CH"/>
        </w:rPr>
        <w:footnoteReference w:id="20"/>
      </w:r>
      <w:r w:rsidR="00300B5B">
        <w:rPr>
          <w:lang w:val="fr-CH"/>
        </w:rPr>
        <w:t xml:space="preserve"> comme tentative d’imiter son succès ; bien que le résumé du film dans critique de Sarah Hamilton laisse imaginer que cette dernière n’a en réalité pas vu le film</w:t>
      </w:r>
      <w:r w:rsidR="00300B5B">
        <w:rPr>
          <w:rStyle w:val="FootnoteReference"/>
          <w:lang w:val="fr-CH"/>
        </w:rPr>
        <w:footnoteReference w:id="21"/>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C060D1">
        <w:rPr>
          <w:lang w:val="en-US"/>
        </w:rPr>
        <w:t>The Things that came from another world ! </w:t>
      </w:r>
      <w:r w:rsidR="00283CF4">
        <w:rPr>
          <w:lang w:val="fr-CH"/>
        </w:rPr>
        <w:t>»</w:t>
      </w:r>
      <w:r w:rsidR="00283CF4">
        <w:rPr>
          <w:rStyle w:val="FootnoteReference"/>
          <w:lang w:val="fr-CH"/>
        </w:rPr>
        <w:footnoteReference w:id="22"/>
      </w:r>
      <w:r w:rsidR="00F3274A">
        <w:rPr>
          <w:lang w:val="fr-CH"/>
        </w:rPr>
        <w:t xml:space="preserve">. </w:t>
      </w:r>
      <w:r w:rsidR="00AB3AD4">
        <w:rPr>
          <w:lang w:val="fr-CH"/>
        </w:rPr>
        <w:t>Ce que toutes les critiques américaines et britanniques de l’</w:t>
      </w:r>
      <w:r w:rsidR="00E41347">
        <w:rPr>
          <w:lang w:val="fr-CH"/>
        </w:rPr>
        <w:t>époques manquent de mentionner est le sous-texte politique du film, chose qui n’échappe pas à la critique française lors de la sortie du film en France onze années plus tard, en 1967</w:t>
      </w:r>
      <w:r w:rsidR="00DD3C95">
        <w:rPr>
          <w:rStyle w:val="FootnoteReference"/>
          <w:lang w:val="fr-CH"/>
        </w:rPr>
        <w:footnoteReference w:id="23"/>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24"/>
      </w:r>
      <w:r w:rsidR="008A7494">
        <w:rPr>
          <w:lang w:val="fr-CH"/>
        </w:rPr>
        <w:t xml:space="preserve">, </w:t>
      </w:r>
      <w:r w:rsidR="000552FA">
        <w:rPr>
          <w:lang w:val="fr-CH"/>
        </w:rPr>
        <w:t>d’«</w:t>
      </w:r>
      <w:r w:rsidR="008A7494">
        <w:rPr>
          <w:lang w:val="fr-CH"/>
        </w:rPr>
        <w:t> œuvre maitresse »</w:t>
      </w:r>
      <w:r w:rsidR="008A7494">
        <w:rPr>
          <w:rStyle w:val="FootnoteReference"/>
          <w:lang w:val="fr-CH"/>
        </w:rPr>
        <w:footnoteReference w:id="25"/>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26"/>
      </w:r>
      <w:r w:rsidR="00DE3C2D">
        <w:rPr>
          <w:lang w:val="fr-CH"/>
        </w:rPr>
        <w:t> ; un processus qui va continuer lors des rediffusions ou réédition subséquentes du film en 1986 (« Le film de Siegel fait figure de chef d’œuvre »</w:t>
      </w:r>
      <w:r w:rsidR="00DE3C2D">
        <w:rPr>
          <w:rStyle w:val="FootnoteReference"/>
          <w:lang w:val="fr-CH"/>
        </w:rPr>
        <w:footnoteReference w:id="27"/>
      </w:r>
      <w:r w:rsidR="00DE3C2D">
        <w:rPr>
          <w:lang w:val="fr-CH"/>
        </w:rPr>
        <w:t>) ou 2015 (« un des grands titres de l’histoire du cinéma américain tout court »</w:t>
      </w:r>
      <w:r w:rsidR="005418E9">
        <w:rPr>
          <w:rStyle w:val="FootnoteReference"/>
          <w:lang w:val="fr-CH"/>
        </w:rPr>
        <w:footnoteReference w:id="28"/>
      </w:r>
      <w:r w:rsidR="00DE3C2D">
        <w:rPr>
          <w:lang w:val="fr-CH"/>
        </w:rPr>
        <w:t>)</w:t>
      </w:r>
      <w:r w:rsidR="00F77154">
        <w:rPr>
          <w:lang w:val="fr-CH"/>
        </w:rPr>
        <w:t>.</w:t>
      </w:r>
    </w:p>
    <w:p w14:paraId="5D30F518" w14:textId="77777777" w:rsidR="00BF02C1" w:rsidRDefault="00E4313C" w:rsidP="00BF02C1">
      <w:pPr>
        <w:pStyle w:val="Mmoire"/>
      </w:pPr>
      <w:r>
        <w:lastRenderedPageBreak/>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5E54D6C1" w:rsidR="00E4313C" w:rsidRDefault="00BF02C1" w:rsidP="00BF02C1">
      <w:pPr>
        <w:ind w:left="720"/>
        <w:jc w:val="both"/>
        <w:rPr>
          <w:lang w:val="en-US"/>
        </w:rPr>
      </w:pPr>
      <w:r w:rsidRPr="00300FAE">
        <w:rPr>
          <w:lang w:val="en-US"/>
        </w:rPr>
        <w:t>«</w:t>
      </w:r>
      <w:r w:rsidR="00300FAE" w:rsidRPr="00300FAE">
        <w:rPr>
          <w:lang w:val="en-US"/>
        </w:rPr>
        <w:t xml:space="preserve"> </w:t>
      </w:r>
      <w:r w:rsidRPr="00300FAE">
        <w:rPr>
          <w:lang w:val="en-US"/>
        </w:rPr>
        <w:t xml:space="preserve">Remakes, for the most part, are a pain in the ass. At the bottom of every decision to produce (or </w:t>
      </w:r>
      <w:r w:rsidR="00645A27" w:rsidRPr="00300FAE">
        <w:rPr>
          <w:lang w:val="en-US"/>
        </w:rPr>
        <w:t>reproduce</w:t>
      </w:r>
      <w:r w:rsidRPr="00300FAE">
        <w:rPr>
          <w:lang w:val="en-US"/>
        </w:rPr>
        <w:t xml:space="preserve">) them lies money. Hollywood simply can’t allow success, a job well-done, to rest unmolested. As art they are negligible </w:t>
      </w:r>
      <w:r w:rsidR="00300FAE" w:rsidRPr="00300FAE">
        <w:rPr>
          <w:lang w:val="en-US"/>
        </w:rPr>
        <w:t>because, as retreads, their conceptions and themes are not original.</w:t>
      </w:r>
      <w:r w:rsidRPr="00300FAE">
        <w:rPr>
          <w:lang w:val="en-US"/>
        </w:rPr>
        <w:t xml:space="preserve"> Critics tend to regard them with a </w:t>
      </w:r>
      <w:r w:rsidR="00645A27" w:rsidRPr="00300FAE">
        <w:rPr>
          <w:lang w:val="en-US"/>
        </w:rPr>
        <w:t>curious</w:t>
      </w:r>
      <w:r w:rsidRPr="00300FAE">
        <w:rPr>
          <w:lang w:val="en-US"/>
        </w:rPr>
        <w:t xml:space="preserve"> consistency : those who disliked the original seem </w:t>
      </w:r>
      <w:r w:rsidR="00300FAE" w:rsidRPr="00300FAE">
        <w:rPr>
          <w:lang w:val="en-US"/>
        </w:rPr>
        <w:t xml:space="preserve">predisposed to like the new version ; those who loved the original seem inclined to deplore the remake –particularly when, as in the case of </w:t>
      </w:r>
      <w:r w:rsidR="00300FAE" w:rsidRPr="00300FAE">
        <w:rPr>
          <w:i/>
          <w:lang w:val="en-US"/>
        </w:rPr>
        <w:t>Invasion of the Body Snatchers</w:t>
      </w:r>
      <w:r w:rsidR="00300FAE" w:rsidRPr="00300FAE">
        <w:rPr>
          <w:lang w:val="en-US"/>
        </w:rPr>
        <w:t xml:space="preserve">, the original is thoroughly well-known (as was not the case with the recent </w:t>
      </w:r>
      <w:r w:rsidR="00300FAE" w:rsidRPr="00300FAE">
        <w:rPr>
          <w:i/>
          <w:lang w:val="en-US"/>
        </w:rPr>
        <w:t>Heaven Can Wait</w:t>
      </w:r>
      <w:r w:rsidR="00300FAE" w:rsidRPr="00300FAE">
        <w:rPr>
          <w:lang w:val="en-US"/>
        </w:rPr>
        <w:t xml:space="preserve">), fully out in the mainstream of movie culture, and also when the original was not only popular, but a very </w:t>
      </w:r>
      <w:r w:rsidR="00300FAE" w:rsidRPr="00300FAE">
        <w:rPr>
          <w:i/>
          <w:lang w:val="en-US"/>
        </w:rPr>
        <w:t>good</w:t>
      </w:r>
      <w:r w:rsidR="00300FAE" w:rsidRPr="00300FAE">
        <w:rPr>
          <w:lang w:val="en-US"/>
        </w:rPr>
        <w:t xml:space="preserve"> film indeed »</w:t>
      </w:r>
      <w:r w:rsidR="00645A27">
        <w:rPr>
          <w:rStyle w:val="FootnoteReference"/>
          <w:lang w:val="en-US"/>
        </w:rPr>
        <w:footnoteReference w:id="29"/>
      </w:r>
      <w:r w:rsidR="008865F3">
        <w:rPr>
          <w:lang w:val="en-US"/>
        </w:rPr>
        <w:t>.</w:t>
      </w:r>
      <w:r w:rsidR="00300FAE" w:rsidRPr="00300FAE">
        <w:rPr>
          <w:lang w:val="en-US"/>
        </w:rPr>
        <w:t xml:space="preserve"> </w:t>
      </w:r>
    </w:p>
    <w:p w14:paraId="70785CE7" w14:textId="77777777" w:rsidR="00656792" w:rsidRDefault="00656792" w:rsidP="00BF02C1">
      <w:pPr>
        <w:ind w:left="720"/>
        <w:jc w:val="both"/>
        <w:rPr>
          <w:lang w:val="en-US"/>
        </w:rPr>
      </w:pPr>
    </w:p>
    <w:p w14:paraId="5490FC1C" w14:textId="5EB211D1" w:rsidR="00656792" w:rsidRDefault="0082622B" w:rsidP="00FE1599">
      <w:pPr>
        <w:pStyle w:val="Mmoire"/>
        <w:rPr>
          <w:lang w:val="fr-CH"/>
        </w:rPr>
      </w:pPr>
      <w:r>
        <w:rPr>
          <w:lang w:val="fr-CH"/>
        </w:rPr>
        <w:t xml:space="preserve">Le film de Siegel est omniprésent dans les critiques du remake de Kaufman </w:t>
      </w:r>
      <w:r w:rsidRPr="00FA4053">
        <w:rPr>
          <w:lang w:val="en-US"/>
        </w:rPr>
        <w:t>(« why does it seem needless to say ‘needless to say’ ? »</w:t>
      </w:r>
      <w:r>
        <w:rPr>
          <w:lang w:val="fr-CH"/>
        </w:rPr>
        <w:t xml:space="preserve"> ironise David Kehr</w:t>
      </w:r>
      <w:r>
        <w:rPr>
          <w:rStyle w:val="FootnoteReference"/>
          <w:lang w:val="fr-CH"/>
        </w:rPr>
        <w:footnoteReference w:id="30"/>
      </w:r>
      <w:r>
        <w:rPr>
          <w:lang w:val="fr-CH"/>
        </w:rPr>
        <w:t>)</w:t>
      </w:r>
      <w:r w:rsidR="00732B2C">
        <w:rPr>
          <w:lang w:val="fr-CH"/>
        </w:rPr>
        <w:t xml:space="preserve">, et est effectivement pris comme étalon dans l’évaluation. </w:t>
      </w:r>
      <w:r w:rsidR="00732B2C" w:rsidRPr="00781EA5">
        <w:rPr>
          <w:lang w:val="en-GB"/>
        </w:rPr>
        <w:t xml:space="preserve">Toutefois, Kehr lui-même s’accorde à dire que </w:t>
      </w:r>
      <w:r w:rsidR="00543A54" w:rsidRPr="00781EA5">
        <w:rPr>
          <w:lang w:val="en-GB"/>
        </w:rPr>
        <w:t>« </w:t>
      </w:r>
      <w:r w:rsidR="00543A54" w:rsidRPr="00FA4053">
        <w:rPr>
          <w:lang w:val="en-US"/>
        </w:rPr>
        <w:t>Phil Kaufman’s version […] is as good as remakes go, but not as good as the original</w:t>
      </w:r>
      <w:r w:rsidR="00543A54" w:rsidRPr="00781EA5">
        <w:rPr>
          <w:lang w:val="en-GB"/>
        </w:rPr>
        <w:t> »</w:t>
      </w:r>
      <w:r w:rsidR="00543A54">
        <w:rPr>
          <w:rStyle w:val="FootnoteReference"/>
          <w:lang w:val="fr-CH"/>
        </w:rPr>
        <w:footnoteReference w:id="31"/>
      </w:r>
      <w:r w:rsidR="00F54F1D" w:rsidRPr="00781EA5">
        <w:rPr>
          <w:lang w:val="en-GB"/>
        </w:rPr>
        <w:t xml:space="preserve">, </w:t>
      </w:r>
      <w:r w:rsidR="00A00FD7" w:rsidRPr="00781EA5">
        <w:rPr>
          <w:lang w:val="en-GB"/>
        </w:rPr>
        <w:t>Richard Combs parle de « </w:t>
      </w:r>
      <w:r w:rsidR="00A00FD7" w:rsidRPr="00A00FD7">
        <w:rPr>
          <w:lang w:val="en-US"/>
        </w:rPr>
        <w:t>one of the most intriguing adaptations for some time </w:t>
      </w:r>
      <w:r w:rsidR="00A00FD7" w:rsidRPr="00781EA5">
        <w:rPr>
          <w:lang w:val="en-GB"/>
        </w:rPr>
        <w:t>»</w:t>
      </w:r>
      <w:r w:rsidR="00A00FD7">
        <w:rPr>
          <w:rStyle w:val="FootnoteReference"/>
          <w:lang w:val="fr-CH"/>
        </w:rPr>
        <w:footnoteReference w:id="32"/>
      </w:r>
      <w:r w:rsidR="00A00FD7" w:rsidRPr="00781EA5">
        <w:rPr>
          <w:lang w:val="en-GB"/>
        </w:rPr>
        <w:t xml:space="preserve"> </w:t>
      </w:r>
      <w:r w:rsidR="00F910DC" w:rsidRPr="00781EA5">
        <w:rPr>
          <w:lang w:val="en-GB"/>
        </w:rPr>
        <w:t xml:space="preserve">et </w:t>
      </w:r>
      <w:r w:rsidR="00F54F1D" w:rsidRPr="00781EA5">
        <w:rPr>
          <w:i/>
          <w:lang w:val="en-GB"/>
        </w:rPr>
        <w:t xml:space="preserve">Variety </w:t>
      </w:r>
      <w:r w:rsidR="00F910DC" w:rsidRPr="00781EA5">
        <w:rPr>
          <w:lang w:val="en-GB"/>
        </w:rPr>
        <w:t>va jusqu’à affirmer</w:t>
      </w:r>
      <w:r w:rsidR="00963ECD" w:rsidRPr="00781EA5">
        <w:rPr>
          <w:lang w:val="en-GB"/>
        </w:rPr>
        <w:t xml:space="preserve"> que « </w:t>
      </w:r>
      <w:r w:rsidR="00963ECD" w:rsidRPr="00C17BE9">
        <w:rPr>
          <w:lang w:val="en-US"/>
        </w:rPr>
        <w:t>The new version not only matches the original in horrific tone and effect, but exceeds it in both conception and execution. </w:t>
      </w:r>
      <w:r w:rsidR="00963ECD" w:rsidRPr="00781EA5">
        <w:rPr>
          <w:lang w:val="en-GB"/>
        </w:rPr>
        <w:t>»</w:t>
      </w:r>
      <w:r w:rsidR="00963ECD">
        <w:rPr>
          <w:rStyle w:val="FootnoteReference"/>
          <w:lang w:val="fr-CH"/>
        </w:rPr>
        <w:footnoteReference w:id="33"/>
      </w:r>
      <w:r w:rsidR="00C3166F">
        <w:rPr>
          <w:lang w:val="fr-CH"/>
        </w:rPr>
        <w:t xml:space="preserve">. </w:t>
      </w:r>
      <w:r w:rsidR="00506F6E">
        <w:rPr>
          <w:lang w:val="fr-CH"/>
        </w:rPr>
        <w:t>Beaucoup de critiques relèvent la « mise en scène luxueuse »</w:t>
      </w:r>
      <w:r w:rsidR="00506F6E">
        <w:rPr>
          <w:rStyle w:val="FootnoteReference"/>
          <w:lang w:val="fr-CH"/>
        </w:rPr>
        <w:footnoteReference w:id="34"/>
      </w:r>
      <w:r w:rsidR="00506F6E">
        <w:rPr>
          <w:lang w:val="fr-CH"/>
        </w:rPr>
        <w:t xml:space="preserve"> et parfois « </w:t>
      </w:r>
      <w:r w:rsidR="00C251F9">
        <w:rPr>
          <w:lang w:val="en-US"/>
        </w:rPr>
        <w:t>showy</w:t>
      </w:r>
      <w:r w:rsidR="000552FA">
        <w:rPr>
          <w:lang w:val="en-US"/>
        </w:rPr>
        <w:t xml:space="preserve"> </w:t>
      </w:r>
      <w:r w:rsidR="00506F6E">
        <w:rPr>
          <w:lang w:val="fr-CH"/>
        </w:rPr>
        <w:t>»</w:t>
      </w:r>
      <w:r w:rsidR="00506F6E">
        <w:rPr>
          <w:rStyle w:val="FootnoteReference"/>
          <w:lang w:val="fr-CH"/>
        </w:rPr>
        <w:footnoteReference w:id="35"/>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BA47A3" w:rsidRPr="00771C29">
        <w:rPr>
          <w:lang w:val="en-US"/>
        </w:rPr>
        <w:t>swift, compact and efficient</w:t>
      </w:r>
      <w:r w:rsidR="00BA47A3">
        <w:rPr>
          <w:lang w:val="fr-CH"/>
        </w:rPr>
        <w:t> »</w:t>
      </w:r>
      <w:r w:rsidR="00771C29">
        <w:rPr>
          <w:rStyle w:val="FootnoteReference"/>
          <w:lang w:val="fr-CH"/>
        </w:rPr>
        <w:footnoteReference w:id="36"/>
      </w:r>
      <w:r w:rsidR="00BA47A3">
        <w:rPr>
          <w:lang w:val="fr-CH"/>
        </w:rPr>
        <w:t xml:space="preserve"> du film de Siegel.</w:t>
      </w:r>
    </w:p>
    <w:p w14:paraId="463398EA" w14:textId="007A9EDA"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37"/>
      </w:r>
      <w:r w:rsidR="003704D3">
        <w:rPr>
          <w:lang w:val="fr-CH"/>
        </w:rPr>
        <w:t xml:space="preserve"> et</w:t>
      </w:r>
      <w:r>
        <w:rPr>
          <w:lang w:val="fr-CH"/>
        </w:rPr>
        <w:t xml:space="preserve"> Roger Ebert. Ce dernier concède que le film, présenté dans le cadre de la compétition officielle au Festival de Cannes, n’est pas d’un </w:t>
      </w:r>
      <w:r>
        <w:rPr>
          <w:lang w:val="fr-CH"/>
        </w:rPr>
        <w:lastRenderedPageBreak/>
        <w:t>genre à gagner ; mais que « </w:t>
      </w:r>
      <w:r w:rsidRPr="00FE1599">
        <w:rPr>
          <w:lang w:val="en-US"/>
        </w:rPr>
        <w:t>as sheer moviemaking, is it skilled and knowing, and deserves the highest praise you can give a horror film : It works ! </w:t>
      </w:r>
      <w:r>
        <w:rPr>
          <w:lang w:val="fr-CH"/>
        </w:rPr>
        <w:t>»</w:t>
      </w:r>
      <w:r>
        <w:rPr>
          <w:rStyle w:val="FootnoteReference"/>
          <w:lang w:val="fr-CH"/>
        </w:rPr>
        <w:footnoteReference w:id="38"/>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253E7E" w:rsidRPr="0074138E">
        <w:rPr>
          <w:lang w:val="en-US"/>
        </w:rPr>
        <w:t>by far the best [of the series]</w:t>
      </w:r>
      <w:r w:rsidR="00253E7E">
        <w:rPr>
          <w:lang w:val="fr-CH"/>
        </w:rPr>
        <w:t xml:space="preserve"> »</w:t>
      </w:r>
      <w:r w:rsidR="00253E7E">
        <w:rPr>
          <w:rStyle w:val="FootnoteReference"/>
          <w:lang w:val="fr-CH"/>
        </w:rPr>
        <w:footnoteReference w:id="39"/>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40"/>
      </w:r>
      <w:r w:rsidR="00DC2443">
        <w:rPr>
          <w:lang w:val="fr-CH"/>
        </w:rPr>
        <w:t xml:space="preserve"> ou « adroit »</w:t>
      </w:r>
      <w:r w:rsidR="003704D3">
        <w:rPr>
          <w:rStyle w:val="FootnoteReference"/>
          <w:lang w:val="fr-CH"/>
        </w:rPr>
        <w:footnoteReference w:id="41"/>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42"/>
      </w:r>
      <w:r w:rsidR="00663724">
        <w:rPr>
          <w:lang w:val="fr-CH"/>
        </w:rPr>
        <w:t>, « </w:t>
      </w:r>
      <w:r w:rsidR="00663724" w:rsidRPr="0047129C">
        <w:rPr>
          <w:lang w:val="en-US"/>
        </w:rPr>
        <w:t>hollow </w:t>
      </w:r>
      <w:r w:rsidR="00663724">
        <w:rPr>
          <w:lang w:val="fr-CH"/>
        </w:rPr>
        <w:t>»</w:t>
      </w:r>
      <w:r w:rsidR="00663724">
        <w:rPr>
          <w:rStyle w:val="FootnoteReference"/>
          <w:lang w:val="fr-CH"/>
        </w:rPr>
        <w:footnoteReference w:id="43"/>
      </w:r>
      <w:r w:rsidR="00717BE1">
        <w:rPr>
          <w:lang w:val="fr-CH"/>
        </w:rPr>
        <w:t xml:space="preserve"> voire « rageant, même fatiguant »</w:t>
      </w:r>
      <w:r w:rsidR="00717BE1">
        <w:rPr>
          <w:rStyle w:val="FootnoteReference"/>
          <w:lang w:val="fr-CH"/>
        </w:rPr>
        <w:footnoteReference w:id="44"/>
      </w:r>
      <w:r w:rsidR="00593B27">
        <w:rPr>
          <w:lang w:val="fr-CH"/>
        </w:rPr>
        <w:t>.</w:t>
      </w:r>
    </w:p>
    <w:p w14:paraId="0138842F" w14:textId="1C7EFBDA"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45"/>
      </w:r>
      <w:r w:rsidR="00E57157">
        <w:t xml:space="preserve">, </w:t>
      </w:r>
      <w:r w:rsidR="007E60F5">
        <w:t>éventuellement « bancal »</w:t>
      </w:r>
      <w:r w:rsidR="007E60F5">
        <w:rPr>
          <w:rStyle w:val="FootnoteReference"/>
        </w:rPr>
        <w:footnoteReference w:id="46"/>
      </w:r>
      <w:r w:rsidR="00E57157">
        <w:t xml:space="preserve">, </w:t>
      </w:r>
      <w:r w:rsidR="006D1F72">
        <w:t xml:space="preserve">voire même </w:t>
      </w:r>
      <w:r w:rsidR="00E57157">
        <w:t>« insauvable »</w:t>
      </w:r>
      <w:r w:rsidR="00E57157">
        <w:rPr>
          <w:rStyle w:val="FootnoteReference"/>
        </w:rPr>
        <w:footnoteReference w:id="47"/>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Joel Silver de (re)faire tourner certaines scènes à un autre réalisateur</w:t>
      </w:r>
      <w:r w:rsidR="004870CE">
        <w:rPr>
          <w:rStyle w:val="FootnoteReference"/>
        </w:rPr>
        <w:footnoteReference w:id="48"/>
      </w:r>
      <w:r w:rsidR="00B60790">
        <w:t xml:space="preserve"> qui donne l’impression de voir « </w:t>
      </w:r>
      <w:r w:rsidR="00B60790" w:rsidRPr="00781EA5">
        <w:rPr>
          <w:lang w:val="fr-CH"/>
        </w:rPr>
        <w:t>two versions of the film wrestling </w:t>
      </w:r>
      <w:r w:rsidR="00B60790">
        <w:t>»</w:t>
      </w:r>
      <w:r w:rsidR="00B60790">
        <w:rPr>
          <w:rStyle w:val="FootnoteReference"/>
        </w:rPr>
        <w:footnoteReference w:id="49"/>
      </w:r>
      <w:r w:rsidR="004870CE">
        <w:t>.</w:t>
      </w:r>
      <w:r w:rsidR="00B60790">
        <w:t xml:space="preserve"> </w:t>
      </w:r>
      <w:r w:rsidR="00156895">
        <w:t xml:space="preserve">C’est </w:t>
      </w:r>
      <w:r w:rsidR="00B60790">
        <w:t>également</w:t>
      </w:r>
      <w:r w:rsidR="00156895">
        <w:t xml:space="preserve"> dans le corpus critique relatif à ce film que l’on retrouve le plus de </w:t>
      </w:r>
      <w:r w:rsidR="00B60790">
        <w:rPr>
          <w:i/>
        </w:rPr>
        <w:t>mises-en-abîmes</w:t>
      </w:r>
      <w:r w:rsidR="00B60790">
        <w:t xml:space="preserve"> se référant à la prémisse du film</w:t>
      </w:r>
      <w:r w:rsidR="009F687A">
        <w:rPr>
          <w:rStyle w:val="FootnoteReference"/>
        </w:rPr>
        <w:footnoteReference w:id="50"/>
      </w:r>
      <w:r w:rsidR="00B60790">
        <w:t> : Keith Phipps parle</w:t>
      </w:r>
      <w:r w:rsidR="009F687A">
        <w:t xml:space="preserve"> par exemple</w:t>
      </w:r>
      <w:r w:rsidR="00B60790">
        <w:t xml:space="preserve"> d’un film qui « </w:t>
      </w:r>
      <w:r w:rsidR="00CE51D3" w:rsidRPr="00781EA5">
        <w:rPr>
          <w:lang w:val="fr-CH"/>
        </w:rPr>
        <w:t>looks like the work of […]</w:t>
      </w:r>
      <w:r w:rsidR="00B60790" w:rsidRPr="00781EA5">
        <w:rPr>
          <w:lang w:val="fr-CH"/>
        </w:rPr>
        <w:t xml:space="preserve"> pod people </w:t>
      </w:r>
      <w:r w:rsidR="00B60790">
        <w:t>»</w:t>
      </w:r>
      <w:r w:rsidR="00CE51D3">
        <w:rPr>
          <w:rStyle w:val="FootnoteReference"/>
        </w:rPr>
        <w:footnoteReference w:id="51"/>
      </w:r>
      <w:r w:rsidR="009F687A">
        <w:t>.</w:t>
      </w:r>
    </w:p>
    <w:p w14:paraId="136E62B5" w14:textId="7A89C988"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–avec une tendance vers la dépréciation de version en version–, et, d’une autre part, </w:t>
      </w:r>
      <w:r w:rsidR="007F6A07">
        <w:t xml:space="preserve">que la critique de la dernière version en date se réfère toujours à l’original, si ce n’est à toutes les versions précédentes. Si ces </w:t>
      </w:r>
      <w:r w:rsidR="007F6A07">
        <w:lastRenderedPageBreak/>
        <w:t xml:space="preserve">références à la généalogie des films et les jugements de valeurs émis par la critique serviront dans l’élaboration de notre argumentation ultérieure, il convient à présent de traiter de deux points clés jusqu’ici laissés délibérément de côté : la question du </w:t>
      </w:r>
      <w:r w:rsidR="007F6A07">
        <w:rPr>
          <w:i/>
        </w:rPr>
        <w:t>genre</w:t>
      </w:r>
      <w:r w:rsidR="007F6A07">
        <w:t xml:space="preserve"> des films et celle des possibilités d’interprétation qu’il offre.</w:t>
      </w:r>
    </w:p>
    <w:p w14:paraId="3EEFED19" w14:textId="77777777" w:rsidR="007F6A07" w:rsidRDefault="007F6A07" w:rsidP="007F6A07">
      <w:pPr>
        <w:pStyle w:val="Heading2"/>
      </w:pPr>
    </w:p>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30584320" w:rsidR="007F6A07" w:rsidRDefault="007F6A07" w:rsidP="007F6A07">
      <w:pPr>
        <w:pStyle w:val="Mmoire"/>
      </w:pPr>
      <w:r>
        <w:t xml:space="preserve"> </w:t>
      </w:r>
      <w:r w:rsidR="00781EA5">
        <w:t>Si le statut du roman de Jack Finney en tant qu’œuvre de science-fiction ne fait aucun doute, d’une part à cause de son statut en tant que romancier</w:t>
      </w:r>
      <w:r w:rsidR="00781EA5">
        <w:rPr>
          <w:rStyle w:val="FootnoteReference"/>
        </w:rPr>
        <w:footnoteReference w:id="52"/>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–et les remakes subséquents– jouent sur une ambiguïté</w:t>
      </w:r>
      <w:r w:rsidR="00DC11D1">
        <w:t xml:space="preserve"> des genres : dans le film de Don Siegel, le seul élément de science-ficti</w:t>
      </w:r>
      <w:r w:rsidR="00D56248">
        <w:t>on du film étant le discours du Dr. Danny Kauffman (Danny) lors de la confrontation avec le Dr. Miles Bennell (Miles) et Becky Driscoll (Becky) :</w:t>
      </w:r>
    </w:p>
    <w:p w14:paraId="451401A2" w14:textId="2ABFCCE6" w:rsidR="00D56248" w:rsidRDefault="00BE2589" w:rsidP="00BE2589">
      <w:pPr>
        <w:spacing w:after="120"/>
        <w:ind w:left="720"/>
        <w:jc w:val="both"/>
        <w:rPr>
          <w:lang w:val="en-GB"/>
        </w:rPr>
      </w:pPr>
      <w:r w:rsidRPr="00BE2589">
        <w:rPr>
          <w:lang w:val="en-GB"/>
        </w:rPr>
        <w:t>«</w:t>
      </w:r>
      <w:r w:rsidRPr="00D56248">
        <w:rPr>
          <w:lang w:val="en-GB"/>
        </w:rPr>
        <w:t xml:space="preserve"> </w:t>
      </w:r>
      <w:r w:rsidR="00D56248" w:rsidRPr="00D56248">
        <w:rPr>
          <w:lang w:val="en-GB"/>
        </w:rPr>
        <w:t xml:space="preserve">[…] Then </w:t>
      </w:r>
      <w:r w:rsidR="00D56248">
        <w:rPr>
          <w:lang w:val="en-GB"/>
        </w:rPr>
        <w:t>out of the sky came a solution. Seeds, drifting through space for years, took root in a farmer’s field. From the seeds came pods which have the power to reproduce themselves in the exact likeness of any form of life.</w:t>
      </w:r>
      <w:r w:rsidR="00D56248">
        <w:rPr>
          <w:rStyle w:val="FootnoteReference"/>
          <w:lang w:val="en-GB"/>
        </w:rPr>
        <w:footnoteReference w:id="53"/>
      </w:r>
      <w:r w:rsidRPr="00BE2589">
        <w:rPr>
          <w:lang w:val="fr-CH"/>
        </w:rPr>
        <w:t xml:space="preserve"> </w:t>
      </w:r>
      <w:r>
        <w:rPr>
          <w:lang w:val="fr-CH"/>
        </w:rPr>
        <w:t>»</w:t>
      </w:r>
    </w:p>
    <w:p w14:paraId="1ED87DBE" w14:textId="21886768" w:rsidR="00D56248" w:rsidRDefault="00CE3FB7" w:rsidP="00D56248">
      <w:pPr>
        <w:pStyle w:val="Mmoire"/>
        <w:rPr>
          <w:lang w:val="fr-CH"/>
        </w:rPr>
      </w:pPr>
      <w:r w:rsidRPr="00F33C24">
        <w:rPr>
          <w:lang w:val="fr-CH"/>
        </w:rPr>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54"/>
      </w:r>
      <w:r w:rsidR="00F33C24" w:rsidRPr="00F33C24">
        <w:rPr>
          <w:lang w:val="fr-CH"/>
        </w:rPr>
        <w:t>, renseigne le spectateur</w:t>
      </w:r>
      <w:r w:rsidR="00503CBA">
        <w:rPr>
          <w:rStyle w:val="FootnoteReference"/>
          <w:lang w:val="fr-CH"/>
        </w:rPr>
        <w:footnoteReference w:id="55"/>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pour le spectateur moyen </w:t>
      </w:r>
      <w:r w:rsidR="000A0EDA">
        <w:rPr>
          <w:lang w:val="fr-CH"/>
        </w:rPr>
        <w:t xml:space="preserve">non diplômé en biologie,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la </w:t>
      </w:r>
      <w:r w:rsidR="001E2D11">
        <w:rPr>
          <w:i/>
          <w:lang w:val="fr-CH"/>
        </w:rPr>
        <w:t>slogan</w:t>
      </w:r>
      <w:r w:rsidR="001E2D11">
        <w:rPr>
          <w:lang w:val="fr-CH"/>
        </w:rPr>
        <w:t xml:space="preserve"> « </w:t>
      </w:r>
      <w:r w:rsidR="001E2D11" w:rsidRPr="0036501B">
        <w:rPr>
          <w:lang w:val="en-US"/>
        </w:rPr>
        <w:t xml:space="preserve">THEY come </w:t>
      </w:r>
      <w:r w:rsidR="001E2D11" w:rsidRPr="0036501B">
        <w:rPr>
          <w:lang w:val="en-US"/>
        </w:rPr>
        <w:lastRenderedPageBreak/>
        <w:t>from another world ! </w:t>
      </w:r>
      <w:r w:rsidR="001E2D11">
        <w:rPr>
          <w:lang w:val="fr-CH"/>
        </w:rPr>
        <w:t>»</w:t>
      </w:r>
      <w:r w:rsidR="001E2D11">
        <w:rPr>
          <w:rStyle w:val="FootnoteReference"/>
          <w:lang w:val="fr-CH"/>
        </w:rPr>
        <w:footnoteReference w:id="56"/>
      </w:r>
      <w:r w:rsidR="00F1669A">
        <w:rPr>
          <w:lang w:val="fr-CH"/>
        </w:rPr>
        <w:t xml:space="preserve">, </w:t>
      </w:r>
      <w:r w:rsidR="00C249AB">
        <w:rPr>
          <w:lang w:val="fr-CH"/>
        </w:rPr>
        <w:t>« </w:t>
      </w:r>
      <w:r w:rsidR="00C249AB" w:rsidRPr="00C060D1">
        <w:rPr>
          <w:lang w:val="en-US"/>
        </w:rPr>
        <w:t>The Things that came from another world ! </w:t>
      </w:r>
      <w:r w:rsidR="00C249AB">
        <w:rPr>
          <w:lang w:val="fr-CH"/>
        </w:rPr>
        <w:t>»</w:t>
      </w:r>
      <w:r w:rsidR="00C249AB">
        <w:rPr>
          <w:rStyle w:val="FootnoteReference"/>
          <w:lang w:val="fr-CH"/>
        </w:rPr>
        <w:footnoteReference w:id="57"/>
      </w:r>
      <w:r w:rsidR="00F1669A">
        <w:rPr>
          <w:lang w:val="fr-CH"/>
        </w:rPr>
        <w:t xml:space="preserve"> ou « </w:t>
      </w:r>
      <w:r w:rsidR="00F1669A" w:rsidRPr="0036501B">
        <w:rPr>
          <w:lang w:val="en-US"/>
        </w:rPr>
        <w:t>Walter Wagner creates the ultimate in science-fiction !</w:t>
      </w:r>
      <w:r w:rsidR="00DA4FCE">
        <w:rPr>
          <w:lang w:val="fr-CH"/>
        </w:rPr>
        <w:t xml:space="preserve"> </w:t>
      </w:r>
      <w:r w:rsidR="00F1669A">
        <w:rPr>
          <w:lang w:val="fr-CH"/>
        </w:rPr>
        <w:t>»</w:t>
      </w:r>
      <w:r w:rsidR="00DA4FCE">
        <w:rPr>
          <w:rStyle w:val="FootnoteReference"/>
          <w:lang w:val="fr-CH"/>
        </w:rPr>
        <w:footnoteReference w:id="58"/>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59"/>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60"/>
      </w:r>
      <w:r w:rsidR="00C32B00">
        <w:rPr>
          <w:lang w:val="fr-CH"/>
        </w:rPr>
        <w:t>, d’autres le présentent comme un « film d’épouvante »</w:t>
      </w:r>
      <w:r w:rsidR="00C32B00">
        <w:rPr>
          <w:rStyle w:val="FootnoteReference"/>
          <w:lang w:val="fr-CH"/>
        </w:rPr>
        <w:footnoteReference w:id="61"/>
      </w:r>
      <w:r w:rsidR="00C32B00">
        <w:rPr>
          <w:lang w:val="fr-CH"/>
        </w:rPr>
        <w:t>, un « film d’horreur »</w:t>
      </w:r>
      <w:r w:rsidR="00876848">
        <w:rPr>
          <w:rStyle w:val="FootnoteReference"/>
          <w:lang w:val="fr-CH"/>
        </w:rPr>
        <w:footnoteReference w:id="62"/>
      </w:r>
      <w:r w:rsidR="00C32B00">
        <w:rPr>
          <w:lang w:val="fr-CH"/>
        </w:rPr>
        <w:t xml:space="preserve"> ou un « film à suspense »</w:t>
      </w:r>
      <w:r w:rsidR="00C32B00">
        <w:rPr>
          <w:rStyle w:val="FootnoteReference"/>
          <w:lang w:val="fr-CH"/>
        </w:rPr>
        <w:footnoteReference w:id="63"/>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64"/>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évoque les différents entre Walter Wagner et Allied Artists durant le processus de post-production du film, le studio semblant « </w:t>
      </w:r>
      <w:r w:rsidR="00991F6F" w:rsidRPr="00991F6F">
        <w:rPr>
          <w:lang w:val="en-US"/>
        </w:rPr>
        <w:t>befuddled by a film that did not clearly fit into science fiction or horror genre formats </w:t>
      </w:r>
      <w:r w:rsidR="00991F6F">
        <w:rPr>
          <w:lang w:val="fr-CH"/>
        </w:rPr>
        <w:t>»</w:t>
      </w:r>
      <w:r w:rsidR="00991F6F">
        <w:rPr>
          <w:rStyle w:val="FootnoteReference"/>
          <w:lang w:val="fr-CH"/>
        </w:rPr>
        <w:footnoteReference w:id="65"/>
      </w:r>
      <w:r w:rsidR="00DF0B77">
        <w:rPr>
          <w:lang w:val="fr-CH"/>
        </w:rPr>
        <w:t xml:space="preserve"> menant à un « </w:t>
      </w:r>
      <w:r w:rsidR="00DF0B77" w:rsidRPr="008C0A6A">
        <w:rPr>
          <w:lang w:val="en-US"/>
        </w:rPr>
        <w:t>highly unstable text</w:t>
      </w:r>
      <w:r w:rsidR="00DF0B77">
        <w:rPr>
          <w:lang w:val="fr-CH"/>
        </w:rPr>
        <w:t> »</w:t>
      </w:r>
      <w:r w:rsidR="00DF0B77">
        <w:rPr>
          <w:rStyle w:val="FootnoteReference"/>
          <w:lang w:val="fr-CH"/>
        </w:rPr>
        <w:footnoteReference w:id="66"/>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67"/>
      </w:r>
      <w:r w:rsidR="00E84BB2">
        <w:rPr>
          <w:lang w:val="fr-CH"/>
        </w:rPr>
        <w:t>, une esthétique ensuite échangée pour « action et thriller »</w:t>
      </w:r>
      <w:r w:rsidR="00E84BB2">
        <w:rPr>
          <w:rStyle w:val="FootnoteReference"/>
          <w:lang w:val="fr-CH"/>
        </w:rPr>
        <w:footnoteReference w:id="68"/>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270E3C96" w:rsidR="00BE2589" w:rsidRDefault="00BE2589" w:rsidP="00900F3C">
      <w:pPr>
        <w:spacing w:after="120"/>
        <w:ind w:left="720"/>
        <w:jc w:val="both"/>
        <w:rPr>
          <w:lang w:val="fr-CH"/>
        </w:rPr>
      </w:pPr>
      <w:r w:rsidRPr="00BE2589">
        <w:rPr>
          <w:lang w:val="en-GB"/>
        </w:rPr>
        <w:t xml:space="preserve">« Like Siegel’s </w:t>
      </w:r>
      <w:r w:rsidRPr="00BE2589">
        <w:rPr>
          <w:i/>
          <w:lang w:val="en-GB"/>
        </w:rPr>
        <w:t>Invasion of the Body Snatchers</w:t>
      </w:r>
      <w:r>
        <w:rPr>
          <w:lang w:val="en-GB"/>
        </w:rPr>
        <w:t xml:space="preserve">, then, each remake plays with generic conventions, and mixes and blends different looks and styles against the science fiction </w:t>
      </w:r>
      <w:r>
        <w:rPr>
          <w:lang w:val="en-GB"/>
        </w:rPr>
        <w:lastRenderedPageBreak/>
        <w:t xml:space="preserve">back-drop of the story, thereby enhancing the aesthetic value and </w:t>
      </w:r>
      <w:r w:rsidR="00E251B8">
        <w:rPr>
          <w:lang w:val="en-GB"/>
        </w:rPr>
        <w:t>originality</w:t>
      </w:r>
      <w:r>
        <w:rPr>
          <w:lang w:val="en-GB"/>
        </w:rPr>
        <w:t xml:space="preserve"> of each work. </w:t>
      </w:r>
      <w:r>
        <w:rPr>
          <w:lang w:val="fr-CH"/>
        </w:rPr>
        <w:t>»</w:t>
      </w:r>
    </w:p>
    <w:p w14:paraId="1376B001" w14:textId="507226AA"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aux changements de genre </w:t>
      </w:r>
      <w:r>
        <w:rPr>
          <w:lang w:val="fr-CH"/>
        </w:rPr>
        <w:t>dans le cadre des remakes</w:t>
      </w:r>
      <w:r w:rsidR="0039669B">
        <w:rPr>
          <w:rStyle w:val="FootnoteReference"/>
          <w:lang w:val="fr-CH"/>
        </w:rPr>
        <w:footnoteReference w:id="69"/>
      </w:r>
      <w:r>
        <w:rPr>
          <w:lang w:val="fr-CH"/>
        </w:rPr>
        <w:t>. Plutôt que d’évaluer la qualité horrifique d’un remake par rapport à l’orignal</w:t>
      </w:r>
      <w:r w:rsidR="00572515">
        <w:rPr>
          <w:rStyle w:val="FootnoteReference"/>
          <w:lang w:val="fr-CH"/>
        </w:rPr>
        <w:footnoteReference w:id="70"/>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–ou seulement partiellement– être mise en perspective dans le cadre de la série.</w:t>
      </w:r>
      <w:r w:rsidR="00ED3A88">
        <w:rPr>
          <w:lang w:val="fr-CH"/>
        </w:rPr>
        <w:t xml:space="preserve"> Il conviendra donc d’accorder une place aux questions de genre et d’esthétique dans le troisième chapitre de ce travail.</w:t>
      </w:r>
    </w:p>
    <w:p w14:paraId="049E4AB3" w14:textId="625E8E41" w:rsidR="009E2528" w:rsidRPr="009E2528" w:rsidRDefault="00ED3A88" w:rsidP="009E2528">
      <w:pPr>
        <w:pStyle w:val="Mmoire"/>
        <w:rPr>
          <w:lang w:val="fr-CH"/>
        </w:rPr>
      </w:pPr>
      <w:r>
        <w:rPr>
          <w:lang w:val="fr-CH"/>
        </w:rPr>
        <w:tab/>
        <w:t>Si les questions d’hybridité et de changement de genres n’ont pas, ou peu, leur place dans les critiques et analyses liées au film, la question du récit –plus précisément de ses interprétations–</w:t>
      </w:r>
      <w:r w:rsidR="009E2528">
        <w:rPr>
          <w:lang w:val="fr-CH"/>
        </w:rPr>
        <w:t xml:space="preserve"> et les liens qu’il entretient avec son contexte socio-historique sont quant à elles omniprésentes.</w:t>
      </w: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CFA9DBC"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d’interprétation, Raymond Durgnat va jusqu’à parler d’un « délire d’interprétations »</w:t>
      </w:r>
      <w:r w:rsidR="00651CAA">
        <w:rPr>
          <w:rStyle w:val="FootnoteReference"/>
          <w:lang w:val="fr-CH"/>
        </w:rPr>
        <w:footnoteReference w:id="71"/>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6D5FD9">
        <w:rPr>
          <w:lang w:val="fr-CH"/>
        </w:rPr>
        <w:t xml:space="preserve">constituerait en lui seul un travail de thèse de </w:t>
      </w:r>
      <w:r w:rsidR="008540F1">
        <w:rPr>
          <w:lang w:val="fr-CH"/>
        </w:rPr>
        <w:t>doctorat</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224688FD" w:rsidR="003553A5" w:rsidRDefault="00E823D7" w:rsidP="003553A5">
      <w:pPr>
        <w:pStyle w:val="Mmoire"/>
        <w:rPr>
          <w:lang w:val="fr-CH"/>
        </w:rPr>
      </w:pPr>
      <w:r>
        <w:rPr>
          <w:lang w:val="fr-CH"/>
        </w:rPr>
        <w:lastRenderedPageBreak/>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xml:space="preserve">, ancrée dans une autre pratique de la critique,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72"/>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fascisme tuant l’individu en nous) »</w:t>
      </w:r>
      <w:r w:rsidR="00626266">
        <w:rPr>
          <w:rStyle w:val="FootnoteReference"/>
          <w:lang w:val="fr-CH"/>
        </w:rPr>
        <w:footnoteReference w:id="73"/>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74"/>
      </w:r>
      <w:r w:rsidR="00BF6D6C">
        <w:rPr>
          <w:lang w:val="fr-CH"/>
        </w:rPr>
        <w:t xml:space="preserve"> </w:t>
      </w:r>
      <w:r w:rsidR="00C54747">
        <w:rPr>
          <w:lang w:val="fr-CH"/>
        </w:rPr>
        <w:t xml:space="preserve">et la deuxième </w:t>
      </w:r>
      <w:r w:rsidR="00BF6D6C">
        <w:rPr>
          <w:lang w:val="fr-CH"/>
        </w:rPr>
        <w:t>y attachant un concept très vague du fascisme, qui trouve ses racines au début du XXème siècle et connaît son apogée immédiatement avant et durant la seconde Guerre Mondiale</w:t>
      </w:r>
      <w:r w:rsidR="00BF6D6C">
        <w:rPr>
          <w:rStyle w:val="FootnoteReference"/>
          <w:lang w:val="fr-CH"/>
        </w:rPr>
        <w:footnoteReference w:id="75"/>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76"/>
      </w:r>
      <w:r w:rsidR="0004743C">
        <w:rPr>
          <w:lang w:val="fr-CH"/>
        </w:rPr>
        <w:t xml:space="preserve"> qui décrit le contexte de production du film ainsi : « Réalisé aux Etats-Unis, il y a une douzaine d’années, immédiatement au bout du tunnel mac-carthyste »</w:t>
      </w:r>
      <w:r w:rsidR="0004743C">
        <w:rPr>
          <w:rStyle w:val="FootnoteReference"/>
          <w:lang w:val="fr-CH"/>
        </w:rPr>
        <w:footnoteReference w:id="77"/>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 en offrir un lien explicite dans l’interprétation du film.</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 xml:space="preserve">que l’on retrouve aussi bien dans de très courtes </w:t>
      </w:r>
      <w:r w:rsidR="004D6815">
        <w:rPr>
          <w:lang w:val="fr-CH"/>
        </w:rPr>
        <w:lastRenderedPageBreak/>
        <w:t>critiques</w:t>
      </w:r>
      <w:r w:rsidR="004D6815">
        <w:rPr>
          <w:rStyle w:val="FootnoteReference"/>
          <w:lang w:val="fr-CH"/>
        </w:rPr>
        <w:footnoteReference w:id="78"/>
      </w:r>
      <w:r w:rsidR="004D6815">
        <w:rPr>
          <w:lang w:val="fr-CH"/>
        </w:rPr>
        <w:t xml:space="preserve"> que dans des critiques plus longues</w:t>
      </w:r>
      <w:r w:rsidR="00E847B5">
        <w:rPr>
          <w:rStyle w:val="FootnoteReference"/>
          <w:lang w:val="fr-CH"/>
        </w:rPr>
        <w:footnoteReference w:id="79"/>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de </w:t>
      </w:r>
      <w:r w:rsidR="00734C51">
        <w:rPr>
          <w:i/>
          <w:lang w:val="fr-CH"/>
        </w:rPr>
        <w:t>Invasion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A047B8">
        <w:rPr>
          <w:lang w:val="en-US"/>
        </w:rPr>
        <w:t>The Imagination of Disaster </w:t>
      </w:r>
      <w:r w:rsidR="00A047B8">
        <w:rPr>
          <w:lang w:val="fr-CH"/>
        </w:rPr>
        <w:t>»</w:t>
      </w:r>
      <w:r w:rsidR="00A047B8">
        <w:rPr>
          <w:rStyle w:val="FootnoteReference"/>
          <w:lang w:val="fr-CH"/>
        </w:rPr>
        <w:footnoteReference w:id="80"/>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r w:rsidR="001E7675" w:rsidRPr="008C0A6A">
        <w:rPr>
          <w:lang w:val="en-US"/>
        </w:rPr>
        <w:t>Science fiction films are not about science. They are about disaster, which is one of the oldest subjects of all. </w:t>
      </w:r>
      <w:r w:rsidR="001E7675" w:rsidRPr="0082726C">
        <w:rPr>
          <w:lang w:val="fr-CH"/>
        </w:rPr>
        <w:t>»</w:t>
      </w:r>
      <w:r w:rsidR="001E7675">
        <w:rPr>
          <w:rStyle w:val="FootnoteReference"/>
          <w:lang w:val="en-GB"/>
        </w:rPr>
        <w:footnoteReference w:id="81"/>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de </w:t>
      </w:r>
      <w:r w:rsidR="00C5130A">
        <w:rPr>
          <w:i/>
          <w:lang w:val="fr-CH"/>
        </w:rPr>
        <w:t>Invasion of the Body Snatchers</w:t>
      </w:r>
      <w:r w:rsidR="00C5130A">
        <w:rPr>
          <w:lang w:val="fr-CH"/>
        </w:rPr>
        <w:t>, d’un « </w:t>
      </w:r>
      <w:r w:rsidR="00C5130A" w:rsidRPr="003E64C0">
        <w:rPr>
          <w:lang w:val="en-US"/>
        </w:rPr>
        <w:t>regime of emotionlessness</w:t>
      </w:r>
      <w:r w:rsidR="00C5130A">
        <w:rPr>
          <w:lang w:val="fr-CH"/>
        </w:rPr>
        <w:t> »</w:t>
      </w:r>
      <w:r w:rsidR="00C5130A">
        <w:rPr>
          <w:rStyle w:val="FootnoteReference"/>
          <w:lang w:val="fr-CH"/>
        </w:rPr>
        <w:footnoteReference w:id="82"/>
      </w:r>
      <w:r w:rsidR="004C6BE7">
        <w:rPr>
          <w:lang w:val="fr-CH"/>
        </w:rPr>
        <w:t xml:space="preserve"> </w:t>
      </w:r>
      <w:r w:rsidR="00C7506F">
        <w:rPr>
          <w:lang w:val="fr-CH"/>
        </w:rPr>
        <w:t>composé de « </w:t>
      </w:r>
      <w:r w:rsidR="00C7506F" w:rsidRPr="003E64C0">
        <w:rPr>
          <w:lang w:val="en-US"/>
        </w:rPr>
        <w:t>unpersons </w:t>
      </w:r>
      <w:r w:rsidR="00C7506F">
        <w:rPr>
          <w:lang w:val="fr-CH"/>
        </w:rPr>
        <w:t>»</w:t>
      </w:r>
      <w:r w:rsidR="00C7506F">
        <w:rPr>
          <w:rStyle w:val="FootnoteReference"/>
          <w:lang w:val="fr-CH"/>
        </w:rPr>
        <w:footnoteReference w:id="83"/>
      </w:r>
      <w:r w:rsidR="008E7C4E">
        <w:rPr>
          <w:lang w:val="fr-CH"/>
        </w:rPr>
        <w:t xml:space="preserve">) </w:t>
      </w:r>
      <w:r w:rsidR="009437ED">
        <w:rPr>
          <w:lang w:val="fr-CH"/>
        </w:rPr>
        <w:t>censé refléter une condition humaine « </w:t>
      </w:r>
      <w:r w:rsidR="009437ED" w:rsidRPr="003E64C0">
        <w:rPr>
          <w:lang w:val="en-US"/>
        </w:rPr>
        <w:t xml:space="preserve">always </w:t>
      </w:r>
      <w:r w:rsidR="003E64C0" w:rsidRPr="003E64C0">
        <w:rPr>
          <w:lang w:val="en-US"/>
        </w:rPr>
        <w:t>perilously</w:t>
      </w:r>
      <w:r w:rsidR="009437ED" w:rsidRPr="003E64C0">
        <w:rPr>
          <w:lang w:val="en-US"/>
        </w:rPr>
        <w:t xml:space="preserve"> close to insanity </w:t>
      </w:r>
      <w:r w:rsidR="009437ED">
        <w:rPr>
          <w:lang w:val="fr-CH"/>
        </w:rPr>
        <w:t>»</w:t>
      </w:r>
      <w:r w:rsidR="009437ED">
        <w:rPr>
          <w:rStyle w:val="FootnoteReference"/>
          <w:lang w:val="fr-CH"/>
        </w:rPr>
        <w:footnoteReference w:id="84"/>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700856" w:rsidRPr="003E64C0">
        <w:rPr>
          <w:lang w:val="en-US"/>
        </w:rPr>
        <w:t>from a psychological point of view </w:t>
      </w:r>
      <w:r w:rsidR="00700856">
        <w:rPr>
          <w:lang w:val="fr-CH"/>
        </w:rPr>
        <w:t>»</w:t>
      </w:r>
      <w:r w:rsidR="00700856">
        <w:rPr>
          <w:rStyle w:val="FootnoteReference"/>
          <w:lang w:val="fr-CH"/>
        </w:rPr>
        <w:footnoteReference w:id="85"/>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86"/>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est très générique</w:t>
      </w:r>
      <w:r w:rsidR="00680AE3">
        <w:rPr>
          <w:rStyle w:val="FootnoteReference"/>
          <w:lang w:val="fr-CH"/>
        </w:rPr>
        <w:footnoteReference w:id="87"/>
      </w:r>
      <w:r w:rsidR="00FC6DD0">
        <w:rPr>
          <w:lang w:val="fr-CH"/>
        </w:rPr>
        <w:t xml:space="preserve"> et concerne un corpus large de film quasiment contemporains à sa réaction, il démontre toutefois un intérêt pour le monde académique dans les liens qu’entretiennent films de série B</w:t>
      </w:r>
      <w:r w:rsidR="00FC6DD0">
        <w:rPr>
          <w:rStyle w:val="FootnoteReference"/>
          <w:lang w:val="fr-CH"/>
        </w:rPr>
        <w:footnoteReference w:id="88"/>
      </w:r>
      <w:r w:rsidR="00A14516">
        <w:rPr>
          <w:lang w:val="fr-CH"/>
        </w:rPr>
        <w:t xml:space="preserve"> avec leur contexte socio-culturel </w:t>
      </w:r>
      <w:r w:rsidR="00F975F9">
        <w:rPr>
          <w:lang w:val="fr-CH"/>
        </w:rPr>
        <w:t>complexe</w:t>
      </w:r>
      <w:r w:rsidR="00A14516">
        <w:rPr>
          <w:lang w:val="fr-CH"/>
        </w:rPr>
        <w:t xml:space="preserve"> que représente la Guerre Froide.</w:t>
      </w:r>
    </w:p>
    <w:p w14:paraId="05CDC234" w14:textId="102C1168" w:rsidR="00A14516" w:rsidRDefault="00A14516" w:rsidP="00C12297">
      <w:pPr>
        <w:pStyle w:val="Mmoire"/>
        <w:rPr>
          <w:lang w:val="fr-CH"/>
        </w:rPr>
      </w:pPr>
      <w:r>
        <w:rPr>
          <w:lang w:val="fr-CH"/>
        </w:rPr>
        <w:lastRenderedPageBreak/>
        <w:tab/>
      </w:r>
      <w:r w:rsidR="00444D30" w:rsidRPr="00F24C6F">
        <w:rPr>
          <w:lang w:val="fr-CH"/>
        </w:rPr>
        <w:t xml:space="preserve">Dans </w:t>
      </w:r>
      <w:r w:rsidR="00444D30" w:rsidRPr="00F24C6F">
        <w:rPr>
          <w:i/>
          <w:lang w:val="fr-CH"/>
        </w:rPr>
        <w:t>Hollywood’s Cold War</w:t>
      </w:r>
      <w:r w:rsidR="00444D30">
        <w:rPr>
          <w:rStyle w:val="FootnoteReference"/>
          <w:i/>
          <w:lang w:val="fr-CH"/>
        </w:rPr>
        <w:footnoteReference w:id="89"/>
      </w:r>
      <w:r w:rsidR="00444D30" w:rsidRPr="00F24C6F">
        <w:rPr>
          <w:lang w:val="fr-CH"/>
        </w:rPr>
        <w:t xml:space="preserve">, Tony Shaw </w:t>
      </w:r>
      <w:r w:rsidR="00F24C6F" w:rsidRPr="00F24C6F">
        <w:rPr>
          <w:lang w:val="fr-CH"/>
        </w:rPr>
        <w:t xml:space="preserve">retrace l’impact de la Guerre Froide </w:t>
      </w:r>
      <w:r w:rsidR="00F24C6F">
        <w:rPr>
          <w:lang w:val="fr-CH"/>
        </w:rPr>
        <w:t>sur Hollywood. Plutôt que de s’intéresser à l’analyse ou la récession des films, Shaw se concentre sur la politique des studios hollywoodiens et son impact sur la production</w:t>
      </w:r>
      <w:r w:rsidR="008806D3">
        <w:rPr>
          <w:lang w:val="fr-CH"/>
        </w:rPr>
        <w:t xml:space="preserve"> et la diffusion</w:t>
      </w:r>
      <w:r w:rsidR="00F24C6F">
        <w:rPr>
          <w:lang w:val="fr-CH"/>
        </w:rPr>
        <w:t xml:space="preserve"> des films. </w:t>
      </w:r>
      <w:r w:rsidR="00064452">
        <w:rPr>
          <w:lang w:val="fr-CH"/>
        </w:rPr>
        <w:t>Il attribue au cinéma hollywoodien une tendance à « </w:t>
      </w:r>
      <w:r w:rsidR="006A46AA" w:rsidRPr="006A46AA">
        <w:rPr>
          <w:lang w:val="en-US"/>
        </w:rPr>
        <w:t>raising social issues yet containing them in a satisfactory bourgeois resolutions</w:t>
      </w:r>
      <w:r w:rsidR="006A46AA">
        <w:rPr>
          <w:lang w:val="fr-CH"/>
        </w:rPr>
        <w:t> »</w:t>
      </w:r>
      <w:r w:rsidR="006A46AA">
        <w:rPr>
          <w:rStyle w:val="FootnoteReference"/>
          <w:lang w:val="fr-CH"/>
        </w:rPr>
        <w:footnoteReference w:id="90"/>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91"/>
      </w:r>
      <w:r w:rsidR="0042563E">
        <w:rPr>
          <w:lang w:val="fr-CH"/>
        </w:rPr>
        <w:t xml:space="preserve">, le grand écart idéologique provoqué par une guerre ayant permis à deux puissances aux idéologies radicalement opposées d’émerger, s’avère problématique pour certains décideurs Hollywoodiens. </w:t>
      </w:r>
      <w:r w:rsidR="0042563E" w:rsidRPr="006F6062">
        <w:rPr>
          <w:lang w:val="fr-CH"/>
        </w:rPr>
        <w:t xml:space="preserve">En 1948, </w:t>
      </w:r>
      <w:r w:rsidR="00D02990" w:rsidRPr="006F6062">
        <w:rPr>
          <w:lang w:val="fr-CH"/>
        </w:rPr>
        <w:t xml:space="preserve">la </w:t>
      </w:r>
      <w:r w:rsidR="00D02990" w:rsidRPr="00082892">
        <w:rPr>
          <w:lang w:val="en-US"/>
        </w:rPr>
        <w:t>Motion Picture Alliance for the Preservation of American Ideals</w:t>
      </w:r>
      <w:r w:rsidR="00D02990">
        <w:rPr>
          <w:rStyle w:val="FootnoteReference"/>
          <w:lang w:val="en-GB"/>
        </w:rPr>
        <w:footnoteReference w:id="92"/>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082892">
        <w:rPr>
          <w:lang w:val="en-US"/>
        </w:rPr>
        <w:t>A Screen Guide for Americans </w:t>
      </w:r>
      <w:r w:rsidR="004C7DB0">
        <w:rPr>
          <w:lang w:val="fr-CH"/>
        </w:rPr>
        <w:t>»</w:t>
      </w:r>
      <w:r w:rsidR="004C7DB0">
        <w:rPr>
          <w:rStyle w:val="FootnoteReference"/>
          <w:lang w:val="fr-CH"/>
        </w:rPr>
        <w:footnoteReference w:id="93"/>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r w:rsidR="002E2A84">
        <w:rPr>
          <w:lang w:val="fr-CH"/>
        </w:rPr>
        <w:t>Le Petit Robert (</w:t>
      </w:r>
      <w:r w:rsidR="00D06E05">
        <w:rPr>
          <w:lang w:val="fr-CH"/>
        </w:rPr>
        <w:t>édition 2012) définit le maccarthysme comme « Politique de délation et de persécution menée aux Etats-Unis dans les années 50 contre les personnalités taxées de sympathies communistes (cf. Chasse aux sorcières) »</w:t>
      </w:r>
      <w:r w:rsidR="00FE2C1C">
        <w:rPr>
          <w:lang w:val="fr-CH"/>
        </w:rPr>
        <w:t>. Bien que la chasse aux communistes par le gouvernement fédéral américain ait officiellement débutée en 1938</w:t>
      </w:r>
      <w:r w:rsidR="000D6B0D">
        <w:rPr>
          <w:lang w:val="fr-CH"/>
        </w:rPr>
        <w:t xml:space="preserve"> avec la création du « </w:t>
      </w:r>
      <w:r w:rsidR="000D6B0D" w:rsidRPr="00082892">
        <w:rPr>
          <w:lang w:val="en-US"/>
        </w:rPr>
        <w:t xml:space="preserve">House </w:t>
      </w:r>
      <w:r w:rsidR="00082892" w:rsidRPr="00082892">
        <w:rPr>
          <w:lang w:val="en-US"/>
        </w:rPr>
        <w:t>Committee</w:t>
      </w:r>
      <w:r w:rsidR="000D6B0D" w:rsidRPr="00082892">
        <w:rPr>
          <w:lang w:val="en-US"/>
        </w:rPr>
        <w:t xml:space="preserve"> on Un-American Activities </w:t>
      </w:r>
      <w:r w:rsidR="000D6B0D">
        <w:rPr>
          <w:lang w:val="fr-CH"/>
        </w:rPr>
        <w:t>»</w:t>
      </w:r>
      <w:r w:rsidR="000D6B0D">
        <w:rPr>
          <w:rStyle w:val="FootnoteReference"/>
          <w:lang w:val="fr-CH"/>
        </w:rPr>
        <w:footnoteReference w:id="94"/>
      </w:r>
      <w:r w:rsidR="000D6B0D">
        <w:rPr>
          <w:lang w:val="fr-CH"/>
        </w:rPr>
        <w:t xml:space="preserve"> (HUAC)</w:t>
      </w:r>
      <w:r w:rsidR="00331356">
        <w:rPr>
          <w:lang w:val="fr-CH"/>
        </w:rPr>
        <w:t xml:space="preserve"> chargé d’enquêter sur les groupes aux activités concernées comme « non américaines »</w:t>
      </w:r>
      <w:r w:rsidR="00331356">
        <w:rPr>
          <w:rStyle w:val="FootnoteReference"/>
          <w:lang w:val="fr-CH"/>
        </w:rPr>
        <w:footnoteReference w:id="95"/>
      </w:r>
      <w:r w:rsidR="00D524D1">
        <w:rPr>
          <w:lang w:val="fr-CH"/>
        </w:rPr>
        <w:t xml:space="preserve"> ; et, bien que son nom soit à terme devenu l’adjectif signifiant les chasses aux sorcières politiques, le sénateur Joseph McCarthy n’a jamais été </w:t>
      </w:r>
      <w:r w:rsidR="00D524D1">
        <w:rPr>
          <w:lang w:val="fr-CH"/>
        </w:rPr>
        <w:lastRenderedPageBreak/>
        <w:t>membre de cette organe gouvernemental officiel</w:t>
      </w:r>
      <w:r w:rsidR="000731BB">
        <w:rPr>
          <w:rStyle w:val="FootnoteReference"/>
          <w:lang w:val="fr-CH"/>
        </w:rPr>
        <w:footnoteReference w:id="96"/>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la « Hollywood Blacklist »</w:t>
      </w:r>
      <w:r w:rsidR="00336962">
        <w:rPr>
          <w:rStyle w:val="FootnoteReference"/>
          <w:lang w:val="fr-CH"/>
        </w:rPr>
        <w:footnoteReference w:id="97"/>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nom</w:t>
      </w:r>
      <w:r w:rsidR="00065AB6">
        <w:rPr>
          <w:lang w:val="fr-CH"/>
        </w:rPr>
        <w:t>s</w:t>
      </w:r>
      <w:r w:rsidR="00FC7F90">
        <w:rPr>
          <w:lang w:val="fr-CH"/>
        </w:rPr>
        <w:t xml:space="preserve"> des « Hollywood Ten »</w:t>
      </w:r>
      <w:r w:rsidR="005D714F">
        <w:rPr>
          <w:lang w:val="fr-CH"/>
        </w:rPr>
        <w:t>, condamnés officiellement par la HUAC en 1947</w:t>
      </w:r>
      <w:r w:rsidR="005D714F">
        <w:rPr>
          <w:rStyle w:val="FootnoteReference"/>
          <w:lang w:val="fr-CH"/>
        </w:rPr>
        <w:footnoteReference w:id="98"/>
      </w:r>
      <w:r w:rsidR="00065AB6">
        <w:rPr>
          <w:lang w:val="fr-CH"/>
        </w:rPr>
        <w:t>, sont définitivement connus.</w:t>
      </w:r>
      <w:r w:rsidR="007F3A27">
        <w:rPr>
          <w:lang w:val="fr-CH"/>
        </w:rPr>
        <w:t xml:space="preserve"> La blacklist aura une influence forte sur la production cinématographique américaine des années 1940 jusqu’au milieu des années </w:t>
      </w:r>
      <w:r w:rsidR="00742AC0">
        <w:rPr>
          <w:lang w:val="fr-CH"/>
        </w:rPr>
        <w:t>1960</w:t>
      </w:r>
      <w:r w:rsidR="00742AC0">
        <w:rPr>
          <w:rStyle w:val="FootnoteReference"/>
          <w:lang w:val="fr-CH"/>
        </w:rPr>
        <w:footnoteReference w:id="99"/>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100"/>
      </w:r>
      <w:r w:rsidR="007F3A27">
        <w:rPr>
          <w:lang w:val="fr-CH"/>
        </w:rPr>
        <w:t>, encouragera certains professionnels à enfouir l’idéologie politique de leur film sous plusieurs couches de lecture</w:t>
      </w:r>
      <w:r w:rsidR="007F3A27">
        <w:rPr>
          <w:rStyle w:val="FootnoteReference"/>
          <w:lang w:val="fr-CH"/>
        </w:rPr>
        <w:footnoteReference w:id="101"/>
      </w:r>
      <w:r w:rsidR="007F3A27">
        <w:rPr>
          <w:lang w:val="fr-CH"/>
        </w:rPr>
        <w:t xml:space="preserve"> et, selon Andrew Dowdy, sera économiquement profitable aux studios en recherche de scénaristes moins chers</w:t>
      </w:r>
      <w:r w:rsidR="007F3A27">
        <w:rPr>
          <w:rStyle w:val="FootnoteReference"/>
          <w:lang w:val="fr-CH"/>
        </w:rPr>
        <w:footnoteReference w:id="102"/>
      </w:r>
      <w:r w:rsidR="007F3A27">
        <w:rPr>
          <w:lang w:val="fr-CH"/>
        </w:rPr>
        <w:t>.</w:t>
      </w:r>
    </w:p>
    <w:p w14:paraId="3EC02499" w14:textId="7F61D169"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03"/>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r w:rsidR="0072634C" w:rsidRPr="00102952">
        <w:rPr>
          <w:lang w:val="en-US"/>
        </w:rPr>
        <w:t>suffered because of the blacklist </w:t>
      </w:r>
      <w:r w:rsidR="0072634C">
        <w:rPr>
          <w:lang w:val="fr-CH"/>
        </w:rPr>
        <w:t>»</w:t>
      </w:r>
      <w:r w:rsidR="0072634C">
        <w:rPr>
          <w:rStyle w:val="FootnoteReference"/>
          <w:lang w:val="fr-CH"/>
        </w:rPr>
        <w:footnoteReference w:id="104"/>
      </w:r>
      <w:r w:rsidR="0072634C">
        <w:rPr>
          <w:lang w:val="fr-CH"/>
        </w:rPr>
        <w:t xml:space="preserve"> </w:t>
      </w:r>
      <w:r w:rsidR="00425192">
        <w:rPr>
          <w:lang w:val="fr-CH"/>
        </w:rPr>
        <w:t>et que le producteur Walter Wagner était un « </w:t>
      </w:r>
      <w:r w:rsidR="00425192" w:rsidRPr="00102952">
        <w:rPr>
          <w:lang w:val="en-US"/>
        </w:rPr>
        <w:t>college-level educated intellectual of liberal politics </w:t>
      </w:r>
      <w:r w:rsidR="00425192">
        <w:rPr>
          <w:lang w:val="fr-CH"/>
        </w:rPr>
        <w:t>» connu pour ses « </w:t>
      </w:r>
      <w:r w:rsidR="00425192" w:rsidRPr="00102952">
        <w:rPr>
          <w:lang w:val="en-US"/>
        </w:rPr>
        <w:t>genre films with a message</w:t>
      </w:r>
      <w:r w:rsidR="00425192">
        <w:rPr>
          <w:lang w:val="fr-CH"/>
        </w:rPr>
        <w:t> »</w:t>
      </w:r>
      <w:r w:rsidR="00425192">
        <w:rPr>
          <w:rStyle w:val="FootnoteReference"/>
          <w:lang w:val="fr-CH"/>
        </w:rPr>
        <w:footnoteReference w:id="105"/>
      </w:r>
      <w:r w:rsidR="00425192">
        <w:rPr>
          <w:lang w:val="fr-CH"/>
        </w:rPr>
        <w:t>.</w:t>
      </w:r>
      <w:r w:rsidR="008120E2">
        <w:rPr>
          <w:lang w:val="fr-CH"/>
        </w:rPr>
        <w:t xml:space="preserve"> </w:t>
      </w:r>
      <w:r w:rsidR="00094B9E">
        <w:rPr>
          <w:lang w:val="fr-CH"/>
        </w:rPr>
        <w:t xml:space="preserve">Ces affirmations sont toutefois fondées sur des qui-dires (dans le cas de Mainwaring, de témoignages </w:t>
      </w:r>
      <w:r w:rsidR="00094B9E">
        <w:rPr>
          <w:i/>
          <w:lang w:val="fr-CH"/>
        </w:rPr>
        <w:t xml:space="preserve">a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06"/>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 xml:space="preserve">est le seul à adresser la question de l’affiliation politique du scénariste </w:t>
      </w:r>
      <w:r w:rsidR="002E235F">
        <w:rPr>
          <w:lang w:val="fr-CH"/>
        </w:rPr>
        <w:lastRenderedPageBreak/>
        <w:t>qui « </w:t>
      </w:r>
      <w:r w:rsidR="002E235F" w:rsidRPr="002E235F">
        <w:rPr>
          <w:lang w:val="en-US"/>
        </w:rPr>
        <w:t>may have been a communist in the thirties </w:t>
      </w:r>
      <w:r w:rsidR="002E235F">
        <w:rPr>
          <w:lang w:val="fr-CH"/>
        </w:rPr>
        <w:t>»</w:t>
      </w:r>
      <w:r w:rsidR="002E235F">
        <w:rPr>
          <w:rStyle w:val="FootnoteReference"/>
          <w:lang w:val="fr-CH"/>
        </w:rPr>
        <w:footnoteReference w:id="107"/>
      </w:r>
      <w:r w:rsidR="002E235F">
        <w:rPr>
          <w:lang w:val="fr-CH"/>
        </w:rPr>
        <w:t xml:space="preserve"> en </w:t>
      </w:r>
      <w:r w:rsidR="003F50E3">
        <w:rPr>
          <w:lang w:val="fr-CH"/>
        </w:rPr>
        <w:t>citant une lettre de Siegel lui étant adressée comme « </w:t>
      </w:r>
      <w:r w:rsidR="003F50E3" w:rsidRPr="00382D6E">
        <w:rPr>
          <w:lang w:val="en-US"/>
        </w:rPr>
        <w:t>Daniel Mainwaring –né Geoffrey Holmes– member (non-paying) of the Older Communist League</w:t>
      </w:r>
      <w:r w:rsidR="003F50E3">
        <w:rPr>
          <w:lang w:val="fr-CH"/>
        </w:rPr>
        <w:t> »</w:t>
      </w:r>
      <w:r w:rsidR="003F50E3">
        <w:rPr>
          <w:rStyle w:val="FootnoteReference"/>
          <w:lang w:val="fr-CH"/>
        </w:rPr>
        <w:footnoteReference w:id="108"/>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une époque </w:t>
      </w:r>
      <w:r w:rsidR="00D81A27">
        <w:rPr>
          <w:lang w:val="fr-CH"/>
        </w:rPr>
        <w:t xml:space="preserve">ou être (ouvertement) politique à Hollywood pouvait s’avérer très dangereux. </w:t>
      </w:r>
      <w:r w:rsidR="0007647B">
        <w:rPr>
          <w:lang w:val="fr-CH"/>
        </w:rPr>
        <w:t xml:space="preserve">Au sujet de Wagner, LaValley offre une autre lecture :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BE1E64">
        <w:rPr>
          <w:lang w:val="en-US"/>
        </w:rPr>
        <w:t>Waldorf Statement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09"/>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BE1E64">
        <w:rPr>
          <w:lang w:val="en-US"/>
        </w:rPr>
        <w:t>outsider and politically unaligned </w:t>
      </w:r>
      <w:r w:rsidR="003F5E9F">
        <w:rPr>
          <w:lang w:val="fr-CH"/>
        </w:rPr>
        <w:t>»</w:t>
      </w:r>
      <w:r w:rsidR="003F5E9F">
        <w:rPr>
          <w:rStyle w:val="FootnoteReference"/>
          <w:lang w:val="fr-CH"/>
        </w:rPr>
        <w:footnoteReference w:id="110"/>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11"/>
      </w:r>
      <w:r w:rsidR="0025350A">
        <w:rPr>
          <w:lang w:val="fr-CH"/>
        </w:rPr>
        <w:t>, celui de Ferrera à la peur du SIDA</w:t>
      </w:r>
      <w:r w:rsidR="0025350A">
        <w:rPr>
          <w:rStyle w:val="FootnoteReference"/>
          <w:lang w:val="fr-CH"/>
        </w:rPr>
        <w:footnoteReference w:id="112"/>
      </w:r>
      <w:r w:rsidR="00CC47C4">
        <w:rPr>
          <w:lang w:val="fr-CH"/>
        </w:rPr>
        <w:t xml:space="preserve">, et la version de Hirschbiegel </w:t>
      </w:r>
      <w:r w:rsidR="002F2CAC">
        <w:rPr>
          <w:lang w:val="fr-CH"/>
        </w:rPr>
        <w:t>à l’Amérique post-11 septembre 2001</w:t>
      </w:r>
      <w:r w:rsidR="00B2269C">
        <w:rPr>
          <w:rStyle w:val="FootnoteReference"/>
          <w:lang w:val="fr-CH"/>
        </w:rPr>
        <w:footnoteReference w:id="113"/>
      </w:r>
      <w:r w:rsidR="002F2CAC">
        <w:rPr>
          <w:lang w:val="fr-CH"/>
        </w:rPr>
        <w:t>.</w:t>
      </w:r>
    </w:p>
    <w:p w14:paraId="66ABA30D" w14:textId="71639D02" w:rsidR="00CA345C" w:rsidRDefault="00CA345C" w:rsidP="00CA345C">
      <w:pPr>
        <w:pStyle w:val="Mmoire"/>
        <w:rPr>
          <w:lang w:val="fr-CH"/>
        </w:rPr>
      </w:pPr>
      <w:r>
        <w:rPr>
          <w:lang w:val="fr-CH"/>
        </w:rPr>
        <w:tab/>
        <w:t xml:space="preserve">Du corpus d’écrits concernant le film, une série d’articles –publiés dans un cadre académiques– peut être isolée de par leur approche : plutôt que de s’aligner avec une interprétation socio-politique liée au contexte de la production du film, ces textes visent à éclairer le film à l’aune d’une approche souvent liée au contexte de leur rédaction. C’est par </w:t>
      </w:r>
      <w:r>
        <w:rPr>
          <w:lang w:val="fr-CH"/>
        </w:rPr>
        <w:lastRenderedPageBreak/>
        <w:t xml:space="preserve">exemple le cas du texte de Nancy </w:t>
      </w:r>
      <w:r>
        <w:rPr>
          <w:lang w:val="en-US"/>
        </w:rPr>
        <w:t>Steffen-Fluhr</w:t>
      </w:r>
      <w:r>
        <w:rPr>
          <w:rStyle w:val="FootnoteReference"/>
          <w:lang w:val="fr-CH"/>
        </w:rPr>
        <w:footnoteReference w:id="114"/>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sont pas les pods mais plutôt la « </w:t>
      </w:r>
      <w:r w:rsidR="009E0F5B" w:rsidRPr="006314A2">
        <w:rPr>
          <w:lang w:val="en-US"/>
        </w:rPr>
        <w:t>burgeoning intimacy</w:t>
      </w:r>
      <w:r w:rsidR="009E0F5B">
        <w:rPr>
          <w:lang w:val="fr-CH"/>
        </w:rPr>
        <w:t> »</w:t>
      </w:r>
      <w:r w:rsidR="009E0F5B">
        <w:rPr>
          <w:rStyle w:val="FootnoteReference"/>
          <w:lang w:val="fr-CH"/>
        </w:rPr>
        <w:footnoteReference w:id="115"/>
      </w:r>
      <w:r w:rsidR="009E0F5B">
        <w:rPr>
          <w:lang w:val="fr-CH"/>
        </w:rPr>
        <w:t xml:space="preserve"> de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16"/>
      </w:r>
      <w:r w:rsidR="00744219">
        <w:rPr>
          <w:lang w:val="fr-CH"/>
        </w:rPr>
        <w:t>.</w:t>
      </w:r>
      <w:r w:rsidR="008E4CE3">
        <w:rPr>
          <w:lang w:val="fr-CH"/>
        </w:rPr>
        <w:t xml:space="preserve"> Une interprétation genrée similaire est également présente dans l’ouvrage de Michael Rogin</w:t>
      </w:r>
      <w:r w:rsidR="008E4CE3">
        <w:rPr>
          <w:rStyle w:val="FootnoteReference"/>
          <w:lang w:val="fr-CH"/>
        </w:rPr>
        <w:footnoteReference w:id="117"/>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w:t>
      </w:r>
      <w:r w:rsidR="004438C6">
        <w:rPr>
          <w:lang w:val="fr-CH"/>
        </w:rPr>
        <w:t>–</w:t>
      </w:r>
      <w:r w:rsidR="004438C6">
        <w:rPr>
          <w:lang w:val="fr-CH"/>
        </w:rPr>
        <w:t xml:space="preserve">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dynamique.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1877C1">
        <w:rPr>
          <w:lang w:val="en-US"/>
        </w:rPr>
        <w:t>film theory </w:t>
      </w:r>
      <w:r w:rsidR="001A7AD0">
        <w:rPr>
          <w:lang w:val="fr-CH"/>
        </w:rPr>
        <w:t>» aux Etats-Unis</w:t>
      </w:r>
      <w:r w:rsidR="001A7AD0">
        <w:rPr>
          <w:rStyle w:val="FootnoteReference"/>
          <w:lang w:val="fr-CH"/>
        </w:rPr>
        <w:footnoteReference w:id="118"/>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19"/>
      </w:r>
      <w:r w:rsidR="002B6C9D">
        <w:rPr>
          <w:lang w:val="fr-CH"/>
        </w:rPr>
        <w:t xml:space="preserve"> est un trouble psychologique connu et documenté</w:t>
      </w:r>
      <w:r w:rsidR="002B6C9D">
        <w:rPr>
          <w:rStyle w:val="FootnoteReference"/>
          <w:lang w:val="fr-CH"/>
        </w:rPr>
        <w:footnoteReference w:id="120"/>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21"/>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22"/>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 xml:space="preserve">Les exemples d’utilisation d’interprétation du film à des fins d’argumentation est récurrente dans les </w:t>
      </w:r>
      <w:r w:rsidR="00821CAB">
        <w:rPr>
          <w:lang w:val="fr-CH"/>
        </w:rPr>
        <w:lastRenderedPageBreak/>
        <w:t>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23"/>
      </w:r>
      <w:r w:rsidR="005F3CBC">
        <w:rPr>
          <w:lang w:val="fr-CH"/>
        </w:rPr>
        <w:t>, et démontre d’une part la pluri-sémanticité du film et d’autre part son impact sur la mémoire collective américaine.</w:t>
      </w:r>
    </w:p>
    <w:p w14:paraId="154A0FD4" w14:textId="3AB74770" w:rsidR="00A71144" w:rsidRDefault="00A71144" w:rsidP="00930981">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24"/>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25"/>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r w:rsidR="00373BBC">
        <w:rPr>
          <w:rStyle w:val="FootnoteReference"/>
          <w:lang w:val="fr-CH"/>
        </w:rPr>
        <w:footnoteReference w:id="126"/>
      </w:r>
      <w:r w:rsidR="001E4E2A">
        <w:rPr>
          <w:lang w:val="fr-CH"/>
        </w:rPr>
        <w:t>, mais permet d’aborder le film sous un autre œil que celui de son contexte socio-économique pur.</w:t>
      </w:r>
    </w:p>
    <w:p w14:paraId="3DD2B8F0" w14:textId="77777777" w:rsidR="00075AD0" w:rsidRPr="00075AD0" w:rsidRDefault="00075AD0" w:rsidP="00075AD0">
      <w:pPr>
        <w:rPr>
          <w:lang w:val="fr-CH"/>
        </w:rPr>
      </w:pPr>
    </w:p>
    <w:p w14:paraId="3E322C14" w14:textId="37ACE444" w:rsidR="004B17C9" w:rsidRPr="00E05543" w:rsidRDefault="004B17C9" w:rsidP="00930981">
      <w:pPr>
        <w:pStyle w:val="Mmoire"/>
        <w:rPr>
          <w:lang w:val="fr-CH"/>
        </w:rPr>
      </w:pPr>
      <w:r>
        <w:rPr>
          <w:lang w:val="fr-CH"/>
        </w:rPr>
        <w:tab/>
        <w:t xml:space="preserve">Au vu du nombre d’interprétations que le film (et ses remakes) </w:t>
      </w:r>
      <w:r w:rsidR="00930981">
        <w:rPr>
          <w:lang w:val="fr-CH"/>
        </w:rPr>
        <w:t>ont</w:t>
      </w:r>
      <w:r>
        <w:rPr>
          <w:lang w:val="fr-CH"/>
        </w:rPr>
        <w:t xml:space="preserve"> suscité, </w:t>
      </w:r>
      <w:r w:rsidR="00930981">
        <w:rPr>
          <w:lang w:val="fr-CH"/>
        </w:rPr>
        <w:t xml:space="preserve">il est difficile de contredire le </w:t>
      </w:r>
      <w:r w:rsidR="00930981">
        <w:rPr>
          <w:lang w:val="fr-CH"/>
        </w:rPr>
        <w:t>« délire d’interprétations »</w:t>
      </w:r>
      <w:r w:rsidR="00930981">
        <w:rPr>
          <w:lang w:val="fr-CH"/>
        </w:rPr>
        <w:t xml:space="preserve"> proposé par Durgnat</w:t>
      </w:r>
      <w:r w:rsidR="00075AD0">
        <w:rPr>
          <w:lang w:val="fr-CH"/>
        </w:rPr>
        <w:t xml:space="preserve">. Ce chapitre </w:t>
      </w:r>
      <w:r w:rsidR="00CE33DC">
        <w:rPr>
          <w:lang w:val="fr-CH"/>
        </w:rPr>
        <w:t xml:space="preserve">a permis d’effectuer une rétrospective sur la réception critique des films en se focalisant sur la manière dont les discours se construisent autour du lien qu’entretient un film avec ses </w:t>
      </w:r>
      <w:r w:rsidR="00C42A8C">
        <w:rPr>
          <w:lang w:val="fr-CH"/>
        </w:rPr>
        <w:t xml:space="preserve">prédécesseurs, il a également été question de l’hybridité générique des films et de ses conséquences supposées sur la </w:t>
      </w:r>
      <w:r w:rsidR="00C42A8C">
        <w:rPr>
          <w:i/>
          <w:lang w:val="fr-CH"/>
        </w:rPr>
        <w:t>série</w:t>
      </w:r>
      <w:r w:rsidR="00C42A8C">
        <w:rPr>
          <w:lang w:val="fr-CH"/>
        </w:rPr>
        <w:t xml:space="preserve">, et, finalement, </w:t>
      </w:r>
      <w:r w:rsidR="006B244B">
        <w:rPr>
          <w:lang w:val="fr-CH"/>
        </w:rPr>
        <w:t>il a été question de la foison d’interprétations offerte aussi bien par la critique que par le milieu académique.</w:t>
      </w:r>
      <w:r w:rsidR="00E05543">
        <w:rPr>
          <w:lang w:val="fr-CH"/>
        </w:rPr>
        <w:t xml:space="preserve"> Cette réception critique et académique posée, il s’agit maintenant de préciser et d’affiner certains concepts liés d’une part à la sérialité et d’autre part au phénomène de </w:t>
      </w:r>
      <w:r w:rsidR="00E05543">
        <w:rPr>
          <w:i/>
          <w:lang w:val="fr-CH"/>
        </w:rPr>
        <w:t>sélection naturelle</w:t>
      </w:r>
      <w:r w:rsidR="00E05543">
        <w:rPr>
          <w:lang w:val="fr-CH"/>
        </w:rPr>
        <w:t xml:space="preserve"> que cette sérialité engendre dans le cadre d’une représentation culturelle publique telle que le cinéma.</w:t>
      </w:r>
      <w:bookmarkStart w:id="0" w:name="_GoBack"/>
      <w:bookmarkEnd w:id="0"/>
    </w:p>
    <w:sectPr w:rsidR="004B17C9" w:rsidRPr="00E05543"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CAA0B" w14:textId="77777777" w:rsidR="000B6314" w:rsidRDefault="000B6314" w:rsidP="00173138">
      <w:r>
        <w:separator/>
      </w:r>
    </w:p>
  </w:endnote>
  <w:endnote w:type="continuationSeparator" w:id="0">
    <w:p w14:paraId="4D323E16" w14:textId="77777777" w:rsidR="000B6314" w:rsidRDefault="000B6314"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744219" w:rsidRDefault="00744219"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744219" w:rsidRDefault="00744219"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744219" w:rsidRPr="00A50EFA" w:rsidRDefault="00744219"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E05543">
      <w:rPr>
        <w:rStyle w:val="PageNumber"/>
        <w:noProof/>
        <w:sz w:val="22"/>
      </w:rPr>
      <w:t>15</w:t>
    </w:r>
    <w:r w:rsidRPr="00A50EFA">
      <w:rPr>
        <w:rStyle w:val="PageNumber"/>
        <w:sz w:val="22"/>
      </w:rPr>
      <w:fldChar w:fldCharType="end"/>
    </w:r>
  </w:p>
  <w:p w14:paraId="6A6EF380" w14:textId="77777777" w:rsidR="00744219" w:rsidRDefault="00744219"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EA2E0" w14:textId="77777777" w:rsidR="000B6314" w:rsidRDefault="000B6314" w:rsidP="00173138">
      <w:r>
        <w:separator/>
      </w:r>
    </w:p>
  </w:footnote>
  <w:footnote w:type="continuationSeparator" w:id="0">
    <w:p w14:paraId="2EEA78C4" w14:textId="77777777" w:rsidR="000B6314" w:rsidRDefault="000B6314" w:rsidP="00173138">
      <w:r>
        <w:continuationSeparator/>
      </w:r>
    </w:p>
  </w:footnote>
  <w:footnote w:id="1">
    <w:p w14:paraId="3F5D2513" w14:textId="06F2428C" w:rsidR="00744219" w:rsidRPr="00611886" w:rsidRDefault="00744219">
      <w:pPr>
        <w:pStyle w:val="FootnoteText"/>
        <w:rPr>
          <w:lang w:val="fr-CH"/>
        </w:rPr>
      </w:pPr>
      <w:r>
        <w:rPr>
          <w:rStyle w:val="FootnoteReference"/>
        </w:rPr>
        <w:footnoteRef/>
      </w:r>
      <w:r>
        <w:t xml:space="preserve"> La présence de critiques issues de la revue hebdomadaire éditée par la BFI </w:t>
      </w:r>
      <w:r>
        <w:rPr>
          <w:i/>
        </w:rPr>
        <w:t>Sight &amp; Sound</w:t>
      </w:r>
      <w:r>
        <w:t xml:space="preserve"> ou du trimestriel </w:t>
      </w:r>
      <w:r>
        <w:rPr>
          <w:i/>
        </w:rPr>
        <w:t>Cinéaste</w:t>
      </w:r>
      <w:r>
        <w:t xml:space="preserve"> pour les films de 1956, 1978 et 1993 font exception à cette règle.</w:t>
      </w:r>
    </w:p>
  </w:footnote>
  <w:footnote w:id="2">
    <w:p w14:paraId="0D4D19F5" w14:textId="094CDC2C" w:rsidR="00744219" w:rsidRPr="00781EA5" w:rsidRDefault="00744219">
      <w:pPr>
        <w:pStyle w:val="FootnoteText"/>
        <w:rPr>
          <w:lang w:val="en-GB"/>
        </w:rPr>
      </w:pPr>
      <w:r>
        <w:rPr>
          <w:rStyle w:val="FootnoteReference"/>
        </w:rPr>
        <w:footnoteRef/>
      </w:r>
      <w:r w:rsidRPr="00781EA5">
        <w:rPr>
          <w:lang w:val="en-GB"/>
        </w:rPr>
        <w:t xml:space="preserve"> Ou une excuse pour.</w:t>
      </w:r>
    </w:p>
  </w:footnote>
  <w:footnote w:id="3">
    <w:p w14:paraId="0A3B071E" w14:textId="7BC6F697" w:rsidR="00744219" w:rsidRPr="00781EA5" w:rsidRDefault="00744219">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744219" w:rsidRPr="00781EA5" w:rsidRDefault="00744219">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744219" w:rsidRPr="00781EA5" w:rsidRDefault="00744219">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Duncan, BearManor, 2012.</w:t>
      </w:r>
    </w:p>
  </w:footnote>
  <w:footnote w:id="6">
    <w:p w14:paraId="65259609" w14:textId="51B1D18C" w:rsidR="00744219" w:rsidRPr="00781EA5" w:rsidRDefault="00744219">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55875141" w:rsidR="00744219" w:rsidRPr="007D7652" w:rsidRDefault="00744219">
      <w:pPr>
        <w:pStyle w:val="FootnoteText"/>
        <w:rPr>
          <w:lang w:val="fr-CH"/>
        </w:rPr>
      </w:pPr>
      <w:r>
        <w:rPr>
          <w:rStyle w:val="FootnoteReference"/>
        </w:rPr>
        <w:footnoteRef/>
      </w:r>
      <w:r>
        <w:t xml:space="preserve"> </w:t>
      </w:r>
      <w:r>
        <w:rPr>
          <w:lang w:val="fr-CH"/>
        </w:rPr>
        <w:t>Producteur de la version 1956.</w:t>
      </w:r>
    </w:p>
  </w:footnote>
  <w:footnote w:id="8">
    <w:p w14:paraId="69180A08" w14:textId="31C392EC" w:rsidR="00744219" w:rsidRPr="0000607A" w:rsidRDefault="00744219">
      <w:pPr>
        <w:pStyle w:val="FootnoteText"/>
        <w:rPr>
          <w:lang w:val="fr-CH"/>
        </w:rPr>
      </w:pPr>
      <w:r>
        <w:rPr>
          <w:rStyle w:val="FootnoteReference"/>
        </w:rPr>
        <w:footnoteRef/>
      </w:r>
      <w:r>
        <w:t xml:space="preserve"> Reproduite dans son intégralité dans </w:t>
      </w:r>
      <w:r w:rsidRPr="00781EA5">
        <w:rPr>
          <w:szCs w:val="20"/>
          <w:lang w:val="fr-CH"/>
        </w:rPr>
        <w:t xml:space="preserve">Al LaValley (éd.), </w:t>
      </w:r>
      <w:r w:rsidRPr="00781EA5">
        <w:rPr>
          <w:i/>
          <w:szCs w:val="20"/>
          <w:lang w:val="fr-CH"/>
        </w:rPr>
        <w:t>op. cit.</w:t>
      </w:r>
      <w:r w:rsidRPr="00781EA5">
        <w:rPr>
          <w:szCs w:val="20"/>
          <w:lang w:val="fr-CH"/>
        </w:rPr>
        <w:t>, p .163.</w:t>
      </w:r>
    </w:p>
  </w:footnote>
  <w:footnote w:id="9">
    <w:p w14:paraId="560F38A7" w14:textId="4C921DCD" w:rsidR="00744219" w:rsidRPr="00781EA5" w:rsidRDefault="00744219">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.163</w:t>
      </w:r>
    </w:p>
  </w:footnote>
  <w:footnote w:id="10">
    <w:p w14:paraId="23A97179" w14:textId="04F411C9" w:rsidR="00744219" w:rsidRPr="00781EA5" w:rsidRDefault="00744219">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xml:space="preserve">, p. 163 ; </w:t>
      </w:r>
      <w:r w:rsidRPr="00781EA5">
        <w:rPr>
          <w:lang w:val="en-GB"/>
        </w:rPr>
        <w:t xml:space="preserve">Mark Thomas McGee, </w:t>
      </w:r>
      <w:r w:rsidRPr="00781EA5">
        <w:rPr>
          <w:i/>
          <w:lang w:val="en-GB"/>
        </w:rPr>
        <w:t>op. cit.</w:t>
      </w:r>
      <w:r w:rsidRPr="00781EA5">
        <w:rPr>
          <w:lang w:val="en-GB"/>
        </w:rPr>
        <w:t xml:space="preserve">, p. 163 ; Arthur LeGacy, « The Invasion of the Body Snatchers: A Metaphor for the Fifties », </w:t>
      </w:r>
      <w:r w:rsidRPr="00781EA5">
        <w:rPr>
          <w:i/>
          <w:lang w:val="en-GB"/>
        </w:rPr>
        <w:t>Litterature/Film Quarterly</w:t>
      </w:r>
      <w:r w:rsidRPr="00781EA5">
        <w:rPr>
          <w:lang w:val="en-GB"/>
        </w:rPr>
        <w:t>, Vol. 6, No. 3, été 1978, p. 286.</w:t>
      </w:r>
    </w:p>
  </w:footnote>
  <w:footnote w:id="11">
    <w:p w14:paraId="0D550CCD" w14:textId="7E287901" w:rsidR="00744219" w:rsidRPr="00781EA5" w:rsidRDefault="00744219">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12">
    <w:p w14:paraId="1EE60664" w14:textId="23244908" w:rsidR="00744219" w:rsidRPr="004C1431" w:rsidRDefault="00744219">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13">
    <w:p w14:paraId="0C686DEA" w14:textId="331E1F94" w:rsidR="00744219" w:rsidRPr="00781EA5" w:rsidRDefault="00744219">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.161.</w:t>
      </w:r>
    </w:p>
  </w:footnote>
  <w:footnote w:id="14">
    <w:p w14:paraId="523F5948" w14:textId="6924B2FC" w:rsidR="00744219" w:rsidRPr="00781EA5" w:rsidRDefault="00744219">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15">
    <w:p w14:paraId="295EED7E" w14:textId="27AB7D69" w:rsidR="00744219" w:rsidRPr="00781EA5" w:rsidRDefault="00744219">
      <w:pPr>
        <w:pStyle w:val="FootnoteText"/>
        <w:rPr>
          <w:lang w:val="en-GB"/>
        </w:rPr>
      </w:pPr>
      <w:r>
        <w:rPr>
          <w:rStyle w:val="FootnoteReference"/>
        </w:rPr>
        <w:footnoteRef/>
      </w:r>
      <w:r w:rsidRPr="00781EA5">
        <w:rPr>
          <w:lang w:val="en-GB"/>
        </w:rPr>
        <w:t xml:space="preserve"> Les critiques parues dans les revues corporatives </w:t>
      </w:r>
      <w:r w:rsidRPr="00781EA5">
        <w:rPr>
          <w:i/>
          <w:lang w:val="en-GB"/>
        </w:rPr>
        <w:t xml:space="preserve">Variety </w:t>
      </w:r>
      <w:r w:rsidRPr="00781EA5">
        <w:rPr>
          <w:lang w:val="en-GB"/>
        </w:rPr>
        <w:t xml:space="preserve">et </w:t>
      </w:r>
      <w:r w:rsidRPr="00781EA5">
        <w:rPr>
          <w:i/>
          <w:lang w:val="en-GB"/>
        </w:rPr>
        <w:t>Monthly Film Bulletin</w:t>
      </w:r>
      <w:r w:rsidRPr="00781EA5">
        <w:rPr>
          <w:lang w:val="en-GB"/>
        </w:rPr>
        <w:t xml:space="preserve"> étant par exemple datées du 31 décembre 1955 et 1</w:t>
      </w:r>
      <w:r w:rsidRPr="00781EA5">
        <w:rPr>
          <w:vertAlign w:val="superscript"/>
          <w:lang w:val="en-GB"/>
        </w:rPr>
        <w:t>er</w:t>
      </w:r>
      <w:r w:rsidRPr="00781EA5">
        <w:rPr>
          <w:lang w:val="en-GB"/>
        </w:rPr>
        <w:t xml:space="preserve"> janvier 1956, respectivement ; –, « Review : ‘Invasion of the Body Snatchers’ », </w:t>
      </w:r>
      <w:r w:rsidRPr="00781EA5">
        <w:rPr>
          <w:i/>
          <w:lang w:val="en-GB"/>
        </w:rPr>
        <w:t>Variety</w:t>
      </w:r>
      <w:r w:rsidRPr="00781EA5">
        <w:rPr>
          <w:lang w:val="en-GB"/>
        </w:rPr>
        <w:t xml:space="preserve">, 31 décembre 1955 ; Derek Prouse, « INVASION OF THE BODY SNATCHERS, U.S.A., 1955 », </w:t>
      </w:r>
      <w:r w:rsidRPr="00781EA5">
        <w:rPr>
          <w:i/>
          <w:lang w:val="en-GB"/>
        </w:rPr>
        <w:t>Monthly Film Bulletin</w:t>
      </w:r>
      <w:r w:rsidRPr="00781EA5">
        <w:rPr>
          <w:lang w:val="en-GB"/>
        </w:rPr>
        <w:t>, 1er janvier 1956.</w:t>
      </w:r>
    </w:p>
  </w:footnote>
  <w:footnote w:id="16">
    <w:p w14:paraId="7C0EFE20" w14:textId="164C4A7D" w:rsidR="00744219" w:rsidRPr="00781EA5" w:rsidRDefault="00744219">
      <w:pPr>
        <w:pStyle w:val="FootnoteText"/>
        <w:rPr>
          <w:lang w:val="en-GB"/>
        </w:rPr>
      </w:pPr>
      <w:r>
        <w:rPr>
          <w:rStyle w:val="FootnoteReference"/>
        </w:rPr>
        <w:footnoteRef/>
      </w:r>
      <w:r w:rsidRPr="00781EA5">
        <w:rPr>
          <w:lang w:val="en-GB"/>
        </w:rPr>
        <w:t xml:space="preserve"> –, « A Guide to Current Films », </w:t>
      </w:r>
      <w:r w:rsidRPr="00781EA5">
        <w:rPr>
          <w:i/>
          <w:lang w:val="en-GB"/>
        </w:rPr>
        <w:t>Sight and Sound</w:t>
      </w:r>
      <w:r w:rsidRPr="00781EA5">
        <w:rPr>
          <w:lang w:val="en-GB"/>
        </w:rPr>
        <w:t>, Vol. 26, No. 2, automne 1956, p. 112.</w:t>
      </w:r>
    </w:p>
  </w:footnote>
  <w:footnote w:id="17">
    <w:p w14:paraId="6E356515" w14:textId="7EA86BF3" w:rsidR="00744219" w:rsidRPr="00781EA5" w:rsidRDefault="00744219">
      <w:pPr>
        <w:pStyle w:val="FootnoteText"/>
        <w:rPr>
          <w:lang w:val="en-GB"/>
        </w:rPr>
      </w:pPr>
      <w:r>
        <w:rPr>
          <w:rStyle w:val="FootnoteReference"/>
        </w:rPr>
        <w:footnoteRef/>
      </w:r>
      <w:r w:rsidRPr="00781EA5">
        <w:rPr>
          <w:lang w:val="en-GB"/>
        </w:rPr>
        <w:t xml:space="preserve"> Jack Moffitt, « Invasion of the Body Snatchers », </w:t>
      </w:r>
      <w:r w:rsidRPr="00781EA5">
        <w:rPr>
          <w:i/>
          <w:lang w:val="en-GB"/>
        </w:rPr>
        <w:t>The Hollywood Reporter</w:t>
      </w:r>
      <w:r w:rsidRPr="00781EA5">
        <w:rPr>
          <w:lang w:val="en-GB"/>
        </w:rPr>
        <w:t>, 16 février 1956.</w:t>
      </w:r>
    </w:p>
  </w:footnote>
  <w:footnote w:id="18">
    <w:p w14:paraId="6178779C" w14:textId="24212444" w:rsidR="00744219" w:rsidRPr="00781EA5" w:rsidRDefault="00744219">
      <w:pPr>
        <w:pStyle w:val="FootnoteText"/>
        <w:rPr>
          <w:lang w:val="en-GB"/>
        </w:rPr>
      </w:pPr>
      <w:r>
        <w:rPr>
          <w:rStyle w:val="FootnoteReference"/>
        </w:rPr>
        <w:footnoteRef/>
      </w:r>
      <w:r w:rsidRPr="00781EA5">
        <w:rPr>
          <w:lang w:val="en-GB"/>
        </w:rPr>
        <w:t xml:space="preserve"> F. J., « Invasion of the Body Snatchers », </w:t>
      </w:r>
      <w:r w:rsidRPr="00781EA5">
        <w:rPr>
          <w:i/>
          <w:lang w:val="en-GB"/>
        </w:rPr>
        <w:t>Daily Film Reviewer [London]</w:t>
      </w:r>
      <w:r w:rsidRPr="00781EA5">
        <w:rPr>
          <w:lang w:val="en-GB"/>
        </w:rPr>
        <w:t>, 23 août 1956.</w:t>
      </w:r>
    </w:p>
  </w:footnote>
  <w:footnote w:id="19">
    <w:p w14:paraId="30D3E805" w14:textId="2CE37EA7" w:rsidR="00744219" w:rsidRPr="00781EA5" w:rsidRDefault="00744219">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La chose d’un autre monde</w:t>
      </w:r>
      <w:r w:rsidRPr="00781EA5">
        <w:rPr>
          <w:lang w:val="en-GB"/>
        </w:rPr>
        <w:t>, Christian Nyby, 1951)</w:t>
      </w:r>
    </w:p>
  </w:footnote>
  <w:footnote w:id="20">
    <w:p w14:paraId="0A912020" w14:textId="78E54526" w:rsidR="00744219" w:rsidRPr="00781EA5" w:rsidRDefault="00744219">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1956 ; Jack Moffitt, « Invasion of the Body Snatchers », </w:t>
      </w:r>
      <w:r w:rsidRPr="00781EA5">
        <w:rPr>
          <w:i/>
          <w:lang w:val="en-GB"/>
        </w:rPr>
        <w:t>The Hollywood Reporter</w:t>
      </w:r>
      <w:r w:rsidRPr="00781EA5">
        <w:rPr>
          <w:lang w:val="en-GB"/>
        </w:rPr>
        <w:t>, 16 février 1956.</w:t>
      </w:r>
    </w:p>
  </w:footnote>
  <w:footnote w:id="21">
    <w:p w14:paraId="72636D53" w14:textId="0A9AA987" w:rsidR="00744219" w:rsidRPr="00300B5B" w:rsidRDefault="00744219">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22">
    <w:p w14:paraId="70EA68E4" w14:textId="76A57347" w:rsidR="00744219" w:rsidRPr="00283CF4" w:rsidRDefault="00744219">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23">
    <w:p w14:paraId="7F36F225" w14:textId="04D7CF90" w:rsidR="00744219" w:rsidRPr="00DD3C95" w:rsidRDefault="00744219">
      <w:pPr>
        <w:pStyle w:val="FootnoteText"/>
        <w:rPr>
          <w:lang w:val="fr-CH"/>
        </w:rPr>
      </w:pPr>
      <w:r>
        <w:rPr>
          <w:rStyle w:val="FootnoteReference"/>
        </w:rPr>
        <w:footnoteRef/>
      </w:r>
      <w:r>
        <w:t xml:space="preserve"> </w:t>
      </w:r>
      <w:r>
        <w:rPr>
          <w:lang w:val="fr-CH"/>
        </w:rPr>
        <w:t>Dont le détail sera discuté plus bas dans ce chapitre.</w:t>
      </w:r>
    </w:p>
  </w:footnote>
  <w:footnote w:id="24">
    <w:p w14:paraId="21D786BF" w14:textId="12240971" w:rsidR="00744219" w:rsidRPr="0083111B" w:rsidRDefault="00744219">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5">
    <w:p w14:paraId="7A3479B0" w14:textId="204DDBCC" w:rsidR="00744219" w:rsidRPr="008A7494" w:rsidRDefault="00744219">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6">
    <w:p w14:paraId="7263106A" w14:textId="70EE9487" w:rsidR="00744219" w:rsidRPr="00DD6C92" w:rsidRDefault="00744219">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24 novembre 1967 ; le titre exact de la parution étant malheureusement illisible sur la copie fournie par la cinémathèque française. </w:t>
      </w:r>
    </w:p>
  </w:footnote>
  <w:footnote w:id="27">
    <w:p w14:paraId="3BD87A40" w14:textId="1AC0EC29" w:rsidR="00744219" w:rsidRPr="00DE3C2D" w:rsidRDefault="00744219">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8">
    <w:p w14:paraId="4AC469AA" w14:textId="3D9D2FA9" w:rsidR="00744219" w:rsidRPr="005418E9" w:rsidRDefault="00744219" w:rsidP="005418E9">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p w14:paraId="43BA8E75" w14:textId="54B0FA9A" w:rsidR="00744219" w:rsidRPr="005418E9" w:rsidRDefault="00744219">
      <w:pPr>
        <w:pStyle w:val="FootnoteText"/>
        <w:rPr>
          <w:lang w:val="fr-CH"/>
        </w:rPr>
      </w:pPr>
    </w:p>
  </w:footnote>
  <w:footnote w:id="29">
    <w:p w14:paraId="25AC74B5" w14:textId="4A2EFE1C" w:rsidR="00744219" w:rsidRPr="00543A54" w:rsidRDefault="00744219">
      <w:pPr>
        <w:pStyle w:val="FootnoteText"/>
        <w:rPr>
          <w:lang w:val="en-US"/>
        </w:rPr>
      </w:pPr>
      <w:r>
        <w:rPr>
          <w:rStyle w:val="FootnoteReference"/>
        </w:rPr>
        <w:footnoteRef/>
      </w:r>
      <w:r w:rsidRPr="00781EA5">
        <w:rPr>
          <w:lang w:val="en-GB"/>
        </w:rPr>
        <w:t xml:space="preserve"> </w:t>
      </w:r>
      <w:r w:rsidRPr="00645A27">
        <w:rPr>
          <w:lang w:val="en-US"/>
        </w:rPr>
        <w:t>David</w:t>
      </w:r>
      <w:r>
        <w:rPr>
          <w:lang w:val="en-US"/>
        </w:rPr>
        <w:t xml:space="preserve"> Bartholomew</w:t>
      </w:r>
      <w:r w:rsidRPr="00645A27">
        <w:rPr>
          <w:lang w:val="en-US"/>
        </w:rPr>
        <w:t xml:space="preserve">, « invasion of the body snatchers », </w:t>
      </w:r>
      <w:r w:rsidRPr="00645A27">
        <w:rPr>
          <w:i/>
          <w:lang w:val="en-US"/>
        </w:rPr>
        <w:t>Cinéaste</w:t>
      </w:r>
      <w:r w:rsidRPr="00645A27">
        <w:rPr>
          <w:lang w:val="en-US"/>
        </w:rPr>
        <w:t xml:space="preserve">, Vol. </w:t>
      </w:r>
      <w:r>
        <w:rPr>
          <w:lang w:val="en-US"/>
        </w:rPr>
        <w:t>10, No. 1, hiver 1979, p. 52</w:t>
      </w:r>
      <w:r w:rsidRPr="00645A27">
        <w:rPr>
          <w:lang w:val="en-US"/>
        </w:rPr>
        <w:t>.</w:t>
      </w:r>
    </w:p>
  </w:footnote>
  <w:footnote w:id="30">
    <w:p w14:paraId="71A3B2BB" w14:textId="1D7A9F1C" w:rsidR="00744219" w:rsidRPr="00781EA5" w:rsidRDefault="00744219">
      <w:pPr>
        <w:pStyle w:val="FootnoteText"/>
        <w:rPr>
          <w:lang w:val="en-GB"/>
        </w:rPr>
      </w:pPr>
      <w:r>
        <w:rPr>
          <w:rStyle w:val="FootnoteReference"/>
        </w:rPr>
        <w:footnoteRef/>
      </w:r>
      <w:r w:rsidRPr="00781EA5">
        <w:rPr>
          <w:lang w:val="en-GB"/>
        </w:rPr>
        <w:t xml:space="preserve"> </w:t>
      </w:r>
      <w:r w:rsidRPr="00543A54">
        <w:rPr>
          <w:lang w:val="en-US"/>
        </w:rPr>
        <w:t>David</w:t>
      </w:r>
      <w:r>
        <w:rPr>
          <w:lang w:val="en-US"/>
        </w:rPr>
        <w:t xml:space="preserve"> Kehr</w:t>
      </w:r>
      <w:r w:rsidRPr="00543A54">
        <w:rPr>
          <w:lang w:val="en-US"/>
        </w:rPr>
        <w:t xml:space="preserve">, « Invasion of the Body Snatchers », </w:t>
      </w:r>
      <w:r w:rsidRPr="00543A54">
        <w:rPr>
          <w:i/>
          <w:lang w:val="en-US"/>
        </w:rPr>
        <w:t>The Chicago Reader</w:t>
      </w:r>
      <w:r w:rsidRPr="00543A54">
        <w:rPr>
          <w:lang w:val="en-US"/>
        </w:rPr>
        <w:t>, 1978.</w:t>
      </w:r>
    </w:p>
  </w:footnote>
  <w:footnote w:id="31">
    <w:p w14:paraId="4EA8E55A" w14:textId="60804B6A" w:rsidR="00744219" w:rsidRPr="00D024F2" w:rsidRDefault="00744219">
      <w:pPr>
        <w:pStyle w:val="FootnoteText"/>
        <w:rPr>
          <w:lang w:val="en-US"/>
        </w:rPr>
      </w:pPr>
      <w:r>
        <w:rPr>
          <w:rStyle w:val="FootnoteReference"/>
        </w:rPr>
        <w:footnoteRef/>
      </w:r>
      <w:r>
        <w:rPr>
          <w:lang w:val="en-US"/>
        </w:rPr>
        <w:t xml:space="preserve"> </w:t>
      </w:r>
      <w:r w:rsidRPr="00543A54">
        <w:rPr>
          <w:lang w:val="en-US"/>
        </w:rPr>
        <w:t>David</w:t>
      </w:r>
      <w:r>
        <w:rPr>
          <w:lang w:val="en-US"/>
        </w:rPr>
        <w:t xml:space="preserve"> Kehr</w:t>
      </w:r>
      <w:r w:rsidRPr="00543A54">
        <w:rPr>
          <w:lang w:val="en-US"/>
        </w:rPr>
        <w:t xml:space="preserve">, </w:t>
      </w:r>
      <w:r>
        <w:rPr>
          <w:i/>
          <w:lang w:val="en-US"/>
        </w:rPr>
        <w:t>ibid.</w:t>
      </w:r>
    </w:p>
  </w:footnote>
  <w:footnote w:id="32">
    <w:p w14:paraId="72E2E3C6" w14:textId="4C4B67D8" w:rsidR="00744219" w:rsidRPr="00A00FD7" w:rsidRDefault="00744219">
      <w:pPr>
        <w:pStyle w:val="FootnoteText"/>
        <w:rPr>
          <w:lang w:val="en-US"/>
        </w:rPr>
      </w:pPr>
      <w:r>
        <w:rPr>
          <w:rStyle w:val="FootnoteReference"/>
        </w:rPr>
        <w:footnoteRef/>
      </w:r>
      <w:r w:rsidRPr="00781EA5">
        <w:rPr>
          <w:lang w:val="en-GB"/>
        </w:rPr>
        <w:t xml:space="preserve">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janvier 1979.</w:t>
      </w:r>
    </w:p>
  </w:footnote>
  <w:footnote w:id="33">
    <w:p w14:paraId="19286BD0" w14:textId="6F9EF4A2" w:rsidR="00744219" w:rsidRPr="00506F6E" w:rsidRDefault="00744219">
      <w:pPr>
        <w:pStyle w:val="FootnoteText"/>
        <w:rPr>
          <w:lang w:val="en-US"/>
        </w:rPr>
      </w:pPr>
      <w:r>
        <w:rPr>
          <w:rStyle w:val="FootnoteReference"/>
        </w:rPr>
        <w:footnoteRef/>
      </w:r>
      <w:r w:rsidRPr="00781EA5">
        <w:rPr>
          <w:lang w:val="en-GB"/>
        </w:rPr>
        <w:t xml:space="preserve"> </w:t>
      </w:r>
      <w:r w:rsidRPr="00963ECD">
        <w:rPr>
          <w:i/>
          <w:lang w:val="en-US"/>
        </w:rPr>
        <w:t>–</w:t>
      </w:r>
      <w:r w:rsidRPr="00963ECD">
        <w:rPr>
          <w:lang w:val="en-US"/>
        </w:rPr>
        <w:t xml:space="preserve">, « Review: ‘Invasion of the Body Snatchers’ », </w:t>
      </w:r>
      <w:r w:rsidRPr="00963ECD">
        <w:rPr>
          <w:i/>
          <w:lang w:val="en-US"/>
        </w:rPr>
        <w:t>Variety</w:t>
      </w:r>
      <w:r w:rsidRPr="00963ECD">
        <w:rPr>
          <w:lang w:val="en-US"/>
        </w:rPr>
        <w:t>, 31 décembre 1977.</w:t>
      </w:r>
    </w:p>
  </w:footnote>
  <w:footnote w:id="34">
    <w:p w14:paraId="7DE7ABFA" w14:textId="02010C30" w:rsidR="00744219" w:rsidRPr="00506F6E" w:rsidRDefault="00744219">
      <w:pPr>
        <w:pStyle w:val="FootnoteText"/>
        <w:rPr>
          <w:lang w:val="fr-CH"/>
        </w:rPr>
      </w:pPr>
      <w:r>
        <w:rPr>
          <w:rStyle w:val="FootnoteReference"/>
        </w:rPr>
        <w:footnoteRef/>
      </w:r>
      <w:r>
        <w:t xml:space="preserve"> </w:t>
      </w:r>
      <w:r w:rsidRPr="009705B0">
        <w:t>Robert</w:t>
      </w:r>
      <w:r>
        <w:t xml:space="preserve"> Chazal</w:t>
      </w:r>
      <w:r w:rsidRPr="009705B0">
        <w:t>, « L’invasion des profanateurs. Nouvelle version », France Soir, 15 février 1979.</w:t>
      </w:r>
    </w:p>
  </w:footnote>
  <w:footnote w:id="35">
    <w:p w14:paraId="6EE7B678" w14:textId="7F030ABE" w:rsidR="00744219" w:rsidRPr="00781EA5" w:rsidRDefault="00744219">
      <w:pPr>
        <w:pStyle w:val="FootnoteText"/>
        <w:rPr>
          <w:lang w:val="en-GB"/>
        </w:rPr>
      </w:pPr>
      <w:r>
        <w:rPr>
          <w:rStyle w:val="FootnoteReference"/>
        </w:rPr>
        <w:footnoteRef/>
      </w:r>
      <w:r w:rsidRPr="00781EA5">
        <w:rPr>
          <w:lang w:val="en-GB"/>
        </w:rPr>
        <w:t xml:space="preserve"> Janet Maslin, « Screen: ‘Body Snatchers’ Return in All Their Creepy Glory », The New York Times, 22 décembre 1978.</w:t>
      </w:r>
    </w:p>
  </w:footnote>
  <w:footnote w:id="36">
    <w:p w14:paraId="250C0DD9" w14:textId="34DA12F3" w:rsidR="00744219" w:rsidRPr="00D024F2" w:rsidRDefault="00744219">
      <w:pPr>
        <w:pStyle w:val="FootnoteText"/>
        <w:rPr>
          <w:lang w:val="fr-CH"/>
        </w:rPr>
      </w:pPr>
      <w:r>
        <w:rPr>
          <w:rStyle w:val="FootnoteReference"/>
        </w:rPr>
        <w:footnoteRef/>
      </w:r>
      <w:r>
        <w:t xml:space="preserve"> </w:t>
      </w:r>
      <w:r w:rsidRPr="00781EA5">
        <w:rPr>
          <w:lang w:val="fr-CH"/>
        </w:rPr>
        <w:t xml:space="preserve">David Kehr, </w:t>
      </w:r>
      <w:r w:rsidRPr="00781EA5">
        <w:rPr>
          <w:i/>
          <w:lang w:val="fr-CH"/>
        </w:rPr>
        <w:t>op. cit.</w:t>
      </w:r>
    </w:p>
  </w:footnote>
  <w:footnote w:id="37">
    <w:p w14:paraId="0221DD52" w14:textId="553AFA10" w:rsidR="00744219" w:rsidRPr="003704D3" w:rsidRDefault="00744219">
      <w:pPr>
        <w:pStyle w:val="FootnoteText"/>
        <w:rPr>
          <w:lang w:val="fr-CH"/>
        </w:rPr>
      </w:pPr>
      <w:r>
        <w:rPr>
          <w:rStyle w:val="FootnoteReference"/>
        </w:rPr>
        <w:footnoteRef/>
      </w:r>
      <w:r>
        <w:t xml:space="preserve"> </w:t>
      </w:r>
      <w:r w:rsidRPr="003704D3">
        <w:rPr>
          <w:lang w:val="fr-CH"/>
        </w:rPr>
        <w:t xml:space="preserve">A. F., « Fantastique cauchemar », </w:t>
      </w:r>
      <w:r w:rsidRPr="003704D3">
        <w:rPr>
          <w:i/>
          <w:lang w:val="fr-CH"/>
        </w:rPr>
        <w:t>La Croix</w:t>
      </w:r>
      <w:r w:rsidRPr="003704D3">
        <w:rPr>
          <w:lang w:val="fr-CH"/>
        </w:rPr>
        <w:t>, 15 mai 1993.</w:t>
      </w:r>
    </w:p>
  </w:footnote>
  <w:footnote w:id="38">
    <w:p w14:paraId="33565727" w14:textId="4A9468BF" w:rsidR="00744219" w:rsidRPr="00663724" w:rsidRDefault="00744219">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Body Snatchers », </w:t>
      </w:r>
      <w:r w:rsidRPr="00663724">
        <w:rPr>
          <w:i/>
          <w:szCs w:val="20"/>
          <w:lang w:val="en-US"/>
        </w:rPr>
        <w:t>Chicago Sun-Times</w:t>
      </w:r>
      <w:r w:rsidRPr="00663724">
        <w:rPr>
          <w:szCs w:val="20"/>
          <w:lang w:val="en-US"/>
        </w:rPr>
        <w:t>, 25 février 1994.</w:t>
      </w:r>
    </w:p>
  </w:footnote>
  <w:footnote w:id="39">
    <w:p w14:paraId="1903778C" w14:textId="562579DD" w:rsidR="00744219" w:rsidRPr="00663724" w:rsidRDefault="00744219">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The Invasion », </w:t>
      </w:r>
      <w:r w:rsidRPr="00663724">
        <w:rPr>
          <w:i/>
          <w:szCs w:val="20"/>
          <w:lang w:val="en-US"/>
        </w:rPr>
        <w:t>Chicago Sun-Times</w:t>
      </w:r>
      <w:r w:rsidRPr="00663724">
        <w:rPr>
          <w:szCs w:val="20"/>
          <w:lang w:val="en-US"/>
        </w:rPr>
        <w:t>, 16 août 2007.</w:t>
      </w:r>
    </w:p>
  </w:footnote>
  <w:footnote w:id="40">
    <w:p w14:paraId="7665BB40" w14:textId="73F0BF0A" w:rsidR="00744219" w:rsidRPr="003704D3" w:rsidRDefault="00744219">
      <w:pPr>
        <w:pStyle w:val="FootnoteText"/>
        <w:rPr>
          <w:lang w:val="fr-CH"/>
        </w:rPr>
      </w:pPr>
      <w:r>
        <w:rPr>
          <w:rStyle w:val="FootnoteReference"/>
        </w:rPr>
        <w:footnoteRef/>
      </w:r>
      <w:r w:rsidRPr="00781EA5">
        <w:rPr>
          <w:lang w:val="en-GB"/>
        </w:rPr>
        <w:t xml:space="preserve"> Jean-Paul Grousset,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41">
    <w:p w14:paraId="2EE51514" w14:textId="5AB33051" w:rsidR="00744219" w:rsidRPr="003704D3" w:rsidRDefault="00744219">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4071B84F" w14:textId="4D13DFAD" w:rsidR="00744219" w:rsidRPr="00663724" w:rsidRDefault="00744219">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Glieberman, « Body Snatchers », </w:t>
      </w:r>
      <w:r w:rsidRPr="00663724">
        <w:rPr>
          <w:i/>
          <w:szCs w:val="20"/>
          <w:lang w:val="en-US"/>
        </w:rPr>
        <w:t>Entertainment Weekly</w:t>
      </w:r>
      <w:r w:rsidRPr="00663724">
        <w:rPr>
          <w:szCs w:val="20"/>
          <w:lang w:val="en-US"/>
        </w:rPr>
        <w:t>, 11 février 1994.</w:t>
      </w:r>
    </w:p>
  </w:footnote>
  <w:footnote w:id="43">
    <w:p w14:paraId="0C3F6C1E" w14:textId="22B67911" w:rsidR="00744219" w:rsidRPr="00717BE1" w:rsidRDefault="00744219"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18 février 1994.</w:t>
      </w:r>
    </w:p>
  </w:footnote>
  <w:footnote w:id="44">
    <w:p w14:paraId="2A79E2EA" w14:textId="15C3719D" w:rsidR="00744219" w:rsidRPr="00717BE1" w:rsidRDefault="00744219">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1C948C60" w14:textId="68674968" w:rsidR="00744219" w:rsidRPr="000141B8" w:rsidRDefault="00744219">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2CAA1CD5" w14:textId="0B3AC622" w:rsidR="00744219" w:rsidRPr="007E60F5" w:rsidRDefault="00744219">
      <w:pPr>
        <w:pStyle w:val="FootnoteText"/>
        <w:rPr>
          <w:lang w:val="fr-CH"/>
        </w:rPr>
      </w:pPr>
      <w:r>
        <w:rPr>
          <w:rStyle w:val="FootnoteReference"/>
        </w:rPr>
        <w:footnoteRef/>
      </w:r>
      <w:r>
        <w:t xml:space="preserve"> </w:t>
      </w:r>
      <w:r>
        <w:rPr>
          <w:lang w:val="fr-CH"/>
        </w:rPr>
        <w:t>Jean-Baptiste Thoret,</w:t>
      </w:r>
      <w:r w:rsidRPr="007E60F5">
        <w:rPr>
          <w:lang w:val="fr-CH"/>
        </w:rPr>
        <w:t xml:space="preserve"> « Ils sont parmi nous », </w:t>
      </w:r>
      <w:r w:rsidRPr="007E60F5">
        <w:rPr>
          <w:i/>
          <w:lang w:val="fr-CH"/>
        </w:rPr>
        <w:t>Charlie Hebdo</w:t>
      </w:r>
      <w:r w:rsidRPr="007E60F5">
        <w:rPr>
          <w:lang w:val="fr-CH"/>
        </w:rPr>
        <w:t>, 17 octobre 2007.</w:t>
      </w:r>
    </w:p>
  </w:footnote>
  <w:footnote w:id="47">
    <w:p w14:paraId="29A92F2B" w14:textId="59D2CD3B" w:rsidR="00744219" w:rsidRPr="00781EA5" w:rsidRDefault="00744219">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48">
    <w:p w14:paraId="6A75E370" w14:textId="4AD66B93" w:rsidR="00744219" w:rsidRPr="004870CE" w:rsidRDefault="00744219">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06998613" w14:textId="00B9BFC1" w:rsidR="00744219" w:rsidRPr="00B60790" w:rsidRDefault="00744219">
      <w:pPr>
        <w:pStyle w:val="FootnoteText"/>
        <w:rPr>
          <w:lang w:val="en-US"/>
        </w:rPr>
      </w:pPr>
      <w:r>
        <w:rPr>
          <w:rStyle w:val="FootnoteReference"/>
        </w:rPr>
        <w:footnoteRef/>
      </w:r>
      <w:r w:rsidRPr="00781EA5">
        <w:rPr>
          <w:lang w:val="en-GB"/>
        </w:rPr>
        <w:t xml:space="preserve">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17 août 2007.</w:t>
      </w:r>
    </w:p>
  </w:footnote>
  <w:footnote w:id="50">
    <w:p w14:paraId="4E90885A" w14:textId="218541F4" w:rsidR="00744219" w:rsidRPr="009F687A" w:rsidRDefault="00744219">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6AEC921A" w14:textId="6352210E" w:rsidR="00744219" w:rsidRPr="00CE51D3" w:rsidRDefault="00744219" w:rsidP="00CE51D3">
      <w:pPr>
        <w:pStyle w:val="FootnoteText"/>
        <w:rPr>
          <w:lang w:val="en-US"/>
        </w:rPr>
      </w:pPr>
      <w:r>
        <w:rPr>
          <w:rStyle w:val="FootnoteReference"/>
        </w:rPr>
        <w:footnoteRef/>
      </w:r>
      <w:r w:rsidRPr="00781EA5">
        <w:rPr>
          <w:lang w:val="en-GB"/>
        </w:rPr>
        <w:t xml:space="preserve">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17 août 2007.</w:t>
      </w:r>
    </w:p>
    <w:p w14:paraId="2A805F4B" w14:textId="09B84BBB" w:rsidR="00744219" w:rsidRPr="00781EA5" w:rsidRDefault="00744219">
      <w:pPr>
        <w:pStyle w:val="FootnoteText"/>
        <w:rPr>
          <w:lang w:val="en-GB"/>
        </w:rPr>
      </w:pPr>
    </w:p>
  </w:footnote>
  <w:footnote w:id="52">
    <w:p w14:paraId="1DB98D1B" w14:textId="6265B86D" w:rsidR="00744219" w:rsidRPr="00E748E4" w:rsidRDefault="00744219">
      <w:pPr>
        <w:pStyle w:val="FootnoteText"/>
        <w:rPr>
          <w:lang w:val="en-GB"/>
        </w:rPr>
      </w:pPr>
      <w:r>
        <w:rPr>
          <w:rStyle w:val="FootnoteReference"/>
        </w:rPr>
        <w:footnoteRef/>
      </w:r>
      <w:r>
        <w:t xml:space="preserve"> </w:t>
      </w:r>
      <w:r>
        <w:rPr>
          <w:i/>
          <w:lang w:val="fr-CH"/>
        </w:rPr>
        <w:t>Time and Again</w:t>
      </w:r>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r>
        <w:rPr>
          <w:i/>
          <w:lang w:val="fr-CH"/>
        </w:rPr>
        <w:t>The Body Snatchers</w:t>
      </w:r>
      <w:r>
        <w:rPr>
          <w:lang w:val="fr-CH"/>
        </w:rPr>
        <w:t xml:space="preserve"> qui identifie l’auteur par « Jack Finney. </w:t>
      </w:r>
      <w:r w:rsidRPr="00E748E4">
        <w:rPr>
          <w:lang w:val="en-GB"/>
        </w:rPr>
        <w:t xml:space="preserve">Author of </w:t>
      </w:r>
      <w:r w:rsidRPr="00E748E4">
        <w:rPr>
          <w:i/>
          <w:lang w:val="en-GB"/>
        </w:rPr>
        <w:t>Time and Again</w:t>
      </w:r>
      <w:r w:rsidRPr="00E748E4">
        <w:rPr>
          <w:lang w:val="en-GB"/>
        </w:rPr>
        <w:t xml:space="preserve"> » </w:t>
      </w:r>
      <w:r w:rsidRPr="00E748E4">
        <w:rPr>
          <w:highlight w:val="red"/>
          <w:lang w:val="en-GB"/>
        </w:rPr>
        <w:t>(voir figure XX).</w:t>
      </w:r>
    </w:p>
  </w:footnote>
  <w:footnote w:id="53">
    <w:p w14:paraId="227D8C42" w14:textId="44C604F0" w:rsidR="00744219" w:rsidRPr="00DF0B77" w:rsidRDefault="00744219">
      <w:pPr>
        <w:pStyle w:val="FootnoteText"/>
        <w:rPr>
          <w:lang w:val="fr-CH"/>
        </w:rPr>
      </w:pPr>
      <w:r>
        <w:rPr>
          <w:rStyle w:val="FootnoteReference"/>
        </w:rPr>
        <w:footnoteRef/>
      </w:r>
      <w:r w:rsidRPr="00DF0B77">
        <w:rPr>
          <w:lang w:val="fr-CH"/>
        </w:rPr>
        <w:t xml:space="preserve"> </w:t>
      </w:r>
      <w:r w:rsidRPr="00DF0B77">
        <w:rPr>
          <w:szCs w:val="20"/>
          <w:lang w:val="fr-CH"/>
        </w:rPr>
        <w:t xml:space="preserve">Al LaValley (éd.), </w:t>
      </w:r>
      <w:r w:rsidRPr="00DF0B77">
        <w:rPr>
          <w:i/>
          <w:szCs w:val="20"/>
          <w:lang w:val="fr-CH"/>
        </w:rPr>
        <w:t>op. cit.</w:t>
      </w:r>
      <w:r w:rsidRPr="00DF0B77">
        <w:rPr>
          <w:szCs w:val="20"/>
          <w:lang w:val="fr-CH"/>
        </w:rPr>
        <w:t>, p. 87.</w:t>
      </w:r>
    </w:p>
  </w:footnote>
  <w:footnote w:id="54">
    <w:p w14:paraId="3C29C3EE" w14:textId="41C4E4CE" w:rsidR="00744219" w:rsidRPr="00503CBA" w:rsidRDefault="00744219">
      <w:pPr>
        <w:pStyle w:val="FootnoteText"/>
        <w:rPr>
          <w:lang w:val="fr-CH"/>
        </w:rPr>
      </w:pPr>
      <w:r>
        <w:rPr>
          <w:rStyle w:val="FootnoteReference"/>
        </w:rPr>
        <w:footnoteRef/>
      </w:r>
      <w:r>
        <w:t xml:space="preserve"> </w:t>
      </w:r>
      <w:r w:rsidRPr="00503CBA">
        <w:rPr>
          <w:highlight w:val="yellow"/>
          <w:lang w:val="fr-CH"/>
        </w:rPr>
        <w:t>REF ?</w:t>
      </w:r>
    </w:p>
  </w:footnote>
  <w:footnote w:id="55">
    <w:p w14:paraId="6BF05032" w14:textId="21012E03" w:rsidR="00744219" w:rsidRPr="00503CBA" w:rsidRDefault="00744219">
      <w:pPr>
        <w:pStyle w:val="FootnoteText"/>
        <w:rPr>
          <w:lang w:val="fr-CH"/>
        </w:rPr>
      </w:pPr>
      <w:r>
        <w:rPr>
          <w:rStyle w:val="FootnoteReference"/>
        </w:rPr>
        <w:footnoteRef/>
      </w:r>
      <w:r>
        <w:t xml:space="preserve"> </w:t>
      </w:r>
      <w:r>
        <w:rPr>
          <w:lang w:val="fr-CH"/>
        </w:rPr>
        <w:t>Par le biais de son avatar filmique, Miles.</w:t>
      </w:r>
    </w:p>
  </w:footnote>
  <w:footnote w:id="56">
    <w:p w14:paraId="3D311530" w14:textId="153A245F" w:rsidR="00744219" w:rsidRPr="001E2D11" w:rsidRDefault="00744219">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7">
    <w:p w14:paraId="24990155" w14:textId="77777777" w:rsidR="00744219" w:rsidRPr="00283CF4" w:rsidRDefault="00744219" w:rsidP="00C249AB">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58">
    <w:p w14:paraId="1A3C28EA" w14:textId="3ABDF168" w:rsidR="00744219" w:rsidRPr="00DA4FCE" w:rsidRDefault="00744219">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9">
    <w:p w14:paraId="4DC40339" w14:textId="6BB9B3B6" w:rsidR="00744219" w:rsidRPr="00AA0F22" w:rsidRDefault="00744219">
      <w:pPr>
        <w:pStyle w:val="FootnoteText"/>
        <w:rPr>
          <w:lang w:val="fr-CH"/>
        </w:rPr>
      </w:pPr>
      <w:r>
        <w:rPr>
          <w:rStyle w:val="FootnoteReference"/>
        </w:rPr>
        <w:footnoteRef/>
      </w:r>
      <w:r>
        <w:t xml:space="preserve"> L’affiche </w:t>
      </w:r>
      <w:r>
        <w:rPr>
          <w:lang w:val="fr-CH"/>
        </w:rPr>
        <w:t xml:space="preserve">2x77 éditée par Crystal Pictures pour la re-sortie du film en 1977 décrit même le film comme « The All-Time </w:t>
      </w:r>
      <w:r w:rsidRPr="00047F06">
        <w:rPr>
          <w:i/>
          <w:lang w:val="fr-CH"/>
        </w:rPr>
        <w:t>Horror</w:t>
      </w:r>
      <w:r>
        <w:rPr>
          <w:lang w:val="fr-CH"/>
        </w:rPr>
        <w:t xml:space="preserve"> Classic ».</w:t>
      </w:r>
      <w:r w:rsidRPr="00A31725">
        <w:rPr>
          <w:highlight w:val="red"/>
          <w:lang w:val="fr-CH"/>
        </w:rPr>
        <w:t xml:space="preserve"> </w:t>
      </w:r>
      <w:r w:rsidRPr="001E2D11">
        <w:rPr>
          <w:highlight w:val="red"/>
          <w:lang w:val="fr-CH"/>
        </w:rPr>
        <w:t>Voir annexe XX</w:t>
      </w:r>
    </w:p>
  </w:footnote>
  <w:footnote w:id="60">
    <w:p w14:paraId="0662E3D7" w14:textId="142F2CBF" w:rsidR="00744219" w:rsidRPr="00C32B00" w:rsidRDefault="00744219">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Baroncelli,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Chazal</w:t>
      </w:r>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61">
    <w:p w14:paraId="374DFCF9" w14:textId="5C16A8D5" w:rsidR="00744219" w:rsidRPr="00C32B00" w:rsidRDefault="00744219">
      <w:pPr>
        <w:pStyle w:val="FootnoteText"/>
        <w:rPr>
          <w:lang w:val="fr-CH"/>
        </w:rPr>
      </w:pPr>
      <w:r>
        <w:rPr>
          <w:rStyle w:val="FootnoteReference"/>
        </w:rPr>
        <w:footnoteRef/>
      </w:r>
      <w:r>
        <w:t xml:space="preserve"> Garriou-Lagrange</w:t>
      </w:r>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62">
    <w:p w14:paraId="20395D9C" w14:textId="63776E7C" w:rsidR="00744219" w:rsidRPr="00876848" w:rsidRDefault="00744219">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63">
    <w:p w14:paraId="1E3AFA6B" w14:textId="0D509162" w:rsidR="00744219" w:rsidRPr="00C32B00" w:rsidRDefault="00744219">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64">
    <w:p w14:paraId="08862D98" w14:textId="32B1466E" w:rsidR="00744219" w:rsidRPr="00C4663F" w:rsidRDefault="00744219">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65">
    <w:p w14:paraId="3EA4E472" w14:textId="0AFFDAE2" w:rsidR="00744219" w:rsidRPr="008540F1" w:rsidRDefault="00744219">
      <w:pPr>
        <w:pStyle w:val="FootnoteText"/>
        <w:rPr>
          <w:lang w:val="en-GB"/>
        </w:rPr>
      </w:pPr>
      <w:r>
        <w:rPr>
          <w:rStyle w:val="FootnoteReference"/>
        </w:rPr>
        <w:footnoteRef/>
      </w:r>
      <w:r w:rsidRPr="008540F1">
        <w:rPr>
          <w:lang w:val="en-GB"/>
        </w:rPr>
        <w:t xml:space="preserve"> </w:t>
      </w:r>
      <w:r w:rsidRPr="00F11331">
        <w:rPr>
          <w:szCs w:val="20"/>
          <w:lang w:val="en-US"/>
        </w:rPr>
        <w:t xml:space="preserve">Al LaValley (éd.), </w:t>
      </w:r>
      <w:r>
        <w:rPr>
          <w:i/>
          <w:szCs w:val="20"/>
          <w:lang w:val="en-US"/>
        </w:rPr>
        <w:t>op. cit.</w:t>
      </w:r>
      <w:r>
        <w:rPr>
          <w:szCs w:val="20"/>
          <w:lang w:val="en-US"/>
        </w:rPr>
        <w:t>, p. 4.</w:t>
      </w:r>
    </w:p>
  </w:footnote>
  <w:footnote w:id="66">
    <w:p w14:paraId="1646B1DE" w14:textId="67316FBB" w:rsidR="00744219" w:rsidRPr="008540F1" w:rsidRDefault="00744219">
      <w:pPr>
        <w:pStyle w:val="FootnoteText"/>
        <w:rPr>
          <w:lang w:val="en-GB"/>
        </w:rPr>
      </w:pPr>
      <w:r>
        <w:rPr>
          <w:rStyle w:val="FootnoteReference"/>
        </w:rPr>
        <w:footnoteRef/>
      </w:r>
      <w:r w:rsidRPr="008540F1">
        <w:rPr>
          <w:lang w:val="en-GB"/>
        </w:rPr>
        <w:t xml:space="preserve"> </w:t>
      </w:r>
      <w:r w:rsidRPr="00F11331">
        <w:rPr>
          <w:szCs w:val="20"/>
          <w:lang w:val="en-US"/>
        </w:rPr>
        <w:t xml:space="preserve">Al LaValley (éd.), </w:t>
      </w:r>
      <w:r>
        <w:rPr>
          <w:i/>
          <w:szCs w:val="20"/>
          <w:lang w:val="en-US"/>
        </w:rPr>
        <w:t>ibid.</w:t>
      </w:r>
      <w:r>
        <w:rPr>
          <w:szCs w:val="20"/>
          <w:lang w:val="en-US"/>
        </w:rPr>
        <w:t>, p. 5.</w:t>
      </w:r>
    </w:p>
  </w:footnote>
  <w:footnote w:id="67">
    <w:p w14:paraId="5A93894C" w14:textId="3CF21F4D" w:rsidR="00744219" w:rsidRPr="00273D4F" w:rsidRDefault="00744219">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prévalant</w:t>
      </w:r>
      <w:r>
        <w:rPr>
          <w:szCs w:val="20"/>
          <w:lang w:val="fr-CH"/>
        </w:rPr>
        <w:t>e</w:t>
      </w:r>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68">
    <w:p w14:paraId="3A571F64" w14:textId="2E02E912" w:rsidR="00744219" w:rsidRPr="00E84BB2" w:rsidRDefault="00744219">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(éd.), </w:t>
      </w:r>
      <w:r w:rsidRPr="008378E6">
        <w:rPr>
          <w:i/>
          <w:lang w:val="en-US"/>
        </w:rPr>
        <w:t>Film Remakes, Adaptations and Fan Productions: Remake/Remodel</w:t>
      </w:r>
      <w:r w:rsidRPr="008378E6">
        <w:rPr>
          <w:lang w:val="en-US"/>
        </w:rPr>
        <w:t>, Londre</w:t>
      </w:r>
      <w:r>
        <w:rPr>
          <w:lang w:val="en-US"/>
        </w:rPr>
        <w:t>s, Palgrave MacMillan, 2012, p</w:t>
      </w:r>
      <w:r w:rsidRPr="008378E6">
        <w:rPr>
          <w:lang w:val="en-US"/>
        </w:rPr>
        <w:t>.</w:t>
      </w:r>
      <w:r>
        <w:rPr>
          <w:lang w:val="en-US"/>
        </w:rPr>
        <w:t xml:space="preserve"> 133.</w:t>
      </w:r>
    </w:p>
  </w:footnote>
  <w:footnote w:id="69">
    <w:p w14:paraId="093BAA1D" w14:textId="32335CE1" w:rsidR="00744219" w:rsidRPr="0039669B" w:rsidRDefault="00744219">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70">
    <w:p w14:paraId="4599E83D" w14:textId="44FD7032" w:rsidR="00744219" w:rsidRPr="00572515" w:rsidRDefault="00744219">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71">
    <w:p w14:paraId="06378460" w14:textId="514AADF3" w:rsidR="00744219" w:rsidRPr="00651CAA" w:rsidRDefault="00744219">
      <w:pPr>
        <w:pStyle w:val="FootnoteText"/>
        <w:rPr>
          <w:lang w:val="en-GB"/>
        </w:rPr>
      </w:pPr>
      <w:r>
        <w:rPr>
          <w:rStyle w:val="FootnoteReference"/>
        </w:rPr>
        <w:footnoteRef/>
      </w:r>
      <w:r w:rsidRPr="00651CAA">
        <w:rPr>
          <w:lang w:val="en-GB"/>
        </w:rPr>
        <w:t xml:space="preserve"> </w:t>
      </w:r>
      <w:r w:rsidRPr="00651CAA">
        <w:rPr>
          <w:highlight w:val="yellow"/>
          <w:lang w:val="en-GB"/>
        </w:rPr>
        <w:t>Raymond Durgnat, LLL, VVV, EEE, PPP.</w:t>
      </w:r>
    </w:p>
  </w:footnote>
  <w:footnote w:id="72">
    <w:p w14:paraId="1B84F0EC" w14:textId="7C767D98" w:rsidR="00744219" w:rsidRPr="003812EF" w:rsidRDefault="00744219">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w:t>
      </w:r>
      <w:r>
        <w:rPr>
          <w:i/>
        </w:rPr>
        <w:t>op. cit.</w:t>
      </w:r>
    </w:p>
  </w:footnote>
  <w:footnote w:id="73">
    <w:p w14:paraId="7308B0EC" w14:textId="3AB0CE42" w:rsidR="00744219" w:rsidRPr="00626266" w:rsidRDefault="00744219">
      <w:pPr>
        <w:pStyle w:val="FootnoteText"/>
        <w:rPr>
          <w:lang w:val="fr-CH"/>
        </w:rPr>
      </w:pPr>
      <w:r>
        <w:rPr>
          <w:rStyle w:val="FootnoteReference"/>
        </w:rPr>
        <w:footnoteRef/>
      </w:r>
      <w:r>
        <w:t xml:space="preserve"> </w:t>
      </w:r>
      <w:r>
        <w:rPr>
          <w:rFonts w:cs="Times New Roman"/>
          <w:color w:val="000000"/>
          <w:lang w:val="fr-CH"/>
        </w:rPr>
        <w:t xml:space="preserve">Jean De Baroncelli, </w:t>
      </w:r>
      <w:r>
        <w:rPr>
          <w:rFonts w:cs="Times New Roman"/>
          <w:i/>
          <w:color w:val="000000"/>
          <w:lang w:val="fr-CH"/>
        </w:rPr>
        <w:t>op. cit.</w:t>
      </w:r>
    </w:p>
  </w:footnote>
  <w:footnote w:id="74">
    <w:p w14:paraId="4A0BB0BB" w14:textId="55F89D49" w:rsidR="00744219" w:rsidRPr="00BF6D6C" w:rsidRDefault="00744219">
      <w:pPr>
        <w:pStyle w:val="FootnoteText"/>
        <w:rPr>
          <w:lang w:val="fr-CH"/>
        </w:rPr>
      </w:pPr>
      <w:r>
        <w:rPr>
          <w:rStyle w:val="FootnoteReference"/>
        </w:rPr>
        <w:footnoteRef/>
      </w:r>
      <w:r>
        <w:t xml:space="preserve"> </w:t>
      </w:r>
      <w:r w:rsidRPr="00BF6D6C">
        <w:rPr>
          <w:highlight w:val="yellow"/>
          <w:lang w:val="fr-CH"/>
        </w:rPr>
        <w:t>REF ?</w:t>
      </w:r>
    </w:p>
  </w:footnote>
  <w:footnote w:id="75">
    <w:p w14:paraId="41920924" w14:textId="6E069706" w:rsidR="00744219" w:rsidRPr="00BF6D6C" w:rsidRDefault="00744219">
      <w:pPr>
        <w:pStyle w:val="FootnoteText"/>
        <w:rPr>
          <w:lang w:val="fr-CH"/>
        </w:rPr>
      </w:pPr>
      <w:r>
        <w:rPr>
          <w:rStyle w:val="FootnoteReference"/>
        </w:rPr>
        <w:footnoteRef/>
      </w:r>
      <w:r>
        <w:t xml:space="preserve"> </w:t>
      </w:r>
      <w:r w:rsidRPr="00BF6D6C">
        <w:rPr>
          <w:highlight w:val="yellow"/>
          <w:lang w:val="fr-CH"/>
        </w:rPr>
        <w:t>REF ?</w:t>
      </w:r>
    </w:p>
  </w:footnote>
  <w:footnote w:id="76">
    <w:p w14:paraId="0FE71AAC" w14:textId="47DE5764" w:rsidR="00744219" w:rsidRPr="00AD153C" w:rsidRDefault="00744219">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77">
    <w:p w14:paraId="2A62925E" w14:textId="329A67C4" w:rsidR="00744219" w:rsidRPr="0004743C" w:rsidRDefault="00744219">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op. cit.</w:t>
      </w:r>
    </w:p>
  </w:footnote>
  <w:footnote w:id="78">
    <w:p w14:paraId="454F93BF" w14:textId="180DAB3B" w:rsidR="00744219" w:rsidRPr="004D6815" w:rsidRDefault="00744219">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79">
    <w:p w14:paraId="583AB891" w14:textId="44ECC769" w:rsidR="00744219" w:rsidRPr="00E847B5" w:rsidRDefault="00744219">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20 juillet 2012.</w:t>
      </w:r>
    </w:p>
  </w:footnote>
  <w:footnote w:id="80">
    <w:p w14:paraId="277540D3" w14:textId="49D7901E" w:rsidR="00744219" w:rsidRPr="00A047B8" w:rsidRDefault="00744219">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81">
    <w:p w14:paraId="00328556" w14:textId="23317B1D" w:rsidR="00744219" w:rsidRPr="00C5130A" w:rsidRDefault="00744219">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213.</w:t>
      </w:r>
    </w:p>
  </w:footnote>
  <w:footnote w:id="82">
    <w:p w14:paraId="2E28F3A0" w14:textId="0D996B6E" w:rsidR="00744219" w:rsidRPr="00C5130A" w:rsidRDefault="00744219">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w:t>
      </w:r>
      <w:r>
        <w:rPr>
          <w:lang w:val="en-GB"/>
        </w:rPr>
        <w:t>21.</w:t>
      </w:r>
    </w:p>
  </w:footnote>
  <w:footnote w:id="83">
    <w:p w14:paraId="4B1E6E39" w14:textId="1FD87F69" w:rsidR="00744219" w:rsidRPr="00700856" w:rsidRDefault="00744219">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4">
    <w:p w14:paraId="5A435C82" w14:textId="4F9C9372" w:rsidR="00744219" w:rsidRPr="00700856" w:rsidRDefault="00744219">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5">
    <w:p w14:paraId="369FB20A" w14:textId="53BDCB8C" w:rsidR="00744219" w:rsidRPr="006F2D7D" w:rsidRDefault="00744219">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6">
    <w:p w14:paraId="097892D7" w14:textId="20824F2C" w:rsidR="00744219" w:rsidRPr="006F2D7D" w:rsidRDefault="00744219">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7">
    <w:p w14:paraId="17AABEED" w14:textId="094CAB9B" w:rsidR="00744219" w:rsidRPr="00680AE3" w:rsidRDefault="00744219">
      <w:pPr>
        <w:pStyle w:val="FootnoteText"/>
        <w:rPr>
          <w:lang w:val="fr-CH"/>
        </w:rPr>
      </w:pPr>
      <w:r>
        <w:rPr>
          <w:rStyle w:val="FootnoteReference"/>
        </w:rPr>
        <w:footnoteRef/>
      </w:r>
      <w:r>
        <w:t xml:space="preserve"> </w:t>
      </w:r>
      <w:r>
        <w:rPr>
          <w:lang w:val="fr-CH"/>
        </w:rPr>
        <w:t>Puisque l’essai traite de la science-fiction comme d’un genre cinématographique très clairement défini thématiquement et délimité périodiquement, ce qui est un parti pris difficilement défendable.</w:t>
      </w:r>
    </w:p>
  </w:footnote>
  <w:footnote w:id="88">
    <w:p w14:paraId="75209DDC" w14:textId="4CBF3574" w:rsidR="00744219" w:rsidRPr="00FC6DD0" w:rsidRDefault="00744219">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89">
    <w:p w14:paraId="4A9EB9AF" w14:textId="086D986E" w:rsidR="00744219" w:rsidRPr="00F953EA" w:rsidRDefault="00744219">
      <w:pPr>
        <w:pStyle w:val="FootnoteText"/>
        <w:rPr>
          <w:lang w:val="en-GB"/>
        </w:rPr>
      </w:pPr>
      <w:r>
        <w:rPr>
          <w:rStyle w:val="FootnoteReference"/>
        </w:rPr>
        <w:footnoteRef/>
      </w:r>
      <w:r w:rsidRPr="00F953EA">
        <w:rPr>
          <w:lang w:val="en-GB"/>
        </w:rPr>
        <w:t xml:space="preserve"> 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90">
    <w:p w14:paraId="48E84651" w14:textId="061EE3BB" w:rsidR="00744219" w:rsidRPr="006A46AA" w:rsidRDefault="00744219">
      <w:pPr>
        <w:pStyle w:val="FootnoteText"/>
        <w:rPr>
          <w:lang w:val="fr-CH"/>
        </w:rPr>
      </w:pPr>
      <w:r>
        <w:rPr>
          <w:rStyle w:val="FootnoteReference"/>
        </w:rPr>
        <w:footnoteRef/>
      </w:r>
      <w:r>
        <w:t xml:space="preserve"> </w:t>
      </w:r>
      <w:r>
        <w:rPr>
          <w:lang w:val="fr-CH"/>
        </w:rPr>
        <w:t xml:space="preserve">Tony Shaw, </w:t>
      </w:r>
      <w:r>
        <w:rPr>
          <w:i/>
          <w:lang w:val="fr-CH"/>
        </w:rPr>
        <w:t>ibid.</w:t>
      </w:r>
      <w:r>
        <w:rPr>
          <w:lang w:val="fr-CH"/>
        </w:rPr>
        <w:t>, p. 12.</w:t>
      </w:r>
    </w:p>
  </w:footnote>
  <w:footnote w:id="91">
    <w:p w14:paraId="3E666DC4" w14:textId="71B88DB6" w:rsidR="00744219" w:rsidRPr="00CA0620" w:rsidRDefault="00744219">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r w:rsidRPr="00CA0620">
        <w:rPr>
          <w:lang w:val="en-GB"/>
        </w:rPr>
        <w:t xml:space="preserve">Voir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92">
    <w:p w14:paraId="60142359" w14:textId="19316C5C" w:rsidR="00744219" w:rsidRPr="00D02990" w:rsidRDefault="00744219">
      <w:pPr>
        <w:pStyle w:val="FootnoteText"/>
        <w:rPr>
          <w:lang w:val="fr-CH"/>
        </w:rPr>
      </w:pPr>
      <w:r>
        <w:rPr>
          <w:rStyle w:val="FootnoteReference"/>
        </w:rPr>
        <w:footnoteRef/>
      </w:r>
      <w:r>
        <w:t xml:space="preserve"> </w:t>
      </w:r>
      <w:r>
        <w:rPr>
          <w:lang w:val="fr-CH"/>
        </w:rPr>
        <w:t>Un groupe de pression de droite militant fondé en 1944.</w:t>
      </w:r>
    </w:p>
  </w:footnote>
  <w:footnote w:id="93">
    <w:p w14:paraId="06C5BE29" w14:textId="3FD10BAE" w:rsidR="00744219" w:rsidRPr="004C7DB0" w:rsidRDefault="00744219">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94">
    <w:p w14:paraId="2D097EF3" w14:textId="0DD3CA8A" w:rsidR="00744219" w:rsidRPr="000D6B0D" w:rsidRDefault="00744219">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consulté le 04.12.2016</w:t>
      </w:r>
    </w:p>
  </w:footnote>
  <w:footnote w:id="95">
    <w:p w14:paraId="68C34332" w14:textId="78158DD7" w:rsidR="00744219" w:rsidRPr="00331356" w:rsidRDefault="00744219">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96">
    <w:p w14:paraId="4244A06A" w14:textId="3BF75873" w:rsidR="00744219" w:rsidRPr="00345022" w:rsidRDefault="00744219">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r w:rsidRPr="00345022">
        <w:rPr>
          <w:lang w:val="en-GB"/>
        </w:rPr>
        <w:t xml:space="preserve">Voir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97">
    <w:p w14:paraId="4B2878BC" w14:textId="15D586E1" w:rsidR="00744219" w:rsidRPr="00BA5D38" w:rsidRDefault="00744219">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98">
    <w:p w14:paraId="4B705E77" w14:textId="27734A3B" w:rsidR="00744219" w:rsidRPr="00FC7F90" w:rsidRDefault="00744219"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99">
    <w:p w14:paraId="05A46CBF" w14:textId="507AE2DF" w:rsidR="00744219" w:rsidRPr="00742AC0" w:rsidRDefault="00744219">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100">
    <w:p w14:paraId="01256B1A" w14:textId="374AF43A" w:rsidR="00744219" w:rsidRPr="00742AC0" w:rsidRDefault="00744219">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Pr>
          <w:i/>
          <w:lang w:val="en-US"/>
        </w:rPr>
        <w:t>op. cit.</w:t>
      </w:r>
      <w:r>
        <w:rPr>
          <w:lang w:val="en-US"/>
        </w:rPr>
        <w:t>, p. 103.</w:t>
      </w:r>
    </w:p>
  </w:footnote>
  <w:footnote w:id="101">
    <w:p w14:paraId="1B72C16B" w14:textId="591A473B" w:rsidR="00744219" w:rsidRPr="007F3A27" w:rsidRDefault="00744219">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Motion Picture Association of America (MPAA)</w:t>
      </w:r>
      <w:r>
        <w:t xml:space="preserve"> en 1934.</w:t>
      </w:r>
    </w:p>
  </w:footnote>
  <w:footnote w:id="102">
    <w:p w14:paraId="08B67071" w14:textId="04893A3A" w:rsidR="00744219" w:rsidRPr="00284731" w:rsidRDefault="00744219">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03">
    <w:p w14:paraId="17C33A35" w14:textId="6C67B0ED" w:rsidR="00744219" w:rsidRPr="00C12297" w:rsidRDefault="00744219">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04">
    <w:p w14:paraId="0C6FCE79" w14:textId="0939D1FD" w:rsidR="00744219" w:rsidRPr="0072634C" w:rsidRDefault="00744219">
      <w:pPr>
        <w:pStyle w:val="FootnoteText"/>
        <w:rPr>
          <w:lang w:val="en-GB"/>
        </w:rPr>
      </w:pPr>
      <w:r>
        <w:rPr>
          <w:rStyle w:val="FootnoteReference"/>
        </w:rPr>
        <w:footnoteRef/>
      </w:r>
      <w:r w:rsidRPr="0072634C">
        <w:rPr>
          <w:lang w:val="en-GB"/>
        </w:rPr>
        <w:t xml:space="preserve"> </w:t>
      </w:r>
      <w:r w:rsidRPr="00781EA5">
        <w:rPr>
          <w:szCs w:val="20"/>
          <w:lang w:val="en-GB"/>
        </w:rPr>
        <w:t xml:space="preserve">Barry Keith Grant, </w:t>
      </w:r>
      <w:r w:rsidRPr="00781EA5">
        <w:rPr>
          <w:i/>
          <w:szCs w:val="20"/>
          <w:lang w:val="en-GB"/>
        </w:rPr>
        <w:t>op. cit.</w:t>
      </w:r>
      <w:r>
        <w:rPr>
          <w:szCs w:val="20"/>
          <w:lang w:val="en-GB"/>
        </w:rPr>
        <w:t>, p. 33.</w:t>
      </w:r>
    </w:p>
  </w:footnote>
  <w:footnote w:id="105">
    <w:p w14:paraId="48593CE8" w14:textId="49CD91CA" w:rsidR="00744219" w:rsidRPr="00425192" w:rsidRDefault="00744219">
      <w:pPr>
        <w:pStyle w:val="FootnoteText"/>
        <w:rPr>
          <w:lang w:val="en-GB"/>
        </w:rPr>
      </w:pPr>
      <w:r>
        <w:rPr>
          <w:rStyle w:val="FootnoteReference"/>
        </w:rPr>
        <w:footnoteRef/>
      </w:r>
      <w:r w:rsidRPr="00425192">
        <w:rPr>
          <w:lang w:val="en-GB"/>
        </w:rPr>
        <w:t xml:space="preserve"> </w:t>
      </w:r>
      <w:r w:rsidRPr="00781EA5">
        <w:rPr>
          <w:szCs w:val="20"/>
          <w:lang w:val="en-GB"/>
        </w:rPr>
        <w:t xml:space="preserve">Barry Keith Grant, </w:t>
      </w:r>
      <w:r>
        <w:rPr>
          <w:i/>
          <w:szCs w:val="20"/>
          <w:lang w:val="en-GB"/>
        </w:rPr>
        <w:t>ibid.</w:t>
      </w:r>
      <w:r>
        <w:rPr>
          <w:szCs w:val="20"/>
          <w:lang w:val="en-GB"/>
        </w:rPr>
        <w:t>, p. 30.</w:t>
      </w:r>
    </w:p>
  </w:footnote>
  <w:footnote w:id="106">
    <w:p w14:paraId="4B8C552B" w14:textId="45DDC21C" w:rsidR="00744219" w:rsidRPr="00094B9E" w:rsidRDefault="00744219">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07">
    <w:p w14:paraId="4DD63384" w14:textId="593ECFDD" w:rsidR="00744219" w:rsidRPr="002E235F" w:rsidRDefault="00744219">
      <w:pPr>
        <w:pStyle w:val="FootnoteText"/>
        <w:rPr>
          <w:lang w:val="en-GB"/>
        </w:rPr>
      </w:pPr>
      <w:r>
        <w:rPr>
          <w:rStyle w:val="FootnoteReference"/>
        </w:rPr>
        <w:footnoteRef/>
      </w:r>
      <w:r w:rsidRPr="002E235F">
        <w:rPr>
          <w:lang w:val="en-GB"/>
        </w:rPr>
        <w:t xml:space="preserve"> </w:t>
      </w:r>
      <w:r w:rsidRPr="00F11331">
        <w:rPr>
          <w:szCs w:val="20"/>
          <w:lang w:val="en-US"/>
        </w:rPr>
        <w:t xml:space="preserve">Al LaValley (éd.), </w:t>
      </w:r>
      <w:r>
        <w:rPr>
          <w:i/>
          <w:szCs w:val="20"/>
          <w:lang w:val="en-US"/>
        </w:rPr>
        <w:t>op. cit.</w:t>
      </w:r>
      <w:r>
        <w:rPr>
          <w:szCs w:val="20"/>
          <w:lang w:val="en-US"/>
        </w:rPr>
        <w:t>, p. 7.</w:t>
      </w:r>
    </w:p>
  </w:footnote>
  <w:footnote w:id="108">
    <w:p w14:paraId="5FA817AA" w14:textId="10C103EF" w:rsidR="00744219" w:rsidRPr="003F50E3" w:rsidRDefault="00744219">
      <w:pPr>
        <w:pStyle w:val="FootnoteText"/>
        <w:rPr>
          <w:lang w:val="fr-CH"/>
        </w:rPr>
      </w:pPr>
      <w:r>
        <w:rPr>
          <w:rStyle w:val="FootnoteReference"/>
        </w:rPr>
        <w:footnoteRef/>
      </w:r>
      <w:r>
        <w:t xml:space="preserve"> </w:t>
      </w:r>
      <w:r>
        <w:rPr>
          <w:lang w:val="fr-CH"/>
        </w:rPr>
        <w:t>Lettre de Don Siegel à Daniel Mainwaring datant du 17 janvier 1955.</w:t>
      </w:r>
    </w:p>
  </w:footnote>
  <w:footnote w:id="109">
    <w:p w14:paraId="249F887A" w14:textId="7DB7D7E8" w:rsidR="00744219" w:rsidRPr="0007647B" w:rsidRDefault="00744219">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op. cit.</w:t>
      </w:r>
      <w:r>
        <w:rPr>
          <w:szCs w:val="20"/>
          <w:lang w:val="en-US"/>
        </w:rPr>
        <w:t>, p. 12-13.</w:t>
      </w:r>
    </w:p>
  </w:footnote>
  <w:footnote w:id="110">
    <w:p w14:paraId="516C3FA0" w14:textId="79F90B4C" w:rsidR="00744219" w:rsidRPr="003F5E9F" w:rsidRDefault="00744219">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ibid.</w:t>
      </w:r>
      <w:r>
        <w:rPr>
          <w:szCs w:val="20"/>
          <w:lang w:val="en-US"/>
        </w:rPr>
        <w:t>, p. 18.</w:t>
      </w:r>
    </w:p>
  </w:footnote>
  <w:footnote w:id="111">
    <w:p w14:paraId="7C3A71A5" w14:textId="51AFA6C1" w:rsidR="00744219" w:rsidRPr="00FC7251" w:rsidRDefault="00744219">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12">
    <w:p w14:paraId="6753F754" w14:textId="3B65EEB8" w:rsidR="00744219" w:rsidRPr="00B2269C" w:rsidRDefault="00744219">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r w:rsidRPr="004A66FC">
        <w:rPr>
          <w:i/>
          <w:szCs w:val="20"/>
          <w:lang w:val="en-US"/>
        </w:rPr>
        <w:t>press junkets</w:t>
      </w:r>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Wachthausen</w:t>
      </w:r>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Jonquet</w:t>
      </w:r>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13">
    <w:p w14:paraId="6A177BD9" w14:textId="78160F9F" w:rsidR="00744219" w:rsidRPr="007F12D8" w:rsidRDefault="00744219">
      <w:pPr>
        <w:pStyle w:val="FootnoteText"/>
        <w:rPr>
          <w:lang w:val="fr-CH"/>
        </w:rPr>
      </w:pPr>
      <w:r>
        <w:rPr>
          <w:rStyle w:val="FootnoteReference"/>
        </w:rPr>
        <w:footnoteRef/>
      </w:r>
      <w:r>
        <w:t xml:space="preserve"> Contexte explicité par une grande majorité de critiques, mais dont beaucoup regrettent le manque de parti-pris politique sur des sujets d’actualité comme la guerre en Irak. </w:t>
      </w:r>
      <w:r w:rsidRPr="007F12D8">
        <w:rPr>
          <w:lang w:val="fr-CH"/>
        </w:rPr>
        <w:t xml:space="preserve">Voir par exemple Roger Ebert, « The Invasion », </w:t>
      </w:r>
      <w:r w:rsidRPr="007F12D8">
        <w:rPr>
          <w:i/>
          <w:lang w:val="fr-CH"/>
        </w:rPr>
        <w:t>Chicago Sun-Times</w:t>
      </w:r>
      <w:r w:rsidRPr="007F12D8">
        <w:rPr>
          <w:lang w:val="fr-CH"/>
        </w:rPr>
        <w:t>, 16 août 2007.</w:t>
      </w:r>
    </w:p>
  </w:footnote>
  <w:footnote w:id="114">
    <w:p w14:paraId="234121AB" w14:textId="4199E540" w:rsidR="00744219" w:rsidRPr="00CA345C" w:rsidRDefault="00744219">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Steffen-Fluhr</w:t>
      </w:r>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Vol. 11, No. 2, juillet 1984, pp. 139-153.</w:t>
      </w:r>
    </w:p>
  </w:footnote>
  <w:footnote w:id="115">
    <w:p w14:paraId="32FC9573" w14:textId="116A9605" w:rsidR="00744219" w:rsidRPr="00744219" w:rsidRDefault="00744219">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Pr>
          <w:lang w:val="en-US"/>
        </w:rPr>
        <w:t>, p. 140.</w:t>
      </w:r>
    </w:p>
  </w:footnote>
  <w:footnote w:id="116">
    <w:p w14:paraId="20CBB3A5" w14:textId="65ABF2CE" w:rsidR="00744219" w:rsidRPr="00744219" w:rsidRDefault="00744219">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Pr>
          <w:lang w:val="en-US"/>
        </w:rPr>
        <w:t>, p. 143.</w:t>
      </w:r>
    </w:p>
  </w:footnote>
  <w:footnote w:id="117">
    <w:p w14:paraId="77ADF2FE" w14:textId="5476205F" w:rsidR="008E4CE3" w:rsidRPr="008E4CE3" w:rsidRDefault="008E4CE3">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Rogin</w:t>
      </w:r>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18">
    <w:p w14:paraId="0AFBD7B1" w14:textId="48157E50" w:rsidR="001A7AD0" w:rsidRPr="001A7AD0" w:rsidRDefault="001A7AD0">
      <w:pPr>
        <w:pStyle w:val="FootnoteText"/>
        <w:rPr>
          <w:lang w:val="en-GB"/>
        </w:rPr>
      </w:pPr>
      <w:r>
        <w:rPr>
          <w:rStyle w:val="FootnoteReference"/>
        </w:rPr>
        <w:footnoteRef/>
      </w:r>
      <w:r w:rsidRPr="001A7AD0">
        <w:rPr>
          <w:lang w:val="en-GB"/>
        </w:rPr>
        <w:t xml:space="preserve"> Patricia</w:t>
      </w:r>
      <w:r>
        <w:rPr>
          <w:lang w:val="en-GB"/>
        </w:rPr>
        <w:t xml:space="preserve"> Erens (éd.)</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sidR="00D723FD">
        <w:rPr>
          <w:lang w:val="en-GB"/>
        </w:rPr>
        <w:t>diana University Press, 1990. p</w:t>
      </w:r>
      <w:r w:rsidRPr="001A7AD0">
        <w:rPr>
          <w:lang w:val="en-GB"/>
        </w:rPr>
        <w:t>. xvii</w:t>
      </w:r>
      <w:r w:rsidR="00C33D06">
        <w:rPr>
          <w:lang w:val="en-GB"/>
        </w:rPr>
        <w:t>.</w:t>
      </w:r>
    </w:p>
  </w:footnote>
  <w:footnote w:id="119">
    <w:p w14:paraId="180CBA89" w14:textId="6B74170E" w:rsidR="001B422A" w:rsidRPr="001B422A" w:rsidRDefault="001B422A">
      <w:pPr>
        <w:pStyle w:val="FootnoteText"/>
        <w:rPr>
          <w:lang w:val="fr-CH"/>
        </w:rPr>
      </w:pPr>
      <w:r>
        <w:rPr>
          <w:rStyle w:val="FootnoteReference"/>
        </w:rPr>
        <w:footnoteRef/>
      </w:r>
      <w:r>
        <w:t xml:space="preserve"> </w:t>
      </w:r>
      <w:r>
        <w:rPr>
          <w:lang w:val="fr-CH"/>
        </w:rPr>
        <w:t xml:space="preserve">Quand, par exemple, </w:t>
      </w:r>
      <w:r w:rsidR="002B6C9D">
        <w:rPr>
          <w:lang w:val="fr-CH"/>
        </w:rPr>
        <w:t>Wilma se plaint de ne plus reconnaître son oncle.</w:t>
      </w:r>
    </w:p>
  </w:footnote>
  <w:footnote w:id="120">
    <w:p w14:paraId="7AE40483" w14:textId="2CF9E6E2" w:rsidR="002B6C9D" w:rsidRPr="002B6C9D" w:rsidRDefault="002B6C9D">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21">
    <w:p w14:paraId="07F7A35E" w14:textId="504C04E7" w:rsidR="002B6C9D" w:rsidRPr="002B6C9D" w:rsidRDefault="002B6C9D">
      <w:pPr>
        <w:pStyle w:val="FootnoteText"/>
        <w:rPr>
          <w:lang w:val="en-GB"/>
        </w:rPr>
      </w:pPr>
      <w:r>
        <w:rPr>
          <w:rStyle w:val="FootnoteReference"/>
        </w:rPr>
        <w:footnoteRef/>
      </w:r>
      <w:r w:rsidRPr="002B6C9D">
        <w:rPr>
          <w:lang w:val="en-GB"/>
        </w:rPr>
        <w:t xml:space="preserve"> </w:t>
      </w:r>
      <w:r w:rsidRPr="00CA0620">
        <w:rPr>
          <w:lang w:val="en-GB"/>
        </w:rPr>
        <w:t xml:space="preserve">J. Hoberman, </w:t>
      </w:r>
      <w:r w:rsidR="00792E36">
        <w:rPr>
          <w:i/>
          <w:lang w:val="en-US"/>
        </w:rPr>
        <w:t>op. cit.</w:t>
      </w:r>
      <w:r w:rsidR="00D723FD">
        <w:rPr>
          <w:lang w:val="en-US"/>
        </w:rPr>
        <w:t xml:space="preserve">, </w:t>
      </w:r>
      <w:r>
        <w:rPr>
          <w:lang w:val="en-US"/>
        </w:rPr>
        <w:t>p. 215.</w:t>
      </w:r>
    </w:p>
  </w:footnote>
  <w:footnote w:id="122">
    <w:p w14:paraId="7C7B6B5F" w14:textId="5F69673F" w:rsidR="00F52A0E" w:rsidRPr="00F52A0E" w:rsidRDefault="00F52A0E">
      <w:pPr>
        <w:pStyle w:val="FootnoteText"/>
        <w:rPr>
          <w:lang w:val="fr-CH"/>
        </w:rPr>
      </w:pPr>
      <w:r>
        <w:rPr>
          <w:rStyle w:val="FootnoteReference"/>
        </w:rPr>
        <w:footnoteRef/>
      </w:r>
      <w:r>
        <w:t xml:space="preserve"> </w:t>
      </w:r>
      <w:r w:rsidRPr="00CA0620">
        <w:rPr>
          <w:lang w:val="en-GB"/>
        </w:rPr>
        <w:t xml:space="preserve">J. Hoberman, </w:t>
      </w:r>
      <w:r>
        <w:rPr>
          <w:i/>
          <w:lang w:val="en-US"/>
        </w:rPr>
        <w:t>ibid.</w:t>
      </w:r>
      <w:r>
        <w:rPr>
          <w:lang w:val="en-US"/>
        </w:rPr>
        <w:t>, p. 21</w:t>
      </w:r>
      <w:r w:rsidR="002A08B2">
        <w:rPr>
          <w:lang w:val="en-US"/>
        </w:rPr>
        <w:t>6</w:t>
      </w:r>
      <w:r>
        <w:rPr>
          <w:lang w:val="en-US"/>
        </w:rPr>
        <w:t>.</w:t>
      </w:r>
    </w:p>
  </w:footnote>
  <w:footnote w:id="123">
    <w:p w14:paraId="617F6FD6" w14:textId="2A5B201C" w:rsidR="005D5F9D" w:rsidRPr="005D5F9D" w:rsidRDefault="005D5F9D">
      <w:pPr>
        <w:pStyle w:val="FootnoteText"/>
        <w:rPr>
          <w:lang w:val="en-US"/>
        </w:rPr>
      </w:pPr>
      <w:r>
        <w:rPr>
          <w:rStyle w:val="FootnoteReference"/>
        </w:rPr>
        <w:footnoteRef/>
      </w:r>
      <w:r w:rsidRPr="00F1538B">
        <w:rPr>
          <w:lang w:val="fr-CH"/>
        </w:rPr>
        <w:t xml:space="preserve"> </w:t>
      </w:r>
      <w:r w:rsidR="00F1538B" w:rsidRPr="00F1538B">
        <w:rPr>
          <w:lang w:val="fr-CH"/>
        </w:rPr>
        <w:t xml:space="preserve">Avec, par exemple, un article utilisant les films de 1956 et 1978 pour parler d’écologie. </w:t>
      </w:r>
      <w:r w:rsidR="00F1538B">
        <w:rPr>
          <w:lang w:val="en-GB"/>
        </w:rPr>
        <w:t xml:space="preserve">Voir </w:t>
      </w:r>
      <w:r w:rsidRPr="005D5F9D">
        <w:rPr>
          <w:lang w:val="en-US"/>
        </w:rPr>
        <w:t>Natania</w:t>
      </w:r>
      <w:r>
        <w:rPr>
          <w:lang w:val="en-US"/>
        </w:rPr>
        <w:t xml:space="preserve"> Meeker et</w:t>
      </w:r>
      <w:r w:rsidRPr="005D5F9D">
        <w:rPr>
          <w:lang w:val="en-US"/>
        </w:rPr>
        <w:t xml:space="preserve"> Antónia</w:t>
      </w:r>
      <w:r>
        <w:rPr>
          <w:lang w:val="en-US"/>
        </w:rPr>
        <w:t xml:space="preserve"> Szabari</w:t>
      </w:r>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p>
  </w:footnote>
  <w:footnote w:id="124">
    <w:p w14:paraId="2D8E6495" w14:textId="154F10E3" w:rsidR="00B457F7" w:rsidRPr="00B457F7" w:rsidRDefault="00B457F7">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sidR="0037689C">
        <w:rPr>
          <w:lang w:val="en-GB"/>
        </w:rPr>
        <w:t>].</w:t>
      </w:r>
    </w:p>
  </w:footnote>
  <w:footnote w:id="125">
    <w:p w14:paraId="0319DC27" w14:textId="43C5471A" w:rsidR="0037689C" w:rsidRPr="0037689C" w:rsidRDefault="0037689C">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26">
    <w:p w14:paraId="6A17BA6F" w14:textId="72F2C5DE" w:rsidR="00373BBC" w:rsidRPr="00373BBC" w:rsidRDefault="00373BBC">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744219" w:rsidRPr="00173138" w:rsidRDefault="00744219"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744219" w:rsidRPr="00173138" w:rsidRDefault="00744219"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744219" w:rsidRPr="008138ED" w:rsidRDefault="00744219"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744219" w:rsidRPr="008138ED" w:rsidRDefault="00744219"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744219" w:rsidRPr="00A60B3A" w:rsidRDefault="00744219">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744219" w:rsidRPr="00A60B3A" w:rsidRDefault="00744219">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4B8"/>
    <w:rsid w:val="00003BA3"/>
    <w:rsid w:val="00005E71"/>
    <w:rsid w:val="0000607A"/>
    <w:rsid w:val="00006DAE"/>
    <w:rsid w:val="000141B8"/>
    <w:rsid w:val="00016E91"/>
    <w:rsid w:val="00022991"/>
    <w:rsid w:val="00026DEC"/>
    <w:rsid w:val="00040872"/>
    <w:rsid w:val="00045FE8"/>
    <w:rsid w:val="00046807"/>
    <w:rsid w:val="00046D0E"/>
    <w:rsid w:val="0004743C"/>
    <w:rsid w:val="00047F06"/>
    <w:rsid w:val="000552FA"/>
    <w:rsid w:val="000634E0"/>
    <w:rsid w:val="00064452"/>
    <w:rsid w:val="00065AB6"/>
    <w:rsid w:val="00071D42"/>
    <w:rsid w:val="000725F5"/>
    <w:rsid w:val="000731BB"/>
    <w:rsid w:val="00075AD0"/>
    <w:rsid w:val="0007647B"/>
    <w:rsid w:val="00082892"/>
    <w:rsid w:val="00083709"/>
    <w:rsid w:val="00084232"/>
    <w:rsid w:val="00084430"/>
    <w:rsid w:val="00094B9E"/>
    <w:rsid w:val="00096406"/>
    <w:rsid w:val="000A0EDA"/>
    <w:rsid w:val="000B5190"/>
    <w:rsid w:val="000B6314"/>
    <w:rsid w:val="000D04D2"/>
    <w:rsid w:val="000D1912"/>
    <w:rsid w:val="000D2034"/>
    <w:rsid w:val="000D6B0D"/>
    <w:rsid w:val="000D6CD7"/>
    <w:rsid w:val="000E0580"/>
    <w:rsid w:val="000E7451"/>
    <w:rsid w:val="000F5F10"/>
    <w:rsid w:val="000F68B8"/>
    <w:rsid w:val="00102952"/>
    <w:rsid w:val="00106519"/>
    <w:rsid w:val="00106EE2"/>
    <w:rsid w:val="00111C76"/>
    <w:rsid w:val="001373A0"/>
    <w:rsid w:val="0013744F"/>
    <w:rsid w:val="0014073B"/>
    <w:rsid w:val="001419A5"/>
    <w:rsid w:val="0014602A"/>
    <w:rsid w:val="00146748"/>
    <w:rsid w:val="0015665C"/>
    <w:rsid w:val="00156895"/>
    <w:rsid w:val="00165D3F"/>
    <w:rsid w:val="00170475"/>
    <w:rsid w:val="00173138"/>
    <w:rsid w:val="0017320C"/>
    <w:rsid w:val="00174D7C"/>
    <w:rsid w:val="001877C1"/>
    <w:rsid w:val="001937F5"/>
    <w:rsid w:val="00195D85"/>
    <w:rsid w:val="001A1430"/>
    <w:rsid w:val="001A4F60"/>
    <w:rsid w:val="001A6504"/>
    <w:rsid w:val="001A7AD0"/>
    <w:rsid w:val="001B2667"/>
    <w:rsid w:val="001B422A"/>
    <w:rsid w:val="001B7687"/>
    <w:rsid w:val="001C7833"/>
    <w:rsid w:val="001D3B62"/>
    <w:rsid w:val="001D7A6B"/>
    <w:rsid w:val="001E2D11"/>
    <w:rsid w:val="001E328D"/>
    <w:rsid w:val="001E4E2A"/>
    <w:rsid w:val="001E7675"/>
    <w:rsid w:val="001F52E4"/>
    <w:rsid w:val="001F698E"/>
    <w:rsid w:val="001F756A"/>
    <w:rsid w:val="00211C03"/>
    <w:rsid w:val="00213BA4"/>
    <w:rsid w:val="00216E79"/>
    <w:rsid w:val="00220532"/>
    <w:rsid w:val="002210A4"/>
    <w:rsid w:val="002235F1"/>
    <w:rsid w:val="0022552E"/>
    <w:rsid w:val="00230823"/>
    <w:rsid w:val="00237C1E"/>
    <w:rsid w:val="002516D8"/>
    <w:rsid w:val="0025350A"/>
    <w:rsid w:val="00253E7E"/>
    <w:rsid w:val="00257664"/>
    <w:rsid w:val="00266588"/>
    <w:rsid w:val="00273D4F"/>
    <w:rsid w:val="00283880"/>
    <w:rsid w:val="00283CF4"/>
    <w:rsid w:val="00284731"/>
    <w:rsid w:val="00291917"/>
    <w:rsid w:val="00293BA0"/>
    <w:rsid w:val="002A08B2"/>
    <w:rsid w:val="002A445A"/>
    <w:rsid w:val="002B23B5"/>
    <w:rsid w:val="002B6C9D"/>
    <w:rsid w:val="002D4827"/>
    <w:rsid w:val="002D513A"/>
    <w:rsid w:val="002D772A"/>
    <w:rsid w:val="002D7B33"/>
    <w:rsid w:val="002E05E0"/>
    <w:rsid w:val="002E235F"/>
    <w:rsid w:val="002E2A84"/>
    <w:rsid w:val="002E40FA"/>
    <w:rsid w:val="002F2CAC"/>
    <w:rsid w:val="002F3ABB"/>
    <w:rsid w:val="00300B5B"/>
    <w:rsid w:val="00300FAE"/>
    <w:rsid w:val="0030216F"/>
    <w:rsid w:val="00313F77"/>
    <w:rsid w:val="00317A04"/>
    <w:rsid w:val="00324843"/>
    <w:rsid w:val="003301B0"/>
    <w:rsid w:val="00331356"/>
    <w:rsid w:val="00333A58"/>
    <w:rsid w:val="00336723"/>
    <w:rsid w:val="00336962"/>
    <w:rsid w:val="003404E5"/>
    <w:rsid w:val="003423A7"/>
    <w:rsid w:val="00344D50"/>
    <w:rsid w:val="00345022"/>
    <w:rsid w:val="003500CD"/>
    <w:rsid w:val="003553A5"/>
    <w:rsid w:val="00360B6A"/>
    <w:rsid w:val="00362779"/>
    <w:rsid w:val="0036501B"/>
    <w:rsid w:val="00367E5D"/>
    <w:rsid w:val="003704D3"/>
    <w:rsid w:val="00370B00"/>
    <w:rsid w:val="00371D86"/>
    <w:rsid w:val="00373BBC"/>
    <w:rsid w:val="0037689C"/>
    <w:rsid w:val="003812EF"/>
    <w:rsid w:val="00382D6E"/>
    <w:rsid w:val="003873C4"/>
    <w:rsid w:val="003878FF"/>
    <w:rsid w:val="003905E9"/>
    <w:rsid w:val="0039669B"/>
    <w:rsid w:val="003B03B9"/>
    <w:rsid w:val="003C5211"/>
    <w:rsid w:val="003D14B4"/>
    <w:rsid w:val="003D1B8D"/>
    <w:rsid w:val="003E168C"/>
    <w:rsid w:val="003E2638"/>
    <w:rsid w:val="003E2F89"/>
    <w:rsid w:val="003E611C"/>
    <w:rsid w:val="003E64C0"/>
    <w:rsid w:val="003E71E3"/>
    <w:rsid w:val="003F4757"/>
    <w:rsid w:val="003F50E3"/>
    <w:rsid w:val="003F5E9F"/>
    <w:rsid w:val="003F6DD2"/>
    <w:rsid w:val="004025E2"/>
    <w:rsid w:val="00411460"/>
    <w:rsid w:val="00417F55"/>
    <w:rsid w:val="00421E95"/>
    <w:rsid w:val="00423903"/>
    <w:rsid w:val="00425192"/>
    <w:rsid w:val="0042563E"/>
    <w:rsid w:val="004279CD"/>
    <w:rsid w:val="0043503F"/>
    <w:rsid w:val="00443326"/>
    <w:rsid w:val="004438C6"/>
    <w:rsid w:val="00444D30"/>
    <w:rsid w:val="00452E70"/>
    <w:rsid w:val="00461A37"/>
    <w:rsid w:val="00465ED2"/>
    <w:rsid w:val="0047129C"/>
    <w:rsid w:val="0047279B"/>
    <w:rsid w:val="00474C42"/>
    <w:rsid w:val="004870CE"/>
    <w:rsid w:val="00495930"/>
    <w:rsid w:val="004A0925"/>
    <w:rsid w:val="004A4981"/>
    <w:rsid w:val="004A66FC"/>
    <w:rsid w:val="004B17C9"/>
    <w:rsid w:val="004B4016"/>
    <w:rsid w:val="004B4329"/>
    <w:rsid w:val="004C1431"/>
    <w:rsid w:val="004C1AFF"/>
    <w:rsid w:val="004C3836"/>
    <w:rsid w:val="004C4C04"/>
    <w:rsid w:val="004C6BE7"/>
    <w:rsid w:val="004C7B3F"/>
    <w:rsid w:val="004C7DB0"/>
    <w:rsid w:val="004D3899"/>
    <w:rsid w:val="004D4B6F"/>
    <w:rsid w:val="004D6815"/>
    <w:rsid w:val="004E23D6"/>
    <w:rsid w:val="004E548E"/>
    <w:rsid w:val="004E62A3"/>
    <w:rsid w:val="004E747B"/>
    <w:rsid w:val="004F4AF0"/>
    <w:rsid w:val="004F6744"/>
    <w:rsid w:val="00503CBA"/>
    <w:rsid w:val="005041DE"/>
    <w:rsid w:val="00506F6E"/>
    <w:rsid w:val="005106E7"/>
    <w:rsid w:val="00510CB6"/>
    <w:rsid w:val="005146FF"/>
    <w:rsid w:val="00515D4E"/>
    <w:rsid w:val="00515D8C"/>
    <w:rsid w:val="005308DA"/>
    <w:rsid w:val="005368DD"/>
    <w:rsid w:val="00541737"/>
    <w:rsid w:val="005418E9"/>
    <w:rsid w:val="00541F81"/>
    <w:rsid w:val="00543A54"/>
    <w:rsid w:val="00554477"/>
    <w:rsid w:val="00555B6A"/>
    <w:rsid w:val="00557EDB"/>
    <w:rsid w:val="00572515"/>
    <w:rsid w:val="00581670"/>
    <w:rsid w:val="00581E90"/>
    <w:rsid w:val="00584A63"/>
    <w:rsid w:val="005857FD"/>
    <w:rsid w:val="00593B27"/>
    <w:rsid w:val="00596CCC"/>
    <w:rsid w:val="005A0C4C"/>
    <w:rsid w:val="005C6BF4"/>
    <w:rsid w:val="005D52ED"/>
    <w:rsid w:val="005D5F9D"/>
    <w:rsid w:val="005D714F"/>
    <w:rsid w:val="005E19B7"/>
    <w:rsid w:val="005E65B7"/>
    <w:rsid w:val="005F3B74"/>
    <w:rsid w:val="005F3C37"/>
    <w:rsid w:val="005F3CBC"/>
    <w:rsid w:val="00601392"/>
    <w:rsid w:val="00611886"/>
    <w:rsid w:val="006127A9"/>
    <w:rsid w:val="0061419D"/>
    <w:rsid w:val="0061689F"/>
    <w:rsid w:val="00617F30"/>
    <w:rsid w:val="00623FA5"/>
    <w:rsid w:val="00626266"/>
    <w:rsid w:val="006314A2"/>
    <w:rsid w:val="00640D6E"/>
    <w:rsid w:val="00645A27"/>
    <w:rsid w:val="00651CAA"/>
    <w:rsid w:val="00654949"/>
    <w:rsid w:val="00656792"/>
    <w:rsid w:val="00656AB9"/>
    <w:rsid w:val="00663724"/>
    <w:rsid w:val="00663B0A"/>
    <w:rsid w:val="00664E6A"/>
    <w:rsid w:val="00665C44"/>
    <w:rsid w:val="00670840"/>
    <w:rsid w:val="00674BE2"/>
    <w:rsid w:val="00680AE3"/>
    <w:rsid w:val="00685E7D"/>
    <w:rsid w:val="006A0B89"/>
    <w:rsid w:val="006A2EE1"/>
    <w:rsid w:val="006A31EF"/>
    <w:rsid w:val="006A3862"/>
    <w:rsid w:val="006A46AA"/>
    <w:rsid w:val="006B2252"/>
    <w:rsid w:val="006B244B"/>
    <w:rsid w:val="006B3574"/>
    <w:rsid w:val="006B65BF"/>
    <w:rsid w:val="006C6A6A"/>
    <w:rsid w:val="006C76D3"/>
    <w:rsid w:val="006D0090"/>
    <w:rsid w:val="006D1F72"/>
    <w:rsid w:val="006D57C0"/>
    <w:rsid w:val="006D5FD9"/>
    <w:rsid w:val="006E00F4"/>
    <w:rsid w:val="006E044F"/>
    <w:rsid w:val="006E18EF"/>
    <w:rsid w:val="006F2D7D"/>
    <w:rsid w:val="006F479F"/>
    <w:rsid w:val="006F4D02"/>
    <w:rsid w:val="006F6062"/>
    <w:rsid w:val="00700856"/>
    <w:rsid w:val="00703DA6"/>
    <w:rsid w:val="00717BE1"/>
    <w:rsid w:val="00722301"/>
    <w:rsid w:val="00723A13"/>
    <w:rsid w:val="0072634C"/>
    <w:rsid w:val="00732974"/>
    <w:rsid w:val="00732B2C"/>
    <w:rsid w:val="00734435"/>
    <w:rsid w:val="007344B8"/>
    <w:rsid w:val="00734C51"/>
    <w:rsid w:val="0073541F"/>
    <w:rsid w:val="0074138E"/>
    <w:rsid w:val="00742AC0"/>
    <w:rsid w:val="00744219"/>
    <w:rsid w:val="0074692C"/>
    <w:rsid w:val="007504B3"/>
    <w:rsid w:val="0075790B"/>
    <w:rsid w:val="00766D6F"/>
    <w:rsid w:val="00767450"/>
    <w:rsid w:val="00771C29"/>
    <w:rsid w:val="007765CA"/>
    <w:rsid w:val="00781EA5"/>
    <w:rsid w:val="00782CBD"/>
    <w:rsid w:val="0078373E"/>
    <w:rsid w:val="007914D6"/>
    <w:rsid w:val="00792E36"/>
    <w:rsid w:val="0079569E"/>
    <w:rsid w:val="007A0071"/>
    <w:rsid w:val="007A3A39"/>
    <w:rsid w:val="007A5E03"/>
    <w:rsid w:val="007D19AF"/>
    <w:rsid w:val="007D4311"/>
    <w:rsid w:val="007D593E"/>
    <w:rsid w:val="007D7652"/>
    <w:rsid w:val="007E1A3C"/>
    <w:rsid w:val="007E60F5"/>
    <w:rsid w:val="007F12D8"/>
    <w:rsid w:val="007F20DF"/>
    <w:rsid w:val="007F3A27"/>
    <w:rsid w:val="007F6A07"/>
    <w:rsid w:val="007F77D3"/>
    <w:rsid w:val="00800B21"/>
    <w:rsid w:val="00801C43"/>
    <w:rsid w:val="00801F85"/>
    <w:rsid w:val="0080297C"/>
    <w:rsid w:val="00810ADF"/>
    <w:rsid w:val="00810BFA"/>
    <w:rsid w:val="00810F16"/>
    <w:rsid w:val="008120E2"/>
    <w:rsid w:val="008138ED"/>
    <w:rsid w:val="0081693C"/>
    <w:rsid w:val="00821CAB"/>
    <w:rsid w:val="0082622B"/>
    <w:rsid w:val="00826DEA"/>
    <w:rsid w:val="0082726C"/>
    <w:rsid w:val="0083111B"/>
    <w:rsid w:val="008349BE"/>
    <w:rsid w:val="008364AE"/>
    <w:rsid w:val="0084708F"/>
    <w:rsid w:val="008540F1"/>
    <w:rsid w:val="0085797C"/>
    <w:rsid w:val="008605A2"/>
    <w:rsid w:val="00865909"/>
    <w:rsid w:val="00873ED6"/>
    <w:rsid w:val="00875463"/>
    <w:rsid w:val="00876848"/>
    <w:rsid w:val="008806D3"/>
    <w:rsid w:val="008865F3"/>
    <w:rsid w:val="00891450"/>
    <w:rsid w:val="008915E7"/>
    <w:rsid w:val="00894B06"/>
    <w:rsid w:val="00897A27"/>
    <w:rsid w:val="008A323A"/>
    <w:rsid w:val="008A7494"/>
    <w:rsid w:val="008B2A9C"/>
    <w:rsid w:val="008C08B5"/>
    <w:rsid w:val="008C0A6A"/>
    <w:rsid w:val="008C600F"/>
    <w:rsid w:val="008D19D6"/>
    <w:rsid w:val="008E367A"/>
    <w:rsid w:val="008E3E84"/>
    <w:rsid w:val="008E4CE3"/>
    <w:rsid w:val="008E625A"/>
    <w:rsid w:val="008E7C4E"/>
    <w:rsid w:val="008F5700"/>
    <w:rsid w:val="008F6058"/>
    <w:rsid w:val="008F7692"/>
    <w:rsid w:val="00900F3C"/>
    <w:rsid w:val="00902AA9"/>
    <w:rsid w:val="009079AC"/>
    <w:rsid w:val="00914BF5"/>
    <w:rsid w:val="00916765"/>
    <w:rsid w:val="00917414"/>
    <w:rsid w:val="0092189B"/>
    <w:rsid w:val="0092365D"/>
    <w:rsid w:val="00923E14"/>
    <w:rsid w:val="00925377"/>
    <w:rsid w:val="00930981"/>
    <w:rsid w:val="00930F29"/>
    <w:rsid w:val="00932DDA"/>
    <w:rsid w:val="0093468C"/>
    <w:rsid w:val="009437ED"/>
    <w:rsid w:val="0096089B"/>
    <w:rsid w:val="00962F49"/>
    <w:rsid w:val="00963ECD"/>
    <w:rsid w:val="009705B0"/>
    <w:rsid w:val="00970CC6"/>
    <w:rsid w:val="00977317"/>
    <w:rsid w:val="0099055C"/>
    <w:rsid w:val="00991F6F"/>
    <w:rsid w:val="009943DF"/>
    <w:rsid w:val="009A3715"/>
    <w:rsid w:val="009A7696"/>
    <w:rsid w:val="009B1242"/>
    <w:rsid w:val="009B1CA9"/>
    <w:rsid w:val="009B43D7"/>
    <w:rsid w:val="009B799E"/>
    <w:rsid w:val="009C43E8"/>
    <w:rsid w:val="009C57A5"/>
    <w:rsid w:val="009E0F5B"/>
    <w:rsid w:val="009E2528"/>
    <w:rsid w:val="009E498B"/>
    <w:rsid w:val="009E67C3"/>
    <w:rsid w:val="009F3C8F"/>
    <w:rsid w:val="009F4499"/>
    <w:rsid w:val="009F4648"/>
    <w:rsid w:val="009F674F"/>
    <w:rsid w:val="009F687A"/>
    <w:rsid w:val="00A00FD7"/>
    <w:rsid w:val="00A047B8"/>
    <w:rsid w:val="00A07145"/>
    <w:rsid w:val="00A14516"/>
    <w:rsid w:val="00A17F6D"/>
    <w:rsid w:val="00A2003F"/>
    <w:rsid w:val="00A31725"/>
    <w:rsid w:val="00A320AC"/>
    <w:rsid w:val="00A50EFA"/>
    <w:rsid w:val="00A5532D"/>
    <w:rsid w:val="00A60B3A"/>
    <w:rsid w:val="00A63218"/>
    <w:rsid w:val="00A71144"/>
    <w:rsid w:val="00A73D15"/>
    <w:rsid w:val="00A82504"/>
    <w:rsid w:val="00A84498"/>
    <w:rsid w:val="00A85356"/>
    <w:rsid w:val="00A90860"/>
    <w:rsid w:val="00A91B5F"/>
    <w:rsid w:val="00A9200C"/>
    <w:rsid w:val="00A9420C"/>
    <w:rsid w:val="00A95A9C"/>
    <w:rsid w:val="00A95CCC"/>
    <w:rsid w:val="00AA0F22"/>
    <w:rsid w:val="00AA23EE"/>
    <w:rsid w:val="00AB3AD4"/>
    <w:rsid w:val="00AC4BB5"/>
    <w:rsid w:val="00AD153C"/>
    <w:rsid w:val="00AD3049"/>
    <w:rsid w:val="00AD62CD"/>
    <w:rsid w:val="00AD64B9"/>
    <w:rsid w:val="00AE5AEA"/>
    <w:rsid w:val="00AE63DD"/>
    <w:rsid w:val="00AF114E"/>
    <w:rsid w:val="00B00158"/>
    <w:rsid w:val="00B02260"/>
    <w:rsid w:val="00B032DC"/>
    <w:rsid w:val="00B100B1"/>
    <w:rsid w:val="00B11DA2"/>
    <w:rsid w:val="00B16D37"/>
    <w:rsid w:val="00B2269C"/>
    <w:rsid w:val="00B22705"/>
    <w:rsid w:val="00B22B0C"/>
    <w:rsid w:val="00B23C6B"/>
    <w:rsid w:val="00B31E7A"/>
    <w:rsid w:val="00B359C1"/>
    <w:rsid w:val="00B457F7"/>
    <w:rsid w:val="00B50D87"/>
    <w:rsid w:val="00B51AD5"/>
    <w:rsid w:val="00B60790"/>
    <w:rsid w:val="00B65CFE"/>
    <w:rsid w:val="00B90B58"/>
    <w:rsid w:val="00B92C52"/>
    <w:rsid w:val="00B96B22"/>
    <w:rsid w:val="00BA47A3"/>
    <w:rsid w:val="00BA5D38"/>
    <w:rsid w:val="00BA6F90"/>
    <w:rsid w:val="00BA72D1"/>
    <w:rsid w:val="00BB6E40"/>
    <w:rsid w:val="00BD737B"/>
    <w:rsid w:val="00BE1E64"/>
    <w:rsid w:val="00BE2589"/>
    <w:rsid w:val="00BF02C1"/>
    <w:rsid w:val="00BF0810"/>
    <w:rsid w:val="00BF32E7"/>
    <w:rsid w:val="00BF6D6C"/>
    <w:rsid w:val="00C00C01"/>
    <w:rsid w:val="00C00EFC"/>
    <w:rsid w:val="00C026AF"/>
    <w:rsid w:val="00C03C7A"/>
    <w:rsid w:val="00C060D1"/>
    <w:rsid w:val="00C103A2"/>
    <w:rsid w:val="00C115FF"/>
    <w:rsid w:val="00C1199B"/>
    <w:rsid w:val="00C12297"/>
    <w:rsid w:val="00C16A30"/>
    <w:rsid w:val="00C17BE9"/>
    <w:rsid w:val="00C249AB"/>
    <w:rsid w:val="00C251F9"/>
    <w:rsid w:val="00C25610"/>
    <w:rsid w:val="00C27606"/>
    <w:rsid w:val="00C302DC"/>
    <w:rsid w:val="00C30FA4"/>
    <w:rsid w:val="00C3166F"/>
    <w:rsid w:val="00C32B00"/>
    <w:rsid w:val="00C32EB3"/>
    <w:rsid w:val="00C33D06"/>
    <w:rsid w:val="00C42A8C"/>
    <w:rsid w:val="00C43266"/>
    <w:rsid w:val="00C439CE"/>
    <w:rsid w:val="00C451C9"/>
    <w:rsid w:val="00C45E5D"/>
    <w:rsid w:val="00C4663F"/>
    <w:rsid w:val="00C5001D"/>
    <w:rsid w:val="00C5130A"/>
    <w:rsid w:val="00C54399"/>
    <w:rsid w:val="00C54747"/>
    <w:rsid w:val="00C5547A"/>
    <w:rsid w:val="00C65644"/>
    <w:rsid w:val="00C70B5B"/>
    <w:rsid w:val="00C74349"/>
    <w:rsid w:val="00C7506F"/>
    <w:rsid w:val="00C75684"/>
    <w:rsid w:val="00C8691C"/>
    <w:rsid w:val="00C87D83"/>
    <w:rsid w:val="00C96219"/>
    <w:rsid w:val="00CA0620"/>
    <w:rsid w:val="00CA0D63"/>
    <w:rsid w:val="00CA1D23"/>
    <w:rsid w:val="00CA345C"/>
    <w:rsid w:val="00CA4BEE"/>
    <w:rsid w:val="00CB707A"/>
    <w:rsid w:val="00CC1562"/>
    <w:rsid w:val="00CC47C4"/>
    <w:rsid w:val="00CD2ABD"/>
    <w:rsid w:val="00CD3CAA"/>
    <w:rsid w:val="00CD6788"/>
    <w:rsid w:val="00CD78D5"/>
    <w:rsid w:val="00CE062F"/>
    <w:rsid w:val="00CE33DC"/>
    <w:rsid w:val="00CE3FB7"/>
    <w:rsid w:val="00CE51D3"/>
    <w:rsid w:val="00CF0127"/>
    <w:rsid w:val="00CF2253"/>
    <w:rsid w:val="00CF41D6"/>
    <w:rsid w:val="00CF7E1B"/>
    <w:rsid w:val="00D0023D"/>
    <w:rsid w:val="00D024F2"/>
    <w:rsid w:val="00D02990"/>
    <w:rsid w:val="00D0645A"/>
    <w:rsid w:val="00D06483"/>
    <w:rsid w:val="00D06E05"/>
    <w:rsid w:val="00D2493B"/>
    <w:rsid w:val="00D26AA7"/>
    <w:rsid w:val="00D30DE7"/>
    <w:rsid w:val="00D31576"/>
    <w:rsid w:val="00D41B23"/>
    <w:rsid w:val="00D42550"/>
    <w:rsid w:val="00D42CAE"/>
    <w:rsid w:val="00D46285"/>
    <w:rsid w:val="00D524D1"/>
    <w:rsid w:val="00D5422B"/>
    <w:rsid w:val="00D56248"/>
    <w:rsid w:val="00D57068"/>
    <w:rsid w:val="00D60196"/>
    <w:rsid w:val="00D60512"/>
    <w:rsid w:val="00D62069"/>
    <w:rsid w:val="00D723FD"/>
    <w:rsid w:val="00D802C9"/>
    <w:rsid w:val="00D80634"/>
    <w:rsid w:val="00D81A27"/>
    <w:rsid w:val="00D834B2"/>
    <w:rsid w:val="00D85D1D"/>
    <w:rsid w:val="00D9060A"/>
    <w:rsid w:val="00D97C6A"/>
    <w:rsid w:val="00DA2B00"/>
    <w:rsid w:val="00DA4FCE"/>
    <w:rsid w:val="00DB57AB"/>
    <w:rsid w:val="00DC11D1"/>
    <w:rsid w:val="00DC2443"/>
    <w:rsid w:val="00DD3C95"/>
    <w:rsid w:val="00DD6C92"/>
    <w:rsid w:val="00DE0070"/>
    <w:rsid w:val="00DE394A"/>
    <w:rsid w:val="00DE3C2D"/>
    <w:rsid w:val="00DE6431"/>
    <w:rsid w:val="00DE6510"/>
    <w:rsid w:val="00DF0B77"/>
    <w:rsid w:val="00DF358E"/>
    <w:rsid w:val="00E027DF"/>
    <w:rsid w:val="00E05543"/>
    <w:rsid w:val="00E1598A"/>
    <w:rsid w:val="00E15CFE"/>
    <w:rsid w:val="00E16E4E"/>
    <w:rsid w:val="00E217C0"/>
    <w:rsid w:val="00E251B8"/>
    <w:rsid w:val="00E256C7"/>
    <w:rsid w:val="00E25763"/>
    <w:rsid w:val="00E33B0D"/>
    <w:rsid w:val="00E41347"/>
    <w:rsid w:val="00E4313C"/>
    <w:rsid w:val="00E4428C"/>
    <w:rsid w:val="00E57157"/>
    <w:rsid w:val="00E6478A"/>
    <w:rsid w:val="00E67520"/>
    <w:rsid w:val="00E748E4"/>
    <w:rsid w:val="00E74AF3"/>
    <w:rsid w:val="00E766BF"/>
    <w:rsid w:val="00E773D5"/>
    <w:rsid w:val="00E80FD5"/>
    <w:rsid w:val="00E823D7"/>
    <w:rsid w:val="00E84244"/>
    <w:rsid w:val="00E847B5"/>
    <w:rsid w:val="00E84BB2"/>
    <w:rsid w:val="00E944CC"/>
    <w:rsid w:val="00E965C5"/>
    <w:rsid w:val="00EA1CE5"/>
    <w:rsid w:val="00EB361E"/>
    <w:rsid w:val="00EB4BF5"/>
    <w:rsid w:val="00EB6212"/>
    <w:rsid w:val="00EC6127"/>
    <w:rsid w:val="00ED3A88"/>
    <w:rsid w:val="00ED47B2"/>
    <w:rsid w:val="00EE1CBE"/>
    <w:rsid w:val="00EE65BC"/>
    <w:rsid w:val="00EF6438"/>
    <w:rsid w:val="00EF71ED"/>
    <w:rsid w:val="00F00C0C"/>
    <w:rsid w:val="00F04FE8"/>
    <w:rsid w:val="00F10E98"/>
    <w:rsid w:val="00F11331"/>
    <w:rsid w:val="00F1538B"/>
    <w:rsid w:val="00F16449"/>
    <w:rsid w:val="00F1669A"/>
    <w:rsid w:val="00F2193B"/>
    <w:rsid w:val="00F24C6F"/>
    <w:rsid w:val="00F3274A"/>
    <w:rsid w:val="00F33859"/>
    <w:rsid w:val="00F33C24"/>
    <w:rsid w:val="00F37F51"/>
    <w:rsid w:val="00F4408F"/>
    <w:rsid w:val="00F4480F"/>
    <w:rsid w:val="00F51A78"/>
    <w:rsid w:val="00F52A0E"/>
    <w:rsid w:val="00F54F1D"/>
    <w:rsid w:val="00F56B7E"/>
    <w:rsid w:val="00F6235E"/>
    <w:rsid w:val="00F64C1B"/>
    <w:rsid w:val="00F66B1F"/>
    <w:rsid w:val="00F7084A"/>
    <w:rsid w:val="00F722A6"/>
    <w:rsid w:val="00F7691F"/>
    <w:rsid w:val="00F77154"/>
    <w:rsid w:val="00F81209"/>
    <w:rsid w:val="00F8693F"/>
    <w:rsid w:val="00F87191"/>
    <w:rsid w:val="00F90D23"/>
    <w:rsid w:val="00F910DC"/>
    <w:rsid w:val="00F91902"/>
    <w:rsid w:val="00F953EA"/>
    <w:rsid w:val="00F95A52"/>
    <w:rsid w:val="00F963E4"/>
    <w:rsid w:val="00F975F9"/>
    <w:rsid w:val="00FA31E1"/>
    <w:rsid w:val="00FA4053"/>
    <w:rsid w:val="00FB3F74"/>
    <w:rsid w:val="00FC075B"/>
    <w:rsid w:val="00FC30BB"/>
    <w:rsid w:val="00FC3441"/>
    <w:rsid w:val="00FC6AEF"/>
    <w:rsid w:val="00FC6DD0"/>
    <w:rsid w:val="00FC7251"/>
    <w:rsid w:val="00FC7F90"/>
    <w:rsid w:val="00FD0709"/>
    <w:rsid w:val="00FD4B37"/>
    <w:rsid w:val="00FD552F"/>
    <w:rsid w:val="00FD7019"/>
    <w:rsid w:val="00FE1599"/>
    <w:rsid w:val="00FE2C1C"/>
    <w:rsid w:val="00FE5064"/>
    <w:rsid w:val="00FE519B"/>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11C3F22-8B7A-B046-8900-24C13AD7F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15</Pages>
  <Words>4744</Words>
  <Characters>24057</Characters>
  <Application>Microsoft Macintosh Word</Application>
  <DocSecurity>0</DocSecurity>
  <Lines>334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473</cp:revision>
  <dcterms:created xsi:type="dcterms:W3CDTF">2016-06-23T14:51:00Z</dcterms:created>
  <dcterms:modified xsi:type="dcterms:W3CDTF">2016-12-07T15:56:00Z</dcterms:modified>
</cp:coreProperties>
</file>