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59FD" w14:textId="7C6B7393" w:rsidR="002E3114" w:rsidRDefault="00E65C71" w:rsidP="00E65C71">
      <w:pPr>
        <w:jc w:val="center"/>
        <w:rPr>
          <w:rFonts w:ascii="Times New Roman" w:eastAsia="Times New Roman" w:hAnsi="Times New Roman" w:cs="Times New Roman"/>
          <w:b/>
          <w:bCs/>
          <w:kern w:val="0"/>
          <w:lang w:val="ru-RU"/>
          <w14:ligatures w14:val="none"/>
        </w:rPr>
      </w:pPr>
      <w:bookmarkStart w:id="0" w:name="_Toc118725809"/>
      <w:r w:rsidRPr="00E65C71">
        <w:rPr>
          <w:rFonts w:ascii="Times New Roman" w:eastAsia="Times New Roman" w:hAnsi="Times New Roman" w:cs="Times New Roman"/>
          <w:b/>
          <w:bCs/>
          <w:kern w:val="0"/>
          <w:lang w:val="ru-RU"/>
          <w14:ligatures w14:val="none"/>
        </w:rPr>
        <w:t>СИНОПСИС ИССЛЕДОВАНИЯ</w:t>
      </w:r>
      <w:bookmarkEnd w:id="0"/>
    </w:p>
    <w:p w14:paraId="6EA85800" w14:textId="77777777" w:rsidR="00E65C71" w:rsidRPr="00E65C71" w:rsidRDefault="00E65C71" w:rsidP="00E65C71">
      <w:pPr>
        <w:tabs>
          <w:tab w:val="left" w:pos="3107"/>
        </w:tabs>
        <w:rPr>
          <w:lang w:val="ru-RU"/>
        </w:rPr>
      </w:pPr>
      <w:r>
        <w:tab/>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E65C71" w:rsidRPr="00E65C71" w14:paraId="2B8EC721" w14:textId="77777777" w:rsidTr="006E76C5">
        <w:tc>
          <w:tcPr>
            <w:tcW w:w="9322" w:type="dxa"/>
          </w:tcPr>
          <w:p w14:paraId="4B44DAE8" w14:textId="4087A75B"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t xml:space="preserve">Спонсор: </w:t>
            </w:r>
            <w:r w:rsidR="006E76C5">
              <w:rPr>
                <w:rFonts w:ascii="Times New Roman" w:eastAsia="Times New Roman" w:hAnsi="Times New Roman" w:cs="Times New Roman"/>
                <w:noProof/>
                <w:kern w:val="0"/>
                <w:lang w:val="ru-RU"/>
                <w14:ligatures w14:val="none"/>
              </w:rPr>
              <w:t>XXXXXX</w:t>
            </w:r>
          </w:p>
        </w:tc>
      </w:tr>
      <w:tr w:rsidR="00E65C71" w:rsidRPr="00E65C71" w14:paraId="29BC3556" w14:textId="77777777" w:rsidTr="006E76C5">
        <w:tc>
          <w:tcPr>
            <w:tcW w:w="9322" w:type="dxa"/>
          </w:tcPr>
          <w:p w14:paraId="1F7A1674"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szCs w:val="20"/>
                <w:lang w:val="ru-RU"/>
                <w14:ligatures w14:val="none"/>
              </w:rPr>
              <w:t>Название исследуемого препарата</w:t>
            </w:r>
            <w:r w:rsidRPr="00E65C71">
              <w:rPr>
                <w:rFonts w:ascii="Times New Roman" w:eastAsia="Times New Roman" w:hAnsi="Times New Roman" w:cs="Times New Roman"/>
                <w:b/>
                <w:kern w:val="0"/>
                <w:lang w:val="ru-RU"/>
                <w14:ligatures w14:val="none"/>
              </w:rPr>
              <w:t xml:space="preserve">: </w:t>
            </w:r>
            <w:r w:rsidRPr="00E65C71">
              <w:rPr>
                <w:rFonts w:ascii="Times New Roman" w:eastAsia="Times New Roman" w:hAnsi="Times New Roman" w:cs="Times New Roman"/>
                <w:noProof/>
                <w:kern w:val="0"/>
                <w:lang w:val="ru-RU"/>
                <w14:ligatures w14:val="none"/>
              </w:rPr>
              <w:t>Висмодегиб</w:t>
            </w:r>
          </w:p>
        </w:tc>
      </w:tr>
      <w:tr w:rsidR="00E65C71" w:rsidRPr="00E65C71" w14:paraId="05A3BCBB" w14:textId="77777777" w:rsidTr="006E76C5">
        <w:tc>
          <w:tcPr>
            <w:tcW w:w="9322" w:type="dxa"/>
          </w:tcPr>
          <w:p w14:paraId="3456EBE0"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t xml:space="preserve">Действующее вещество: </w:t>
            </w:r>
            <w:r w:rsidRPr="00E65C71">
              <w:rPr>
                <w:rFonts w:ascii="Times New Roman" w:eastAsia="Times New Roman" w:hAnsi="Times New Roman" w:cs="Times New Roman"/>
                <w:noProof/>
                <w:kern w:val="0"/>
                <w:lang w:val="ru-RU"/>
                <w14:ligatures w14:val="none"/>
              </w:rPr>
              <w:t>висмодегиб</w:t>
            </w:r>
          </w:p>
        </w:tc>
      </w:tr>
      <w:tr w:rsidR="00E65C71" w:rsidRPr="008615AD" w14:paraId="5607C240" w14:textId="77777777" w:rsidTr="006E76C5">
        <w:tc>
          <w:tcPr>
            <w:tcW w:w="9322" w:type="dxa"/>
          </w:tcPr>
          <w:p w14:paraId="758C08EE"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 xml:space="preserve">Название исследования: </w:t>
            </w:r>
          </w:p>
          <w:p w14:paraId="183F78BE" w14:textId="4A7C85D1" w:rsidR="00E65C71" w:rsidRPr="00E65C71" w:rsidRDefault="00E65C71" w:rsidP="00E65C71">
            <w:pPr>
              <w:spacing w:before="120" w:after="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szCs w:val="20"/>
                <w:lang w:val="ru-RU"/>
                <w14:ligatures w14:val="none"/>
              </w:rPr>
              <w:t>Открытое рандомизированное двухэтапное в параллельных группах адаптивное исследование сравнительной фармакокинетики и биоэквивалентности препаратов Висмодегиб, капсулы 150 мг (</w:t>
            </w:r>
            <w:r w:rsidR="006E76C5">
              <w:rPr>
                <w:rFonts w:ascii="Times New Roman" w:eastAsia="Times New Roman" w:hAnsi="Times New Roman" w:cs="Times New Roman"/>
                <w:kern w:val="0"/>
                <w:szCs w:val="20"/>
                <w:lang w:val="ru-RU"/>
                <w14:ligatures w14:val="none"/>
              </w:rPr>
              <w:t>XXXXXX</w:t>
            </w:r>
            <w:r w:rsidRPr="00E65C71">
              <w:rPr>
                <w:rFonts w:ascii="Times New Roman" w:eastAsia="Times New Roman" w:hAnsi="Times New Roman" w:cs="Times New Roman"/>
                <w:kern w:val="0"/>
                <w:szCs w:val="20"/>
                <w:lang w:val="ru-RU"/>
                <w14:ligatures w14:val="none"/>
              </w:rPr>
              <w:t>, Россия) и Эриведж</w:t>
            </w:r>
            <w:r w:rsidRPr="00E65C71">
              <w:rPr>
                <w:rFonts w:ascii="Times New Roman" w:eastAsia="Times New Roman" w:hAnsi="Times New Roman" w:cs="Times New Roman"/>
                <w:kern w:val="0"/>
                <w:szCs w:val="20"/>
                <w:vertAlign w:val="superscript"/>
                <w:lang w:val="ru-RU"/>
                <w14:ligatures w14:val="none"/>
              </w:rPr>
              <w:t>®</w:t>
            </w:r>
            <w:r w:rsidRPr="00E65C71">
              <w:rPr>
                <w:rFonts w:ascii="Times New Roman" w:eastAsia="Times New Roman" w:hAnsi="Times New Roman" w:cs="Times New Roman"/>
                <w:kern w:val="0"/>
                <w:szCs w:val="20"/>
                <w:lang w:val="ru-RU"/>
                <w14:ligatures w14:val="none"/>
              </w:rPr>
              <w:t>, капсулы 150 мг (Ф. Хоффман-Ля Рош Лтд., Швейцария) у здоровых добровольцев женского пола натощак.</w:t>
            </w:r>
          </w:p>
        </w:tc>
      </w:tr>
      <w:tr w:rsidR="00E65C71" w:rsidRPr="00E65C71" w14:paraId="4D3FECA7" w14:textId="77777777" w:rsidTr="006E76C5">
        <w:tc>
          <w:tcPr>
            <w:tcW w:w="9322" w:type="dxa"/>
          </w:tcPr>
          <w:p w14:paraId="02B3F80E"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szCs w:val="20"/>
                <w:lang w:val="ru-RU"/>
                <w14:ligatures w14:val="none"/>
              </w:rPr>
            </w:pPr>
            <w:r w:rsidRPr="00E65C71">
              <w:rPr>
                <w:rFonts w:ascii="Times New Roman" w:eastAsia="Times New Roman" w:hAnsi="Times New Roman" w:cs="Times New Roman"/>
                <w:b/>
                <w:kern w:val="0"/>
                <w:lang w:val="ru-RU"/>
                <w14:ligatures w14:val="none"/>
              </w:rPr>
              <w:t xml:space="preserve">Номер исследования: </w:t>
            </w:r>
            <w:r w:rsidRPr="00E65C71">
              <w:rPr>
                <w:rFonts w:ascii="Times New Roman" w:eastAsia="Times New Roman" w:hAnsi="Times New Roman" w:cs="Times New Roman"/>
                <w:kern w:val="0"/>
                <w:szCs w:val="20"/>
                <w14:ligatures w14:val="none"/>
              </w:rPr>
              <w:t>ONC</w:t>
            </w:r>
            <w:r w:rsidRPr="00E65C71">
              <w:rPr>
                <w:rFonts w:ascii="Times New Roman" w:eastAsia="Times New Roman" w:hAnsi="Times New Roman" w:cs="Times New Roman"/>
                <w:kern w:val="0"/>
                <w:szCs w:val="20"/>
                <w:lang w:val="ru-RU"/>
                <w14:ligatures w14:val="none"/>
              </w:rPr>
              <w:t>-</w:t>
            </w:r>
            <w:r w:rsidRPr="00E65C71">
              <w:rPr>
                <w:rFonts w:ascii="Times New Roman" w:eastAsia="Times New Roman" w:hAnsi="Times New Roman" w:cs="Times New Roman"/>
                <w:kern w:val="0"/>
                <w:szCs w:val="20"/>
                <w14:ligatures w14:val="none"/>
              </w:rPr>
              <w:t>VIS</w:t>
            </w:r>
            <w:r w:rsidRPr="00E65C71">
              <w:rPr>
                <w:rFonts w:ascii="Times New Roman" w:eastAsia="Times New Roman" w:hAnsi="Times New Roman" w:cs="Times New Roman"/>
                <w:kern w:val="0"/>
                <w:szCs w:val="20"/>
                <w:lang w:val="ru-RU"/>
                <w14:ligatures w14:val="none"/>
              </w:rPr>
              <w:t>-01</w:t>
            </w:r>
          </w:p>
        </w:tc>
      </w:tr>
      <w:tr w:rsidR="00E65C71" w:rsidRPr="008615AD" w14:paraId="4D51809C" w14:textId="77777777" w:rsidTr="006E76C5">
        <w:trPr>
          <w:trHeight w:val="835"/>
        </w:trPr>
        <w:tc>
          <w:tcPr>
            <w:tcW w:w="9322" w:type="dxa"/>
          </w:tcPr>
          <w:p w14:paraId="2866AC05"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t>Фаза исследования:</w:t>
            </w:r>
            <w:r w:rsidRPr="00E65C71" w:rsidDel="00A849E8">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lang w:val="ru-RU"/>
                <w14:ligatures w14:val="none"/>
              </w:rPr>
              <w:t>Биоэквивалентность</w:t>
            </w:r>
          </w:p>
          <w:p w14:paraId="05E21523"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bCs/>
                <w:kern w:val="0"/>
                <w:szCs w:val="20"/>
                <w:lang w:val="ru-RU"/>
                <w14:ligatures w14:val="none"/>
              </w:rPr>
              <w:t xml:space="preserve">Исследовательские центры: </w:t>
            </w:r>
            <w:r w:rsidRPr="00E65C71">
              <w:rPr>
                <w:rFonts w:ascii="Times New Roman" w:eastAsia="Times New Roman" w:hAnsi="Times New Roman" w:cs="Times New Roman"/>
                <w:kern w:val="0"/>
                <w:szCs w:val="20"/>
                <w:lang w:val="ru-RU"/>
                <w14:ligatures w14:val="none"/>
              </w:rPr>
              <w:t>3 исследовательских центра в России</w:t>
            </w:r>
          </w:p>
        </w:tc>
      </w:tr>
      <w:tr w:rsidR="00E65C71" w:rsidRPr="008615AD" w14:paraId="48BFF199" w14:textId="77777777" w:rsidTr="006E76C5">
        <w:tc>
          <w:tcPr>
            <w:tcW w:w="9322" w:type="dxa"/>
          </w:tcPr>
          <w:p w14:paraId="4ABFB08C"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Cs/>
                <w:i/>
                <w:caps/>
                <w:kern w:val="32"/>
                <w:lang w:val="ru-RU"/>
                <w14:ligatures w14:val="none"/>
              </w:rPr>
            </w:pPr>
            <w:r w:rsidRPr="00E65C71">
              <w:rPr>
                <w:rFonts w:ascii="Times New Roman" w:eastAsia="Times New Roman" w:hAnsi="Times New Roman" w:cs="Times New Roman"/>
                <w:b/>
                <w:bCs/>
                <w:kern w:val="0"/>
                <w:lang w:val="ru-RU"/>
                <w14:ligatures w14:val="none"/>
              </w:rPr>
              <w:t>Цели исследования:</w:t>
            </w:r>
          </w:p>
          <w:p w14:paraId="36E4B677" w14:textId="77777777" w:rsidR="00E65C71" w:rsidRPr="00E65C71" w:rsidRDefault="00E65C71" w:rsidP="00E65C71">
            <w:pPr>
              <w:spacing w:before="120" w:after="0" w:line="240" w:lineRule="auto"/>
              <w:ind w:firstLine="425"/>
              <w:jc w:val="both"/>
              <w:rPr>
                <w:rFonts w:ascii="Times New Roman" w:eastAsia="Times New Roman" w:hAnsi="Times New Roman" w:cs="Times New Roman"/>
                <w:b/>
                <w:kern w:val="0"/>
                <w:szCs w:val="20"/>
                <w:lang w:val="ru-RU"/>
                <w14:ligatures w14:val="none"/>
              </w:rPr>
            </w:pPr>
            <w:r w:rsidRPr="00E65C71">
              <w:rPr>
                <w:rFonts w:ascii="Times New Roman" w:eastAsia="Times New Roman" w:hAnsi="Times New Roman" w:cs="Times New Roman"/>
                <w:b/>
                <w:kern w:val="0"/>
                <w:szCs w:val="20"/>
                <w:lang w:val="ru-RU"/>
                <w14:ligatures w14:val="none"/>
              </w:rPr>
              <w:t>Основная цель:</w:t>
            </w:r>
          </w:p>
          <w:p w14:paraId="7F38B144" w14:textId="2B3D1785" w:rsidR="00E65C71" w:rsidRPr="00E65C71" w:rsidRDefault="00E65C71" w:rsidP="00E65C71">
            <w:pPr>
              <w:numPr>
                <w:ilvl w:val="0"/>
                <w:numId w:val="3"/>
              </w:numPr>
              <w:spacing w:before="120" w:after="0" w:line="240" w:lineRule="auto"/>
              <w:ind w:left="851" w:hanging="425"/>
              <w:jc w:val="both"/>
              <w:rPr>
                <w:rFonts w:ascii="Times New Roman" w:eastAsia="Times New Roman" w:hAnsi="Times New Roman" w:cs="Times New Roman"/>
                <w:kern w:val="0"/>
                <w:szCs w:val="20"/>
                <w:lang w:val="ru-RU"/>
                <w14:ligatures w14:val="none"/>
              </w:rPr>
            </w:pPr>
            <w:r w:rsidRPr="00E65C71">
              <w:rPr>
                <w:rFonts w:ascii="Times New Roman" w:eastAsia="Times New Roman" w:hAnsi="Times New Roman" w:cs="Times New Roman"/>
                <w:kern w:val="0"/>
                <w:szCs w:val="20"/>
                <w:lang w:val="ru-RU"/>
                <w14:ligatures w14:val="none"/>
              </w:rPr>
              <w:t xml:space="preserve">Оценить биоэквивалентность препаратов </w:t>
            </w:r>
            <w:r w:rsidRPr="00E65C71">
              <w:rPr>
                <w:rFonts w:ascii="Times New Roman" w:eastAsia="Times New Roman" w:hAnsi="Times New Roman" w:cs="Times New Roman"/>
                <w:noProof/>
                <w:kern w:val="0"/>
                <w:lang w:val="ru-RU"/>
                <w14:ligatures w14:val="none"/>
              </w:rPr>
              <w:t xml:space="preserve">Висмодегиб </w:t>
            </w:r>
            <w:r w:rsidRPr="00E65C71">
              <w:rPr>
                <w:rFonts w:ascii="Times New Roman" w:eastAsia="Times New Roman" w:hAnsi="Times New Roman" w:cs="Times New Roman"/>
                <w:kern w:val="0"/>
                <w:szCs w:val="20"/>
                <w:lang w:val="ru-RU"/>
                <w14:ligatures w14:val="none"/>
              </w:rPr>
              <w:t>[</w:t>
            </w:r>
            <w:r w:rsidRPr="00E65C71">
              <w:rPr>
                <w:rFonts w:ascii="Times New Roman" w:eastAsia="Times New Roman" w:hAnsi="Times New Roman" w:cs="Times New Roman"/>
                <w:kern w:val="0"/>
                <w:szCs w:val="20"/>
                <w14:ligatures w14:val="none"/>
              </w:rPr>
              <w:t>T</w:t>
            </w:r>
            <w:r w:rsidRPr="00E65C71">
              <w:rPr>
                <w:rFonts w:ascii="Times New Roman" w:eastAsia="Times New Roman" w:hAnsi="Times New Roman" w:cs="Times New Roman"/>
                <w:kern w:val="0"/>
                <w:szCs w:val="20"/>
                <w:lang w:val="ru-RU"/>
                <w14:ligatures w14:val="none"/>
              </w:rPr>
              <w:t>], капсулы 150 мг (</w:t>
            </w:r>
            <w:r w:rsidR="006E76C5">
              <w:rPr>
                <w:rFonts w:ascii="Times New Roman" w:eastAsia="Times New Roman" w:hAnsi="Times New Roman" w:cs="Times New Roman"/>
                <w:kern w:val="0"/>
                <w:szCs w:val="20"/>
                <w:lang w:val="ru-RU"/>
                <w14:ligatures w14:val="none"/>
              </w:rPr>
              <w:t>XXXXXX</w:t>
            </w:r>
            <w:r w:rsidRPr="00E65C71">
              <w:rPr>
                <w:rFonts w:ascii="Times New Roman" w:eastAsia="Times New Roman" w:hAnsi="Times New Roman" w:cs="Times New Roman"/>
                <w:kern w:val="0"/>
                <w:szCs w:val="20"/>
                <w:lang w:val="ru-RU"/>
                <w14:ligatures w14:val="none"/>
              </w:rPr>
              <w:t>, Россия) и Эриведж</w:t>
            </w:r>
            <w:r w:rsidRPr="00E65C71">
              <w:rPr>
                <w:rFonts w:ascii="Times New Roman" w:eastAsia="Times New Roman" w:hAnsi="Times New Roman" w:cs="Times New Roman"/>
                <w:kern w:val="0"/>
                <w:szCs w:val="20"/>
                <w:vertAlign w:val="superscript"/>
                <w:lang w:val="ru-RU"/>
                <w14:ligatures w14:val="none"/>
              </w:rPr>
              <w:t xml:space="preserve">® </w:t>
            </w:r>
            <w:r w:rsidRPr="00E65C71">
              <w:rPr>
                <w:rFonts w:ascii="Times New Roman" w:eastAsia="Times New Roman" w:hAnsi="Times New Roman" w:cs="Times New Roman"/>
                <w:kern w:val="0"/>
                <w:szCs w:val="20"/>
                <w:lang w:val="ru-RU"/>
                <w14:ligatures w14:val="none"/>
              </w:rPr>
              <w:t>[</w:t>
            </w:r>
            <w:r w:rsidRPr="00E65C71">
              <w:rPr>
                <w:rFonts w:ascii="Times New Roman" w:eastAsia="Times New Roman" w:hAnsi="Times New Roman" w:cs="Times New Roman"/>
                <w:kern w:val="0"/>
                <w:szCs w:val="20"/>
                <w14:ligatures w14:val="none"/>
              </w:rPr>
              <w:t>R</w:t>
            </w:r>
            <w:r w:rsidRPr="00E65C71">
              <w:rPr>
                <w:rFonts w:ascii="Times New Roman" w:eastAsia="Times New Roman" w:hAnsi="Times New Roman" w:cs="Times New Roman"/>
                <w:kern w:val="0"/>
                <w:szCs w:val="20"/>
                <w:lang w:val="ru-RU"/>
                <w14:ligatures w14:val="none"/>
              </w:rPr>
              <w:t>], капсулы 150 мг («Ф. Хоффман-Ля Рош Лтд., Швейцария») после приема натощак у здоровых добровольцев женского пола.</w:t>
            </w:r>
          </w:p>
          <w:p w14:paraId="3CF58D31" w14:textId="77777777" w:rsidR="00E65C71" w:rsidRPr="00E65C71" w:rsidRDefault="00E65C71" w:rsidP="00E65C71">
            <w:pPr>
              <w:spacing w:before="120" w:after="0" w:line="240" w:lineRule="auto"/>
              <w:ind w:firstLine="425"/>
              <w:jc w:val="both"/>
              <w:rPr>
                <w:rFonts w:ascii="Times New Roman" w:eastAsia="Times New Roman" w:hAnsi="Times New Roman" w:cs="Times New Roman"/>
                <w:b/>
                <w:kern w:val="0"/>
                <w:szCs w:val="20"/>
                <w:lang w:val="ru-RU"/>
                <w14:ligatures w14:val="none"/>
              </w:rPr>
            </w:pPr>
            <w:r w:rsidRPr="00E65C71">
              <w:rPr>
                <w:rFonts w:ascii="Times New Roman" w:eastAsia="Times New Roman" w:hAnsi="Times New Roman" w:cs="Times New Roman"/>
                <w:b/>
                <w:kern w:val="0"/>
                <w:szCs w:val="20"/>
                <w:lang w:val="ru-RU"/>
                <w14:ligatures w14:val="none"/>
              </w:rPr>
              <w:t>Дополнительная цель:</w:t>
            </w:r>
          </w:p>
          <w:p w14:paraId="333664A6" w14:textId="048A41AA" w:rsidR="00E65C71" w:rsidRPr="00E65C71" w:rsidRDefault="00E65C71" w:rsidP="00E65C71">
            <w:pPr>
              <w:numPr>
                <w:ilvl w:val="0"/>
                <w:numId w:val="3"/>
              </w:numPr>
              <w:spacing w:before="120" w:after="0" w:line="240" w:lineRule="auto"/>
              <w:ind w:left="851" w:hanging="425"/>
              <w:jc w:val="both"/>
              <w:rPr>
                <w:rFonts w:ascii="Times New Roman" w:eastAsia="Times New Roman" w:hAnsi="Times New Roman" w:cs="Times New Roman"/>
                <w:noProof/>
                <w:kern w:val="0"/>
                <w:szCs w:val="20"/>
                <w:lang w:val="ru-RU"/>
                <w14:ligatures w14:val="none"/>
              </w:rPr>
            </w:pPr>
            <w:r w:rsidRPr="00E65C71">
              <w:rPr>
                <w:rFonts w:ascii="Times New Roman" w:eastAsia="Times New Roman" w:hAnsi="Times New Roman" w:cs="Times New Roman"/>
                <w:kern w:val="0"/>
                <w:szCs w:val="20"/>
                <w:lang w:val="ru-RU"/>
                <w14:ligatures w14:val="none"/>
              </w:rPr>
              <w:t>Оценить безопасность препарата Висмодегиб, капсулы 150 мг (</w:t>
            </w:r>
            <w:r w:rsidR="006E76C5">
              <w:rPr>
                <w:rFonts w:ascii="Times New Roman" w:eastAsia="Times New Roman" w:hAnsi="Times New Roman" w:cs="Times New Roman"/>
                <w:kern w:val="0"/>
                <w:szCs w:val="20"/>
                <w:lang w:val="ru-RU"/>
                <w14:ligatures w14:val="none"/>
              </w:rPr>
              <w:t>XXXXXX</w:t>
            </w:r>
            <w:r w:rsidRPr="00E65C71">
              <w:rPr>
                <w:rFonts w:ascii="Times New Roman" w:eastAsia="Times New Roman" w:hAnsi="Times New Roman" w:cs="Times New Roman"/>
                <w:kern w:val="0"/>
                <w:szCs w:val="20"/>
                <w:lang w:val="ru-RU"/>
                <w14:ligatures w14:val="none"/>
              </w:rPr>
              <w:t xml:space="preserve">, Россия) </w:t>
            </w:r>
            <w:r w:rsidRPr="00E65C71">
              <w:rPr>
                <w:rFonts w:ascii="Times New Roman" w:eastAsia="Times New Roman" w:hAnsi="Times New Roman" w:cs="Times New Roman"/>
                <w:iCs/>
                <w:kern w:val="0"/>
                <w:szCs w:val="20"/>
                <w:lang w:val="ru-RU"/>
                <w14:ligatures w14:val="none"/>
              </w:rPr>
              <w:t>после однократного применения</w:t>
            </w:r>
            <w:r w:rsidRPr="00E65C71">
              <w:rPr>
                <w:rFonts w:ascii="Times New Roman" w:eastAsia="Times New Roman" w:hAnsi="Times New Roman" w:cs="Times New Roman"/>
                <w:kern w:val="0"/>
                <w:szCs w:val="20"/>
                <w:lang w:val="ru-RU"/>
                <w14:ligatures w14:val="none"/>
              </w:rPr>
              <w:t xml:space="preserve"> у здоровых добровольцев женского пола.</w:t>
            </w:r>
          </w:p>
        </w:tc>
      </w:tr>
      <w:tr w:rsidR="00E65C71" w:rsidRPr="008615AD" w14:paraId="5285C37B" w14:textId="77777777" w:rsidTr="006E76C5">
        <w:tc>
          <w:tcPr>
            <w:tcW w:w="9322" w:type="dxa"/>
          </w:tcPr>
          <w:p w14:paraId="06A44464"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 xml:space="preserve">Обоснование: </w:t>
            </w:r>
          </w:p>
          <w:p w14:paraId="66E06094"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Базальноклеточная карцинома (БКК) – одно из наиболее распространенных онкологических заболеваний и наиболее часто встречающийся вид рака кожи, на ее долю приходятся приблизительно 80% немеланомных раков кожи, и в 2006 году на территории США заболеваемость БКК составила 2,1 млн. пациентов в год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_Ref108183469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а через менее чем 10 лет выросла до 2,8 млн. пациентов в год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_Ref108183499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2</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Частота заболеваемости БКК растет: за последние 20 лет заболеваемость БКК выросла на 77%, особенно часто БКК детектируется у женщин в возрастной группе моложе 40 лет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_Ref108183520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3</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Медиана общей выживаемости при БКК растет в последние годы с ростом доступности высокоэффективной терапии и в настоящее время составляет 7 лет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_Ref108183547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4</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w:t>
            </w:r>
          </w:p>
          <w:p w14:paraId="48E60D12"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Золотым стандартом терапии БКК до недавнего времени оставалось хирургическое удаление опухоли и/или радиотерапия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_Ref108183565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5</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r w:rsidRPr="00E65C71">
              <w:rPr>
                <w:rFonts w:ascii="Times New Roman" w:eastAsia="Times New Roman" w:hAnsi="Times New Roman" w:cs="Times New Roman"/>
                <w:kern w:val="0"/>
                <w:lang w:val="ru-RU"/>
                <w14:ligatures w14:val="none"/>
              </w:rPr>
              <w:t>. Эти терапевтические опции достаточно успешно применяются у значительной части пациентов, однако до 10% всех случаев БКК характеризуются агрессивным течением с тенденцией к рефрактерности к классическим видам терапии, для них характерно метастазирование и быстрый неконтролируемый переход на распространенные стадии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_Ref108183520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3</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_Ref108183601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6</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r w:rsidRPr="00E65C71">
              <w:rPr>
                <w:rFonts w:ascii="Times New Roman" w:eastAsia="Times New Roman" w:hAnsi="Times New Roman" w:cs="Times New Roman"/>
                <w:color w:val="212121"/>
                <w:kern w:val="0"/>
                <w:shd w:val="clear" w:color="auto" w:fill="FFFFFF"/>
                <w:lang w:val="ru-RU"/>
                <w14:ligatures w14:val="none"/>
              </w:rPr>
              <w:fldChar w:fldCharType="begin"/>
            </w:r>
            <w:r w:rsidRPr="00E65C71">
              <w:rPr>
                <w:rFonts w:ascii="Times New Roman" w:eastAsia="Times New Roman" w:hAnsi="Times New Roman" w:cs="Times New Roman"/>
                <w:color w:val="212121"/>
                <w:kern w:val="0"/>
                <w:shd w:val="clear" w:color="auto" w:fill="FFFFFF"/>
                <w:lang w:val="ru-RU"/>
                <w14:ligatures w14:val="none"/>
              </w:rPr>
              <w:instrText xml:space="preserve"> REF _Ref108183615 \n \h  \* MERGEFORMAT </w:instrText>
            </w:r>
            <w:r w:rsidRPr="00E65C71">
              <w:rPr>
                <w:rFonts w:ascii="Times New Roman" w:eastAsia="Times New Roman" w:hAnsi="Times New Roman" w:cs="Times New Roman"/>
                <w:color w:val="212121"/>
                <w:kern w:val="0"/>
                <w:shd w:val="clear" w:color="auto" w:fill="FFFFFF"/>
                <w:lang w:val="ru-RU"/>
                <w14:ligatures w14:val="none"/>
              </w:rPr>
            </w:r>
            <w:r w:rsidRPr="00E65C71">
              <w:rPr>
                <w:rFonts w:ascii="Times New Roman" w:eastAsia="Times New Roman" w:hAnsi="Times New Roman" w:cs="Times New Roman"/>
                <w:color w:val="212121"/>
                <w:kern w:val="0"/>
                <w:shd w:val="clear" w:color="auto" w:fill="FFFFFF"/>
                <w:lang w:val="ru-RU"/>
                <w14:ligatures w14:val="none"/>
              </w:rPr>
              <w:fldChar w:fldCharType="separate"/>
            </w:r>
            <w:r w:rsidRPr="00E65C71">
              <w:rPr>
                <w:rFonts w:ascii="Times New Roman" w:eastAsia="Times New Roman" w:hAnsi="Times New Roman" w:cs="Times New Roman"/>
                <w:color w:val="212121"/>
                <w:kern w:val="0"/>
                <w:shd w:val="clear" w:color="auto" w:fill="FFFFFF"/>
                <w:lang w:val="ru-RU"/>
                <w14:ligatures w14:val="none"/>
              </w:rPr>
              <w:t>7</w:t>
            </w:r>
            <w:r w:rsidRPr="00E65C71">
              <w:rPr>
                <w:rFonts w:ascii="Times New Roman" w:eastAsia="Times New Roman" w:hAnsi="Times New Roman" w:cs="Times New Roman"/>
                <w:color w:val="212121"/>
                <w:kern w:val="0"/>
                <w:shd w:val="clear" w:color="auto" w:fill="FFFFFF"/>
                <w:lang w:val="ru-RU"/>
                <w14:ligatures w14:val="none"/>
              </w:rPr>
              <w:fldChar w:fldCharType="end"/>
            </w:r>
            <w:r w:rsidRPr="00E65C71">
              <w:rPr>
                <w:rFonts w:ascii="Times New Roman" w:eastAsia="Times New Roman" w:hAnsi="Times New Roman" w:cs="Times New Roman"/>
                <w:kern w:val="0"/>
                <w:lang w:val="ru-RU"/>
                <w14:ligatures w14:val="none"/>
              </w:rPr>
              <w:t xml:space="preserve">]. Для лечения подобных типов БКК </w:t>
            </w:r>
            <w:r w:rsidRPr="00E65C71">
              <w:rPr>
                <w:rFonts w:ascii="Times New Roman" w:eastAsia="Times New Roman" w:hAnsi="Times New Roman" w:cs="Times New Roman"/>
                <w:kern w:val="0"/>
                <w:lang w:val="ru-RU"/>
                <w14:ligatures w14:val="none"/>
              </w:rPr>
              <w:lastRenderedPageBreak/>
              <w:t>оптимальный выбор представляет системная терапия, хотя традиционная химиотерапия показала низкую эффективность при БКК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_Ref108183652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8</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r w:rsidRPr="00E65C71">
              <w:rPr>
                <w:rFonts w:ascii="Times New Roman" w:eastAsia="Times New Roman" w:hAnsi="Times New Roman" w:cs="Times New Roman"/>
                <w:kern w:val="0"/>
                <w:lang w:val="ru-RU"/>
                <w14:ligatures w14:val="none"/>
              </w:rPr>
              <w:t xml:space="preserve">. Изучение патогенеза БКК привело к открытию роли патологического сигнального пути Хеджхог в развитии опухоли: </w:t>
            </w:r>
            <w:r w:rsidRPr="00E65C71">
              <w:rPr>
                <w:rFonts w:ascii="Times New Roman" w:eastAsia="Times New Roman" w:hAnsi="Times New Roman" w:cs="Times New Roman"/>
                <w:kern w:val="0"/>
                <w14:ligatures w14:val="none"/>
              </w:rPr>
              <w:t>Hh</w:t>
            </w:r>
            <w:r w:rsidRPr="00E65C71">
              <w:rPr>
                <w:rFonts w:ascii="Times New Roman" w:eastAsia="Times New Roman" w:hAnsi="Times New Roman" w:cs="Times New Roman"/>
                <w:kern w:val="0"/>
                <w:lang w:val="ru-RU"/>
                <w14:ligatures w14:val="none"/>
              </w:rPr>
              <w:t xml:space="preserve">-лиганд, связывающий трансмембранный рецептор РТСН1, тем самым снимает ингибирующее действие рецептора РТСН1 на белок </w:t>
            </w:r>
            <w:r w:rsidRPr="00E65C71">
              <w:rPr>
                <w:rFonts w:ascii="Times New Roman" w:eastAsia="Times New Roman" w:hAnsi="Times New Roman" w:cs="Times New Roman"/>
                <w:kern w:val="0"/>
                <w14:ligatures w14:val="none"/>
              </w:rPr>
              <w:t>Smoothened</w:t>
            </w:r>
            <w:r w:rsidRPr="00E65C71">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14:ligatures w14:val="none"/>
              </w:rPr>
              <w:t>SMO</w:t>
            </w:r>
            <w:r w:rsidRPr="00E65C71">
              <w:rPr>
                <w:rFonts w:ascii="Times New Roman" w:eastAsia="Times New Roman" w:hAnsi="Times New Roman" w:cs="Times New Roman"/>
                <w:kern w:val="0"/>
                <w:lang w:val="ru-RU"/>
                <w14:ligatures w14:val="none"/>
              </w:rPr>
              <w:t xml:space="preserve">). Когда ингибиция </w:t>
            </w:r>
            <w:r w:rsidRPr="00E65C71">
              <w:rPr>
                <w:rFonts w:ascii="Times New Roman" w:eastAsia="Times New Roman" w:hAnsi="Times New Roman" w:cs="Times New Roman"/>
                <w:kern w:val="0"/>
                <w14:ligatures w14:val="none"/>
              </w:rPr>
              <w:t>SMO</w:t>
            </w:r>
            <w:r w:rsidRPr="00E65C71">
              <w:rPr>
                <w:rFonts w:ascii="Times New Roman" w:eastAsia="Times New Roman" w:hAnsi="Times New Roman" w:cs="Times New Roman"/>
                <w:kern w:val="0"/>
                <w:lang w:val="ru-RU"/>
                <w14:ligatures w14:val="none"/>
              </w:rPr>
              <w:t xml:space="preserve"> не осуществляется, происходит активация таргетных генов, которые, влияя на процессы антиапоптоза, ангиогенеза и регуляции клеточного цикла, провоцируют онкогенез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_Ref108183672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9</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w:t>
            </w:r>
          </w:p>
          <w:p w14:paraId="3C903651"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color w:val="212121"/>
                <w:kern w:val="0"/>
                <w:shd w:val="clear" w:color="auto" w:fill="FFFFFF"/>
                <w:lang w:val="ru-RU"/>
                <w14:ligatures w14:val="none"/>
              </w:rPr>
            </w:pPr>
            <w:r w:rsidRPr="00E65C71">
              <w:rPr>
                <w:rFonts w:ascii="Times New Roman" w:eastAsia="Times New Roman" w:hAnsi="Times New Roman" w:cs="Times New Roman"/>
                <w:kern w:val="0"/>
                <w:lang w:val="ru-RU"/>
                <w14:ligatures w14:val="none"/>
              </w:rPr>
              <w:t>Висмодегиб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 первый в своем классе пероральный низкомолекулярный ингибитор сигнального пути Хеджхог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_Ref108183688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10</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r w:rsidRPr="00E65C71">
              <w:rPr>
                <w:rFonts w:ascii="Times New Roman" w:eastAsia="Times New Roman" w:hAnsi="Times New Roman" w:cs="Times New Roman"/>
                <w:kern w:val="0"/>
                <w:lang w:val="ru-RU"/>
                <w14:ligatures w14:val="none"/>
              </w:rPr>
              <w:t>, одобренный в США и ЕС для лечения метастатической или местно-распространенной БКК (МР-БКК) при нецелесообразности хирургической операции или радиотерапии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_Ref108183565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5</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r w:rsidRPr="00E65C71">
              <w:rPr>
                <w:rFonts w:ascii="Times New Roman" w:eastAsia="Times New Roman" w:hAnsi="Times New Roman" w:cs="Times New Roman"/>
                <w:kern w:val="0"/>
                <w:lang w:val="ru-RU"/>
                <w14:ligatures w14:val="none"/>
              </w:rPr>
              <w:t xml:space="preserve">. Эффективность висмодегиба показана в клиническом исследовании </w:t>
            </w:r>
            <w:r w:rsidRPr="00E65C71">
              <w:rPr>
                <w:rFonts w:ascii="Times New Roman" w:eastAsia="Times New Roman" w:hAnsi="Times New Roman" w:cs="Times New Roman"/>
                <w:kern w:val="0"/>
                <w14:ligatures w14:val="none"/>
              </w:rPr>
              <w:t>ERIVANCE</w:t>
            </w:r>
            <w:r w:rsidRPr="00E65C71">
              <w:rPr>
                <w:rFonts w:ascii="Times New Roman" w:eastAsia="Times New Roman" w:hAnsi="Times New Roman" w:cs="Times New Roman"/>
                <w:kern w:val="0"/>
                <w:lang w:val="ru-RU"/>
                <w14:ligatures w14:val="none"/>
              </w:rPr>
              <w:t xml:space="preserve"> с участием 104 пациентов с МР-БКК и метастатической БКК: на фоне применения висмодегиба у пациентов отмечался продолжительный ответ на терапию, ОЧО составила 42,9% для местно-распространенных форм и 30,3% для метастатических форм, что значительно выше показателя 20%, полученного при использовании химиотерапии по литературным данным. Через 30 месяцев показатели ОЧО были сравнимы. Продолжительность ответа при 30-месячном наблюдении составила 26,2 месяцев; медиана ОВ не была достигнута в когорте МР-БКК и составила 33,4 месяца в когорте метастатической БКК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_Ref108183734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11</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_Ref108183756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13</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 xml:space="preserve">]. </w:t>
            </w:r>
          </w:p>
          <w:p w14:paraId="0380A5E9"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color w:val="212121"/>
                <w:kern w:val="0"/>
                <w:shd w:val="clear" w:color="auto" w:fill="FFFFFF"/>
                <w:lang w:val="ru-RU"/>
                <w14:ligatures w14:val="none"/>
              </w:rPr>
              <w:t xml:space="preserve">В исследовании </w:t>
            </w:r>
            <w:r w:rsidRPr="00E65C71">
              <w:rPr>
                <w:rFonts w:ascii="Times New Roman" w:eastAsia="Times New Roman" w:hAnsi="Times New Roman" w:cs="Times New Roman"/>
                <w:kern w:val="0"/>
                <w14:ligatures w14:val="none"/>
              </w:rPr>
              <w:t>STEVIE</w:t>
            </w:r>
            <w:r w:rsidRPr="00E65C71">
              <w:rPr>
                <w:rFonts w:ascii="Times New Roman" w:eastAsia="Times New Roman" w:hAnsi="Times New Roman" w:cs="Times New Roman"/>
                <w:kern w:val="0"/>
                <w:lang w:val="ru-RU"/>
                <w14:ligatures w14:val="none"/>
              </w:rPr>
              <w:t xml:space="preserve"> приняли участие 1215 пациентов с распространенной БКК; на фоне висмодегиба был получен продолжительный контроль над опухолью: ОЧО по оценке исследователей составила 68,5% в группе МР-БКК и 36% при метастатической БКК; медиана длительности ответа составила 23 месяца и 13,9 месяцев, соответственно. Медиана БПВ составила 23,2 месяца и 13,1 месяцев в группах с МР-БКК и метастатической БКК, кроме того, было показано, что висмодегиб значимо улучшает качество жизни пациентов с БКК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_Ref108183798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14</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_Ref108183808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15</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color w:val="212121"/>
                <w:kern w:val="0"/>
                <w:shd w:val="clear" w:color="auto" w:fill="FFFFFF"/>
                <w:lang w:val="ru-RU"/>
                <w14:ligatures w14:val="none"/>
              </w:rPr>
              <w:t>].</w:t>
            </w:r>
          </w:p>
          <w:p w14:paraId="79697F02"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настоящее время оригинальный препарат висмодегиба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xml:space="preserve">) зарегистрирован и применяется во многих странах мира, в том числе Европе, США и России. </w:t>
            </w:r>
          </w:p>
          <w:p w14:paraId="5F3A65BD" w14:textId="4F04F04B" w:rsidR="00E65C71" w:rsidRPr="00E65C71" w:rsidRDefault="00E65C71" w:rsidP="00E65C71">
            <w:pPr>
              <w:spacing w:before="120" w:after="0" w:line="240" w:lineRule="auto"/>
              <w:ind w:firstLine="425"/>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Компания </w:t>
            </w:r>
            <w:r w:rsidR="008615AD">
              <w:rPr>
                <w:rFonts w:ascii="Times New Roman" w:eastAsia="Times New Roman" w:hAnsi="Times New Roman" w:cs="Times New Roman"/>
                <w:kern w:val="0"/>
                <w14:ligatures w14:val="none"/>
              </w:rPr>
              <w:t>XXXXX</w:t>
            </w:r>
            <w:r w:rsidRPr="00E65C71">
              <w:rPr>
                <w:rFonts w:ascii="Times New Roman" w:eastAsia="Times New Roman" w:hAnsi="Times New Roman" w:cs="Times New Roman"/>
                <w:kern w:val="0"/>
                <w:lang w:val="ru-RU"/>
                <w14:ligatures w14:val="none"/>
              </w:rPr>
              <w:t>, Россия ведет разработку нового лекарственного препарата Висмодегиб, капсулы 150 мг.</w:t>
            </w:r>
          </w:p>
          <w:p w14:paraId="5E5DE0CB" w14:textId="77777777" w:rsidR="00E65C71" w:rsidRPr="00E65C71" w:rsidRDefault="00E65C71" w:rsidP="00E65C71">
            <w:pPr>
              <w:spacing w:before="120" w:after="0" w:line="240" w:lineRule="auto"/>
              <w:ind w:firstLine="426"/>
              <w:jc w:val="both"/>
              <w:rPr>
                <w:rFonts w:ascii="Times New Roman" w:eastAsia="Times New Roman" w:hAnsi="Times New Roman" w:cs="Times New Roman"/>
                <w:noProof/>
                <w:kern w:val="0"/>
                <w:lang w:val="ru-RU"/>
                <w14:ligatures w14:val="none"/>
              </w:rPr>
            </w:pPr>
            <w:r w:rsidRPr="00E65C71">
              <w:rPr>
                <w:rFonts w:ascii="Times New Roman" w:eastAsia="Times New Roman" w:hAnsi="Times New Roman" w:cs="Times New Roman"/>
                <w:kern w:val="0"/>
                <w:lang w:val="ru-RU"/>
                <w14:ligatures w14:val="none"/>
              </w:rPr>
              <w:t>В рамках клинического исследования будет изучена биоэквивалентность препарата Висмодегиб в дозировке 150 мг и препарата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xml:space="preserve"> в дозировке 150 мг, а также оценена безопасность применения Висмодегиба</w:t>
            </w:r>
            <w:r w:rsidRPr="00E65C71">
              <w:rPr>
                <w:rFonts w:ascii="Times New Roman" w:eastAsia="Times New Roman" w:hAnsi="Times New Roman" w:cs="Times New Roman"/>
                <w:kern w:val="0"/>
                <w:sz w:val="16"/>
                <w:szCs w:val="16"/>
                <w:lang w:val="ru-RU"/>
                <w14:ligatures w14:val="none"/>
              </w:rPr>
              <w:t xml:space="preserve"> </w:t>
            </w:r>
            <w:r w:rsidRPr="00E65C71">
              <w:rPr>
                <w:rFonts w:ascii="Times New Roman" w:eastAsia="Times New Roman" w:hAnsi="Times New Roman" w:cs="Times New Roman"/>
                <w:kern w:val="0"/>
                <w:lang w:val="ru-RU"/>
                <w14:ligatures w14:val="none"/>
              </w:rPr>
              <w:t>у здоровых добровольцев женского пола без детородного потенциала.</w:t>
            </w:r>
          </w:p>
        </w:tc>
      </w:tr>
      <w:tr w:rsidR="00E65C71" w:rsidRPr="008615AD" w14:paraId="096D3200" w14:textId="77777777" w:rsidTr="006E76C5">
        <w:tc>
          <w:tcPr>
            <w:tcW w:w="9322" w:type="dxa"/>
          </w:tcPr>
          <w:p w14:paraId="70A9298F"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lastRenderedPageBreak/>
              <w:t>Дизайн исследования:</w:t>
            </w:r>
          </w:p>
          <w:p w14:paraId="24AC5806" w14:textId="418B8FBB"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eastAsia="ar-SA"/>
                <w14:ligatures w14:val="none"/>
              </w:rPr>
              <w:t xml:space="preserve">Открытое проспективное рандомизированное </w:t>
            </w:r>
            <w:r w:rsidRPr="00E65C71">
              <w:rPr>
                <w:rFonts w:ascii="Times New Roman" w:eastAsia="Times New Roman" w:hAnsi="Times New Roman" w:cs="Times New Roman"/>
                <w:kern w:val="0"/>
                <w:lang w:val="ru-RU"/>
                <w14:ligatures w14:val="none"/>
              </w:rPr>
              <w:t>двухэтапное в параллельных группах с приемом однократной дозы исследование сравнительной фармакокинетики (биоэквивалентности) препаратов Висмодегиб, капсулы 150 мг (</w:t>
            </w:r>
            <w:r w:rsidR="006E76C5">
              <w:rPr>
                <w:rFonts w:ascii="Times New Roman" w:eastAsia="Times New Roman" w:hAnsi="Times New Roman" w:cs="Times New Roman"/>
                <w:kern w:val="0"/>
                <w:lang w:val="ru-RU"/>
                <w14:ligatures w14:val="none"/>
              </w:rPr>
              <w:t>XXXXXX</w:t>
            </w:r>
            <w:r w:rsidRPr="00E65C71">
              <w:rPr>
                <w:rFonts w:ascii="Times New Roman" w:eastAsia="Times New Roman" w:hAnsi="Times New Roman" w:cs="Times New Roman"/>
                <w:kern w:val="0"/>
                <w:lang w:val="ru-RU"/>
                <w14:ligatures w14:val="none"/>
              </w:rPr>
              <w:t>, Россия) и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капсулы 150 мг (Ф. Хоффман-Ля Рош Лтд., Швейцария) натощак у здоровых добровольцев женского пола. Особое внимание будет также уделено оценке безопасности исследуемого препарата при однократном дозировании. В качестве референтного препарата выбран оригинальный препарат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xml:space="preserve">, капсулы 150 мг. Исследование будет проведено в 3 исследовательских центрах в России. </w:t>
            </w:r>
          </w:p>
          <w:p w14:paraId="02B9A870"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lastRenderedPageBreak/>
              <w:t>В исследование планируются к включению здоровые добровольцы исключительно женского пола без детородного потенциала. Выбор исследуемой популяции основывается на рекомендации ЕМА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_Ref108183840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16</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и в соответствии с данными производителей референтного препарата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согласно которым висмодегиб обладает тератогенным действием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_Ref108183871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17</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и потенциальным токсическим эффектом в отношении мужской фертильности, в связи с чем производитель оригинального препарата также проводил клинические исследования с участием здоровых добровольцев исключительно женского пола в менопаузе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_Ref108183891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18</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Отсутствие однозначных данных о выраженности влияния на мужскую фертильность, выраженный эмбриотоксический эффект и распределение препарата в семенную жидкость являются факторами, при которых поддержать благоприятное соотношение риск/польза для здоровых добровольцев мужского пола невозможно. </w:t>
            </w:r>
          </w:p>
          <w:p w14:paraId="277F8464"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Препарат характеризуется крайне длительным периодом полувыведения из плазмы крови: терминальный период полувыведения препарата составляет 12-13 дней (средний показатель в клинических исследованиях с участием здоровых добровольцев 286 часов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_Ref108183914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19</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по данным с внутривенным введением препарата – 13 дней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_Ref108183891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18</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что существенно выше регуляторной границы в 24 часа. Основываясь на рекомендациях </w:t>
            </w:r>
            <w:r w:rsidRPr="00E65C71">
              <w:rPr>
                <w:rFonts w:ascii="Times New Roman" w:eastAsia="Times New Roman" w:hAnsi="Times New Roman" w:cs="Times New Roman"/>
                <w:kern w:val="0"/>
                <w14:ligatures w14:val="none"/>
              </w:rPr>
              <w:t>EMA</w:t>
            </w:r>
            <w:r w:rsidRPr="00E65C71">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_Ref108183840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16</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xml:space="preserve">], для клинических исследований биоэквивалентности препаратов висмодегиба принят параллельный дизайн. </w:t>
            </w:r>
          </w:p>
          <w:p w14:paraId="6206B08B"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настоящем исследовании предполагается использование адаптивного дизайна по методике, разработанной Потвин, тип С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_Ref108184404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21</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в модификации для параллельного дизайна исследования биоэквивалентности [</w:t>
            </w:r>
            <w:r w:rsidRPr="00E65C71">
              <w:rPr>
                <w:rFonts w:ascii="Times New Roman" w:eastAsia="Times New Roman" w:hAnsi="Times New Roman" w:cs="Times New Roman"/>
                <w:kern w:val="0"/>
                <w:lang w:val="ru-RU"/>
                <w14:ligatures w14:val="none"/>
              </w:rPr>
              <w:fldChar w:fldCharType="begin"/>
            </w:r>
            <w:r w:rsidRPr="00E65C71">
              <w:rPr>
                <w:rFonts w:ascii="Times New Roman" w:eastAsia="Times New Roman" w:hAnsi="Times New Roman" w:cs="Times New Roman"/>
                <w:kern w:val="0"/>
                <w:lang w:val="ru-RU"/>
                <w14:ligatures w14:val="none"/>
              </w:rPr>
              <w:instrText xml:space="preserve"> REF _Ref118368768 \n \h  \* MERGEFORMAT </w:instrText>
            </w:r>
            <w:r w:rsidRPr="00E65C71">
              <w:rPr>
                <w:rFonts w:ascii="Times New Roman" w:eastAsia="Times New Roman" w:hAnsi="Times New Roman" w:cs="Times New Roman"/>
                <w:kern w:val="0"/>
                <w:lang w:val="ru-RU"/>
                <w14:ligatures w14:val="none"/>
              </w:rPr>
            </w:r>
            <w:r w:rsidRPr="00E65C71">
              <w:rPr>
                <w:rFonts w:ascii="Times New Roman" w:eastAsia="Times New Roman" w:hAnsi="Times New Roman" w:cs="Times New Roman"/>
                <w:kern w:val="0"/>
                <w:lang w:val="ru-RU"/>
                <w14:ligatures w14:val="none"/>
              </w:rPr>
              <w:fldChar w:fldCharType="separate"/>
            </w:r>
            <w:r w:rsidRPr="00E65C71">
              <w:rPr>
                <w:rFonts w:ascii="Times New Roman" w:eastAsia="Times New Roman" w:hAnsi="Times New Roman" w:cs="Times New Roman"/>
                <w:kern w:val="0"/>
                <w:lang w:val="ru-RU"/>
                <w14:ligatures w14:val="none"/>
              </w:rPr>
              <w:t>35</w:t>
            </w:r>
            <w:r w:rsidRPr="00E65C71">
              <w:rPr>
                <w:rFonts w:ascii="Times New Roman" w:eastAsia="Times New Roman" w:hAnsi="Times New Roman" w:cs="Times New Roman"/>
                <w:kern w:val="0"/>
                <w:lang w:val="ru-RU"/>
                <w14:ligatures w14:val="none"/>
              </w:rPr>
              <w:fldChar w:fldCharType="end"/>
            </w:r>
            <w:r w:rsidRPr="00E65C71">
              <w:rPr>
                <w:rFonts w:ascii="Times New Roman" w:eastAsia="Times New Roman" w:hAnsi="Times New Roman" w:cs="Times New Roman"/>
                <w:kern w:val="0"/>
                <w:lang w:val="ru-RU"/>
                <w14:ligatures w14:val="none"/>
              </w:rPr>
              <w:t>]. Протокол исследования предусматривает двухэтапный адаптивный дизайн c промежуточным статистическим анализом. Всего в исследовании будет не менее 1 и не более 2 этапов. На первом этапе в исследование будут включены 78 добровольцев женского пола без детородного потенциала. Необходимость проведения Этапа 2 и количество добровольцев, которые примут в нем участие, будут определены по завершении Этапа 1 согласно полученным данным о фармакокинетических параметрах препаратов Висмодегиб и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xml:space="preserve">. Исследование может быть остановлено по окончании Этапа 1, если будет достигнута желаемая мощность, принятая равной 80%, т.е. набранного количества добровольцев будет достаточно для итоговой оценки биоэквивалентности. </w:t>
            </w:r>
          </w:p>
          <w:p w14:paraId="35AFA887"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рамках одного этапа исследование включает следующие периоды: период скрининга, период приема исследуемого препарата и отбора образцов крови для анализа фармакокинетики  и период последующего наблюдения.</w:t>
            </w:r>
          </w:p>
          <w:p w14:paraId="2EE10954"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Длительность периода скрининга составит от 1 до 14 дней. Длительность периода приема исследуемого препарата и отбора образцов крови для анализа фармакокинетики  составит  5 дней, длительность периода последующего наблюдения не менее 7 дней после завершения периода приема исследуемого препарата. Общая продолжительность клинического исследования для одного добровольца (с учетом периода скрининга) составит не более 26 дней.</w:t>
            </w:r>
          </w:p>
          <w:p w14:paraId="0A2F9D88" w14:textId="77777777" w:rsidR="00E65C71" w:rsidRPr="00E65C71" w:rsidRDefault="00E65C71" w:rsidP="00E65C71">
            <w:pPr>
              <w:spacing w:before="120" w:after="0" w:line="240" w:lineRule="auto"/>
              <w:jc w:val="both"/>
              <w:rPr>
                <w:rFonts w:ascii="Times New Roman" w:eastAsia="Times New Roman" w:hAnsi="Times New Roman" w:cs="Times New Roman"/>
                <w:b/>
                <w:bCs/>
                <w:i/>
                <w:kern w:val="0"/>
                <w:lang w:val="ru-RU"/>
                <w14:ligatures w14:val="none"/>
              </w:rPr>
            </w:pPr>
            <w:r w:rsidRPr="00E65C71">
              <w:rPr>
                <w:rFonts w:ascii="Times New Roman" w:eastAsia="Times New Roman" w:hAnsi="Times New Roman" w:cs="Times New Roman"/>
                <w:b/>
                <w:bCs/>
                <w:i/>
                <w:kern w:val="0"/>
                <w:lang w:val="ru-RU"/>
                <w14:ligatures w14:val="none"/>
              </w:rPr>
              <w:t>Период скрининга</w:t>
            </w:r>
          </w:p>
          <w:p w14:paraId="5FBB1EDB"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На визите скрининга после подписания Информационного листка добровольца и формы информированного согласия добровольцы женского пола пройдут процедуры скрининга, включая сбор демографических данных и анамнеза, физикальный осмотр, измерение роста, массы тела, определение ИМТ, оценку жизненных показателей, электрокардиографию (ЭКГ), взятие биообразцов для серологического, клинического и </w:t>
            </w:r>
            <w:r w:rsidRPr="00E65C71">
              <w:rPr>
                <w:rFonts w:ascii="Times New Roman" w:eastAsia="Times New Roman" w:hAnsi="Times New Roman" w:cs="Times New Roman"/>
                <w:kern w:val="0"/>
                <w:lang w:val="ru-RU"/>
                <w14:ligatures w14:val="none"/>
              </w:rPr>
              <w:lastRenderedPageBreak/>
              <w:t>биохимического анализов крови, для определения уровня ФСГ, общего анализа мочи, тесты на алкоголь и наркотики, тест на беременность, экспресс тест на антиген вируса SARS-CoV-2, а также оценку нежелательных явлений (НЯ) и сопутствующей терапии.</w:t>
            </w:r>
          </w:p>
          <w:p w14:paraId="289B9718" w14:textId="77777777" w:rsidR="00E65C71" w:rsidRPr="00E65C71" w:rsidRDefault="00E65C71" w:rsidP="00E65C71">
            <w:pPr>
              <w:spacing w:before="120" w:after="0" w:line="240" w:lineRule="auto"/>
              <w:jc w:val="both"/>
              <w:rPr>
                <w:rFonts w:ascii="Times New Roman" w:eastAsia="Times New Roman" w:hAnsi="Times New Roman" w:cs="Times New Roman"/>
                <w:b/>
                <w:bCs/>
                <w:i/>
                <w:kern w:val="0"/>
                <w:lang w:val="ru-RU"/>
                <w14:ligatures w14:val="none"/>
              </w:rPr>
            </w:pPr>
          </w:p>
          <w:p w14:paraId="74003DE5" w14:textId="77777777" w:rsidR="00E65C71" w:rsidRPr="00E65C71" w:rsidRDefault="00E65C71" w:rsidP="00E65C71">
            <w:pPr>
              <w:spacing w:before="120" w:after="0" w:line="240" w:lineRule="auto"/>
              <w:jc w:val="both"/>
              <w:rPr>
                <w:rFonts w:ascii="Times New Roman" w:eastAsia="Times New Roman" w:hAnsi="Times New Roman" w:cs="Times New Roman"/>
                <w:b/>
                <w:i/>
                <w:kern w:val="0"/>
                <w:lang w:val="ru-RU"/>
                <w14:ligatures w14:val="none"/>
              </w:rPr>
            </w:pPr>
            <w:r w:rsidRPr="00E65C71">
              <w:rPr>
                <w:rFonts w:ascii="Times New Roman" w:eastAsia="Times New Roman" w:hAnsi="Times New Roman" w:cs="Times New Roman"/>
                <w:b/>
                <w:bCs/>
                <w:i/>
                <w:kern w:val="0"/>
                <w:lang w:val="ru-RU"/>
                <w14:ligatures w14:val="none"/>
              </w:rPr>
              <w:t>Период приема исследуемого препарата</w:t>
            </w:r>
          </w:p>
          <w:p w14:paraId="485373A6"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Добровольцы женского пола, удовлетворяющие критериям включения/невключения по результатам визита скрининга, будут приглашены в центр в День 0 для повторной оценки критериев включения/невключения, госпитализации, рандомизации и приема препарата (исследуемого или референтного).</w:t>
            </w:r>
          </w:p>
          <w:p w14:paraId="44889214"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На визите День 0 накануне дозирования будет проведена оценка жизненных показателей, физикальный осмотр, тесты на наркотики и алкоголь, тест на беременность, экспресс тест на антиген вируса SARS-CoV-2. В День 0 добровольцы будут рандомизированы в одну из двух групп в соотношении 1:1, и будет выдана карточка участника исследования.</w:t>
            </w:r>
          </w:p>
          <w:p w14:paraId="4658DCE3"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p>
          <w:tbl>
            <w:tblPr>
              <w:tblStyle w:val="TableGrid"/>
              <w:tblW w:w="5000" w:type="pct"/>
              <w:tblLook w:val="04A0" w:firstRow="1" w:lastRow="0" w:firstColumn="1" w:lastColumn="0" w:noHBand="0" w:noVBand="1"/>
            </w:tblPr>
            <w:tblGrid>
              <w:gridCol w:w="3318"/>
              <w:gridCol w:w="5778"/>
            </w:tblGrid>
            <w:tr w:rsidR="00E65C71" w:rsidRPr="00E65C71" w14:paraId="08D9C24D" w14:textId="77777777" w:rsidTr="00477CA9">
              <w:tc>
                <w:tcPr>
                  <w:tcW w:w="1824" w:type="pct"/>
                  <w:tcBorders>
                    <w:top w:val="single" w:sz="4" w:space="0" w:color="auto"/>
                    <w:left w:val="single" w:sz="4" w:space="0" w:color="auto"/>
                    <w:bottom w:val="single" w:sz="4" w:space="0" w:color="auto"/>
                    <w:right w:val="single" w:sz="4" w:space="0" w:color="auto"/>
                  </w:tcBorders>
                  <w:hideMark/>
                </w:tcPr>
                <w:p w14:paraId="5A1EBF37" w14:textId="77777777" w:rsidR="00E65C71" w:rsidRPr="00E65C71" w:rsidRDefault="00E65C71" w:rsidP="00E65C71">
                  <w:pPr>
                    <w:spacing w:before="120" w:after="120"/>
                    <w:ind w:firstLine="397"/>
                    <w:jc w:val="center"/>
                    <w:rPr>
                      <w:b/>
                      <w:bCs/>
                    </w:rPr>
                  </w:pPr>
                  <w:r w:rsidRPr="00E65C71">
                    <w:rPr>
                      <w:b/>
                      <w:bCs/>
                    </w:rPr>
                    <w:t>Этап I</w:t>
                  </w:r>
                </w:p>
              </w:tc>
              <w:tc>
                <w:tcPr>
                  <w:tcW w:w="3176" w:type="pct"/>
                  <w:tcBorders>
                    <w:top w:val="single" w:sz="4" w:space="0" w:color="auto"/>
                    <w:left w:val="single" w:sz="4" w:space="0" w:color="auto"/>
                    <w:bottom w:val="single" w:sz="4" w:space="0" w:color="auto"/>
                    <w:right w:val="single" w:sz="4" w:space="0" w:color="auto"/>
                  </w:tcBorders>
                  <w:hideMark/>
                </w:tcPr>
                <w:p w14:paraId="689A7725" w14:textId="77777777" w:rsidR="00E65C71" w:rsidRPr="00E65C71" w:rsidRDefault="00E65C71" w:rsidP="00E65C71">
                  <w:pPr>
                    <w:spacing w:before="120" w:after="120"/>
                    <w:ind w:firstLine="397"/>
                    <w:jc w:val="both"/>
                    <w:rPr>
                      <w:b/>
                      <w:bCs/>
                    </w:rPr>
                  </w:pPr>
                  <w:r w:rsidRPr="00E65C71">
                    <w:rPr>
                      <w:b/>
                      <w:bCs/>
                    </w:rPr>
                    <w:t xml:space="preserve">Период </w:t>
                  </w:r>
                  <w:r w:rsidRPr="00E65C71">
                    <w:rPr>
                      <w:b/>
                    </w:rPr>
                    <w:t>приема исследуемого препарата</w:t>
                  </w:r>
                </w:p>
              </w:tc>
            </w:tr>
            <w:tr w:rsidR="00E65C71" w:rsidRPr="008615AD" w14:paraId="5C53D910" w14:textId="77777777" w:rsidTr="00477CA9">
              <w:tc>
                <w:tcPr>
                  <w:tcW w:w="1824" w:type="pct"/>
                  <w:tcBorders>
                    <w:top w:val="single" w:sz="4" w:space="0" w:color="auto"/>
                    <w:left w:val="single" w:sz="4" w:space="0" w:color="auto"/>
                    <w:bottom w:val="single" w:sz="4" w:space="0" w:color="auto"/>
                    <w:right w:val="single" w:sz="4" w:space="0" w:color="auto"/>
                  </w:tcBorders>
                  <w:hideMark/>
                </w:tcPr>
                <w:p w14:paraId="24FFC11E" w14:textId="77777777" w:rsidR="00E65C71" w:rsidRPr="00E65C71" w:rsidRDefault="00E65C71" w:rsidP="00E65C71">
                  <w:pPr>
                    <w:spacing w:before="120" w:after="120"/>
                    <w:jc w:val="center"/>
                    <w:rPr>
                      <w:b/>
                    </w:rPr>
                  </w:pPr>
                  <w:r w:rsidRPr="00E65C71">
                    <w:rPr>
                      <w:b/>
                      <w:bCs/>
                    </w:rPr>
                    <w:t>Группа 1 (n=39)</w:t>
                  </w:r>
                </w:p>
              </w:tc>
              <w:tc>
                <w:tcPr>
                  <w:tcW w:w="3176" w:type="pct"/>
                  <w:tcBorders>
                    <w:top w:val="single" w:sz="4" w:space="0" w:color="auto"/>
                    <w:left w:val="single" w:sz="4" w:space="0" w:color="auto"/>
                    <w:bottom w:val="single" w:sz="4" w:space="0" w:color="auto"/>
                    <w:right w:val="single" w:sz="4" w:space="0" w:color="auto"/>
                  </w:tcBorders>
                  <w:hideMark/>
                </w:tcPr>
                <w:p w14:paraId="02A057C5" w14:textId="77777777" w:rsidR="00E65C71" w:rsidRPr="00E65C71" w:rsidRDefault="00E65C71" w:rsidP="00E65C71">
                  <w:pPr>
                    <w:spacing w:before="120" w:after="120"/>
                    <w:jc w:val="both"/>
                  </w:pPr>
                  <w:r w:rsidRPr="00E65C71">
                    <w:rPr>
                      <w:bCs/>
                    </w:rPr>
                    <w:t>Висмодегиб 1 капсула 150 мг однократно натощак [T]</w:t>
                  </w:r>
                </w:p>
              </w:tc>
            </w:tr>
            <w:tr w:rsidR="00E65C71" w:rsidRPr="008615AD" w14:paraId="4AF56DB2" w14:textId="77777777" w:rsidTr="00477CA9">
              <w:tc>
                <w:tcPr>
                  <w:tcW w:w="1824" w:type="pct"/>
                  <w:tcBorders>
                    <w:top w:val="single" w:sz="4" w:space="0" w:color="auto"/>
                    <w:left w:val="single" w:sz="4" w:space="0" w:color="auto"/>
                    <w:bottom w:val="single" w:sz="4" w:space="0" w:color="auto"/>
                    <w:right w:val="single" w:sz="4" w:space="0" w:color="auto"/>
                  </w:tcBorders>
                  <w:hideMark/>
                </w:tcPr>
                <w:p w14:paraId="17BB1302" w14:textId="77777777" w:rsidR="00E65C71" w:rsidRPr="00E65C71" w:rsidRDefault="00E65C71" w:rsidP="00E65C71">
                  <w:pPr>
                    <w:spacing w:before="120" w:after="120"/>
                    <w:jc w:val="center"/>
                    <w:rPr>
                      <w:b/>
                    </w:rPr>
                  </w:pPr>
                  <w:r w:rsidRPr="00E65C71">
                    <w:rPr>
                      <w:b/>
                      <w:bCs/>
                    </w:rPr>
                    <w:t>Группа 2 (n=39)</w:t>
                  </w:r>
                </w:p>
              </w:tc>
              <w:tc>
                <w:tcPr>
                  <w:tcW w:w="3176" w:type="pct"/>
                  <w:tcBorders>
                    <w:top w:val="single" w:sz="4" w:space="0" w:color="auto"/>
                    <w:left w:val="single" w:sz="4" w:space="0" w:color="auto"/>
                    <w:bottom w:val="single" w:sz="4" w:space="0" w:color="auto"/>
                    <w:right w:val="single" w:sz="4" w:space="0" w:color="auto"/>
                  </w:tcBorders>
                  <w:hideMark/>
                </w:tcPr>
                <w:p w14:paraId="7ED4F62F" w14:textId="77777777" w:rsidR="00E65C71" w:rsidRPr="00E65C71" w:rsidRDefault="00E65C71" w:rsidP="00E65C71">
                  <w:pPr>
                    <w:spacing w:before="120" w:after="120"/>
                    <w:jc w:val="both"/>
                  </w:pPr>
                  <w:r w:rsidRPr="00E65C71">
                    <w:t>Эриведж</w:t>
                  </w:r>
                  <w:r w:rsidRPr="00E65C71">
                    <w:rPr>
                      <w:vertAlign w:val="superscript"/>
                    </w:rPr>
                    <w:t>®</w:t>
                  </w:r>
                  <w:r w:rsidRPr="00E65C71">
                    <w:rPr>
                      <w:bCs/>
                    </w:rPr>
                    <w:t xml:space="preserve"> 1 капсула 150 мг однократно натощак [R]</w:t>
                  </w:r>
                </w:p>
              </w:tc>
            </w:tr>
          </w:tbl>
          <w:p w14:paraId="447E32FC"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День 1 добровольцы получат однократную дозу исследуемого препарата натощак (</w:t>
            </w:r>
            <w:r w:rsidRPr="00E65C71">
              <w:rPr>
                <w:rFonts w:ascii="Times New Roman" w:eastAsia="Times New Roman" w:hAnsi="Times New Roman" w:cs="Times New Roman"/>
                <w:kern w:val="0"/>
                <w:lang w:val="ru-RU" w:eastAsia="ar-SA"/>
                <w14:ligatures w14:val="none"/>
              </w:rPr>
              <w:t xml:space="preserve">после не менее, чем </w:t>
            </w:r>
            <w:r w:rsidRPr="00E65C71">
              <w:rPr>
                <w:rFonts w:ascii="Times New Roman" w:eastAsia="Times New Roman" w:hAnsi="Times New Roman" w:cs="Times New Roman"/>
                <w:kern w:val="0"/>
                <w:lang w:val="ru-RU"/>
                <w14:ligatures w14:val="none"/>
              </w:rPr>
              <w:t xml:space="preserve">8-часового </w:t>
            </w:r>
            <w:r w:rsidRPr="00E65C71">
              <w:rPr>
                <w:rFonts w:ascii="Times New Roman" w:eastAsia="Times New Roman" w:hAnsi="Times New Roman" w:cs="Times New Roman"/>
                <w:kern w:val="0"/>
                <w:lang w:val="ru-RU" w:eastAsia="ar-SA"/>
                <w14:ligatures w14:val="none"/>
              </w:rPr>
              <w:t>ночного</w:t>
            </w:r>
            <w:r w:rsidRPr="00E65C71">
              <w:rPr>
                <w:rFonts w:ascii="Times New Roman" w:eastAsia="Times New Roman" w:hAnsi="Times New Roman" w:cs="Times New Roman"/>
                <w:kern w:val="0"/>
                <w:lang w:val="ru-RU"/>
                <w14:ligatures w14:val="none"/>
              </w:rPr>
              <w:t xml:space="preserve"> голодания до приема препарата), запивая 200 мл негазированной воды. Добровольцы останутся в исследовательском центре как минимум на 72 часа после приема исследуемого препарата, общая продолжительность госпитализации в данном периоде составит 3,5 суток. </w:t>
            </w:r>
          </w:p>
          <w:p w14:paraId="3876C7E9"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День 1 для фармакокинетического анализа будет получена серия образцов крови до приема исследуемого препарата и через 15 минут, 30 минут, 1 час, 1,5 часа, 2 часа, 3 часа, 4 часа, 5 часов, 6 часов, 7 часов, 8 часов, 10 часов, 12 часов, 14 часов, 16 часов после приема исследуемого препарата.</w:t>
            </w:r>
          </w:p>
          <w:p w14:paraId="3FE011BB"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День 2, День 3 и День 4 будут взяты образцы крови для фармакокинетического анализа через 24 часа, 28 часов, 32 часа, 36 часов, 48 часов, 52 часа, 56 часов, 60 часов и 72 часа после приема препарата.</w:t>
            </w:r>
          </w:p>
          <w:p w14:paraId="121515D8"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Сбор данных о НЯ и сопутствующей терапии, а также оценка жизненных показателей будут проводиться во время госпитализации (через 6 часов, 12 часов, 24 часа, 48 часов и 72 часа после приема препарата). Для контроля параметров безопасности в День 4 (через 72 часа после приема препарата), кроме того, будут взяты образцы крови для клинического и биохимического анализов, образцы мочи для общего анализа, проведен физикальный осмотр.</w:t>
            </w:r>
          </w:p>
          <w:p w14:paraId="4DF3A9F4"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bCs/>
                <w:i/>
                <w:kern w:val="0"/>
                <w:lang w:val="ru-RU"/>
                <w14:ligatures w14:val="none"/>
              </w:rPr>
            </w:pPr>
            <w:r w:rsidRPr="00E65C71">
              <w:rPr>
                <w:rFonts w:ascii="Times New Roman" w:eastAsia="Times New Roman" w:hAnsi="Times New Roman" w:cs="Times New Roman"/>
                <w:b/>
                <w:bCs/>
                <w:i/>
                <w:kern w:val="0"/>
                <w:lang w:val="ru-RU"/>
                <w14:ligatures w14:val="none"/>
              </w:rPr>
              <w:t>Период последующего наблюдения</w:t>
            </w:r>
          </w:p>
          <w:p w14:paraId="17CBCF1C"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После завершения Периода приема исследуемого препарата состоится визит наблюдения в День 11 для оценки параметров безопасности. На визите </w:t>
            </w:r>
            <w:r w:rsidRPr="00E65C71">
              <w:rPr>
                <w:rFonts w:ascii="Times New Roman" w:eastAsia="Times New Roman" w:hAnsi="Times New Roman" w:cs="Times New Roman"/>
                <w:bCs/>
                <w:kern w:val="0"/>
                <w:lang w:val="ru-RU"/>
                <w14:ligatures w14:val="none"/>
              </w:rPr>
              <w:t xml:space="preserve">будет проведен сбор данных о НЯ и сопутствующей терапии, проведен отбор биообразцов для </w:t>
            </w:r>
            <w:r w:rsidRPr="00E65C71">
              <w:rPr>
                <w:rFonts w:ascii="Times New Roman" w:eastAsia="Times New Roman" w:hAnsi="Times New Roman" w:cs="Times New Roman"/>
                <w:bCs/>
                <w:kern w:val="0"/>
                <w:lang w:val="ru-RU"/>
                <w14:ligatures w14:val="none"/>
              </w:rPr>
              <w:lastRenderedPageBreak/>
              <w:t>клинического и биохимического анализов крови и общего анализа мочи</w:t>
            </w:r>
            <w:r w:rsidRPr="00E65C71">
              <w:rPr>
                <w:rFonts w:ascii="Times New Roman" w:eastAsia="Times New Roman" w:hAnsi="Times New Roman" w:cs="Times New Roman"/>
                <w:kern w:val="0"/>
                <w:lang w:val="ru-RU"/>
                <w14:ligatures w14:val="none"/>
              </w:rPr>
              <w:t xml:space="preserve">, выполнены тест на беременность, ЭКГ, физикальный осмотр, </w:t>
            </w:r>
            <w:r w:rsidRPr="00E65C71">
              <w:rPr>
                <w:rFonts w:ascii="Times New Roman" w:eastAsia="Times New Roman" w:hAnsi="Times New Roman" w:cs="Times New Roman"/>
                <w:bCs/>
                <w:kern w:val="0"/>
                <w:lang w:val="ru-RU"/>
                <w14:ligatures w14:val="none"/>
              </w:rPr>
              <w:t>оценка жизненных показателей</w:t>
            </w:r>
            <w:r w:rsidRPr="00E65C71">
              <w:rPr>
                <w:rFonts w:ascii="Times New Roman" w:eastAsia="Times New Roman" w:hAnsi="Times New Roman" w:cs="Times New Roman"/>
                <w:kern w:val="0"/>
                <w:lang w:val="ru-RU"/>
                <w14:ligatures w14:val="none"/>
              </w:rPr>
              <w:t xml:space="preserve">. </w:t>
            </w:r>
          </w:p>
          <w:p w14:paraId="00D51402"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 случае досрочного выведения добровольца из исследования будет проведен визит досрочного завершения в объеме процедур Визита наблюдения (День 11).</w:t>
            </w:r>
          </w:p>
        </w:tc>
      </w:tr>
      <w:tr w:rsidR="00E65C71" w:rsidRPr="008615AD" w14:paraId="21EF05C6" w14:textId="77777777" w:rsidTr="006E76C5">
        <w:trPr>
          <w:cantSplit/>
        </w:trPr>
        <w:tc>
          <w:tcPr>
            <w:tcW w:w="9322" w:type="dxa"/>
          </w:tcPr>
          <w:p w14:paraId="3D23CFFE"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lastRenderedPageBreak/>
              <w:t xml:space="preserve">Исследуемая популяция: </w:t>
            </w:r>
            <w:r w:rsidRPr="00E65C71">
              <w:rPr>
                <w:rFonts w:ascii="Times New Roman" w:eastAsia="Times New Roman" w:hAnsi="Times New Roman" w:cs="Times New Roman"/>
                <w:noProof/>
                <w:kern w:val="0"/>
                <w:lang w:val="ru-RU"/>
                <w14:ligatures w14:val="none"/>
              </w:rPr>
              <w:t xml:space="preserve">Здоровые добровольцы женского пола без детородного потенциала (в менопаузе, после гистерэктомии и/или </w:t>
            </w:r>
            <w:r w:rsidRPr="00E65C71">
              <w:rPr>
                <w:rFonts w:ascii="Times New Roman" w:eastAsia="Times New Roman" w:hAnsi="Times New Roman" w:cs="Times New Roman"/>
                <w:kern w:val="0"/>
                <w:lang w:val="ru-RU"/>
                <w14:ligatures w14:val="none"/>
              </w:rPr>
              <w:t>двусторонней овариэктомии</w:t>
            </w:r>
            <w:r w:rsidRPr="00E65C71">
              <w:rPr>
                <w:rFonts w:ascii="Times New Roman" w:eastAsia="Times New Roman" w:hAnsi="Times New Roman" w:cs="Times New Roman"/>
                <w:noProof/>
                <w:kern w:val="0"/>
                <w:lang w:val="ru-RU"/>
                <w14:ligatures w14:val="none"/>
              </w:rPr>
              <w:t xml:space="preserve"> или лигирования маточных труб) </w:t>
            </w:r>
            <w:r w:rsidRPr="00E65C71">
              <w:rPr>
                <w:rFonts w:ascii="Times New Roman" w:eastAsia="Arial Unicode MS" w:hAnsi="Times New Roman" w:cs="Times New Roman"/>
                <w:kern w:val="0"/>
                <w:lang w:val="ru-RU"/>
                <w14:ligatures w14:val="none"/>
              </w:rPr>
              <w:t>в возрасте 18 - 60 лет включительно, соответствующие всем требованиям критериев отбора.</w:t>
            </w:r>
          </w:p>
        </w:tc>
      </w:tr>
      <w:tr w:rsidR="00E65C71" w:rsidRPr="00E65C71" w14:paraId="6DE0F43E" w14:textId="77777777" w:rsidTr="006E76C5">
        <w:tc>
          <w:tcPr>
            <w:tcW w:w="9322" w:type="dxa"/>
          </w:tcPr>
          <w:p w14:paraId="69BD4B74" w14:textId="77777777" w:rsidR="00E65C71" w:rsidRPr="00E65C71" w:rsidRDefault="00E65C71" w:rsidP="00E65C71">
            <w:pPr>
              <w:spacing w:before="120" w:after="0" w:line="240" w:lineRule="auto"/>
              <w:ind w:firstLine="426"/>
              <w:jc w:val="both"/>
              <w:rPr>
                <w:rFonts w:ascii="Times New Roman" w:eastAsia="Times New Roman" w:hAnsi="Times New Roman" w:cs="Times New Roman"/>
                <w:noProof/>
                <w:kern w:val="0"/>
                <w:lang w:val="ru-RU"/>
                <w14:ligatures w14:val="none"/>
              </w:rPr>
            </w:pPr>
            <w:r w:rsidRPr="00E65C71">
              <w:rPr>
                <w:rFonts w:ascii="Times New Roman" w:eastAsia="Times New Roman" w:hAnsi="Times New Roman" w:cs="Times New Roman"/>
                <w:b/>
                <w:kern w:val="0"/>
                <w:lang w:val="ru-RU"/>
                <w14:ligatures w14:val="none"/>
              </w:rPr>
              <w:t>Критерии включения:</w:t>
            </w:r>
          </w:p>
          <w:p w14:paraId="1E0488C5"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Женщины в возрасте от 18 до 60 лет включительно на момент подписания Формы информированного согласия.</w:t>
            </w:r>
          </w:p>
          <w:p w14:paraId="2EFFA910"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Верифицированный диагноз «здоров» по данным стандартных клинических, лабораторных и инструментальных методов обследования.</w:t>
            </w:r>
          </w:p>
          <w:p w14:paraId="210586D5"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Отсутствие у женщины детородного потенциала, определяемое как:</w:t>
            </w:r>
          </w:p>
          <w:p w14:paraId="6C125FCF"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Возраст более 45 лет и отсутствие менструаций в течение не менее 2 лет</w:t>
            </w:r>
          </w:p>
          <w:p w14:paraId="17F27E84"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t>Или</w:t>
            </w:r>
            <w:r w:rsidRPr="00E65C71">
              <w:rPr>
                <w:rFonts w:ascii="Times New Roman" w:eastAsia="Times New Roman" w:hAnsi="Times New Roman" w:cs="Times New Roman"/>
                <w:kern w:val="0"/>
                <w:lang w:val="ru-RU"/>
                <w14:ligatures w14:val="none"/>
              </w:rPr>
              <w:t xml:space="preserve"> отсутствие менструаций в течение не менее 2 лет, сочетающееся с уровнем ФСГ в границах постменопаузального (выше 30 мМЕ/мл) на скрининге</w:t>
            </w:r>
          </w:p>
          <w:p w14:paraId="4CEC3A3C"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b/>
                <w:kern w:val="0"/>
                <w:lang w:val="ru-RU"/>
                <w14:ligatures w14:val="none"/>
              </w:rPr>
              <w:t>Или</w:t>
            </w:r>
            <w:r w:rsidRPr="00E65C71">
              <w:rPr>
                <w:rFonts w:ascii="Times New Roman" w:eastAsia="Times New Roman" w:hAnsi="Times New Roman" w:cs="Times New Roman"/>
                <w:kern w:val="0"/>
                <w:lang w:val="ru-RU"/>
                <w14:ligatures w14:val="none"/>
              </w:rPr>
              <w:t xml:space="preserve"> документально подтвержденная ранее проведенная хирургическая стерилизация (гистерэктомия и/или двусторонняя овариэктомия или лигирование маточных труб).</w:t>
            </w:r>
          </w:p>
          <w:p w14:paraId="1D82F70D"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Гемодинамические показатели: систолическое артериальное давление (САД) в пределах 100-130 мм рт. ст., диастолическое артериальное давление (ДАД) в пределах 60-90 мм рт. ст., частота сердечных сокращений (ЧСС) 60-90 уд/мин., частота дыхания (ЧД) 16-20 в минуту.</w:t>
            </w:r>
          </w:p>
          <w:p w14:paraId="444C6CBD"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Индекс массы тела от 18,5 до 30 кг/м</w:t>
            </w:r>
            <w:r w:rsidRPr="00E65C71">
              <w:rPr>
                <w:rFonts w:ascii="Times New Roman" w:eastAsia="Times New Roman" w:hAnsi="Times New Roman" w:cs="Times New Roman"/>
                <w:kern w:val="0"/>
                <w:vertAlign w:val="superscript"/>
                <w:lang w:val="ru-RU"/>
                <w14:ligatures w14:val="none"/>
              </w:rPr>
              <w:t xml:space="preserve">2 </w:t>
            </w:r>
            <w:r w:rsidRPr="00E65C71">
              <w:rPr>
                <w:rFonts w:ascii="Times New Roman" w:eastAsia="Times New Roman" w:hAnsi="Times New Roman" w:cs="Times New Roman"/>
                <w:kern w:val="0"/>
                <w:lang w:val="ru-RU"/>
                <w14:ligatures w14:val="none"/>
              </w:rPr>
              <w:t>при массе тела более 45 кг и не более 100 кг.</w:t>
            </w:r>
          </w:p>
          <w:p w14:paraId="42F45F48"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Отрицательный результат теста на беременность и отсутствие лактации.</w:t>
            </w:r>
          </w:p>
          <w:p w14:paraId="33F83814"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Отрицательный результат тестов на алкоголь и наркотики.</w:t>
            </w:r>
          </w:p>
          <w:p w14:paraId="548C38D2"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Отказ от приема алкоголя в течение 72 часов до начала каких-либо процедур скрининга и в течение всего исследования.</w:t>
            </w:r>
          </w:p>
          <w:p w14:paraId="226CBD29"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Отрицательные результаты анализов на вирус иммунодефицита человека (ВИЧ), сифилис, гепатит В (</w:t>
            </w:r>
            <w:r w:rsidRPr="00E65C71">
              <w:rPr>
                <w:rFonts w:ascii="Times New Roman" w:eastAsia="Times New Roman" w:hAnsi="Times New Roman" w:cs="Times New Roman"/>
                <w:kern w:val="0"/>
                <w14:ligatures w14:val="none"/>
              </w:rPr>
              <w:t>HbsAg</w:t>
            </w:r>
            <w:r w:rsidRPr="00E65C71">
              <w:rPr>
                <w:rFonts w:ascii="Times New Roman" w:eastAsia="Times New Roman" w:hAnsi="Times New Roman" w:cs="Times New Roman"/>
                <w:kern w:val="0"/>
                <w:lang w:val="ru-RU"/>
                <w14:ligatures w14:val="none"/>
              </w:rPr>
              <w:t>) и гепатит С (</w:t>
            </w:r>
            <w:r w:rsidRPr="00E65C71">
              <w:rPr>
                <w:rFonts w:ascii="Times New Roman" w:eastAsia="Times New Roman" w:hAnsi="Times New Roman" w:cs="Times New Roman"/>
                <w:kern w:val="0"/>
                <w14:ligatures w14:val="none"/>
              </w:rPr>
              <w:t>HCV</w:t>
            </w:r>
            <w:r w:rsidRPr="00E65C71">
              <w:rPr>
                <w:rFonts w:ascii="Times New Roman" w:eastAsia="Times New Roman" w:hAnsi="Times New Roman" w:cs="Times New Roman"/>
                <w:kern w:val="0"/>
                <w:lang w:val="ru-RU"/>
                <w14:ligatures w14:val="none"/>
              </w:rPr>
              <w:t>).</w:t>
            </w:r>
          </w:p>
          <w:p w14:paraId="40A1A4D0" w14:textId="77777777" w:rsidR="00E65C71" w:rsidRPr="00E65C71" w:rsidRDefault="00E65C71" w:rsidP="00E65C71">
            <w:pPr>
              <w:numPr>
                <w:ilvl w:val="0"/>
                <w:numId w:val="1"/>
              </w:numPr>
              <w:autoSpaceDE w:val="0"/>
              <w:autoSpaceDN w:val="0"/>
              <w:adjustRightInd w:val="0"/>
              <w:spacing w:after="120" w:line="264" w:lineRule="auto"/>
              <w:contextualSpacing/>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 xml:space="preserve">Отрицательный экспресс-тест на антиген </w:t>
            </w:r>
            <w:r w:rsidRPr="00E65C71">
              <w:rPr>
                <w:rFonts w:ascii="Times New Roman" w:eastAsia="Times New Roman" w:hAnsi="Times New Roman" w:cs="Times New Roman"/>
                <w:kern w:val="0"/>
                <w:lang w:eastAsia="ru-RU"/>
                <w14:ligatures w14:val="none"/>
              </w:rPr>
              <w:t>SARS</w:t>
            </w:r>
            <w:r w:rsidRPr="00E65C71">
              <w:rPr>
                <w:rFonts w:ascii="Times New Roman" w:eastAsia="Times New Roman" w:hAnsi="Times New Roman" w:cs="Times New Roman"/>
                <w:kern w:val="0"/>
                <w:lang w:val="ru-RU" w:eastAsia="ru-RU"/>
                <w14:ligatures w14:val="none"/>
              </w:rPr>
              <w:t>-</w:t>
            </w:r>
            <w:r w:rsidRPr="00E65C71">
              <w:rPr>
                <w:rFonts w:ascii="Times New Roman" w:eastAsia="Times New Roman" w:hAnsi="Times New Roman" w:cs="Times New Roman"/>
                <w:kern w:val="0"/>
                <w:lang w:eastAsia="ru-RU"/>
                <w14:ligatures w14:val="none"/>
              </w:rPr>
              <w:t>CoV</w:t>
            </w:r>
            <w:r w:rsidRPr="00E65C71">
              <w:rPr>
                <w:rFonts w:ascii="Times New Roman" w:eastAsia="Times New Roman" w:hAnsi="Times New Roman" w:cs="Times New Roman"/>
                <w:kern w:val="0"/>
                <w:lang w:val="ru-RU" w:eastAsia="ru-RU"/>
                <w14:ligatures w14:val="none"/>
              </w:rPr>
              <w:t>-2 на скрининге и рандомизации.</w:t>
            </w:r>
          </w:p>
          <w:p w14:paraId="143C8E04"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 xml:space="preserve">Согласие использовать адекватные методы контрацепции в течение всего исследования и </w:t>
            </w:r>
            <w:r w:rsidRPr="00E65C71">
              <w:rPr>
                <w:rFonts w:ascii="Times New Roman" w:eastAsia="Times New Roman" w:hAnsi="Times New Roman" w:cs="Times New Roman"/>
                <w:kern w:val="0"/>
                <w:lang w:val="ru-RU"/>
                <w14:ligatures w14:val="none"/>
              </w:rPr>
              <w:t>после приема однократной дозы исследуемого препарата</w:t>
            </w:r>
            <w:r w:rsidRPr="00E65C71" w:rsidDel="006B07F3">
              <w:rPr>
                <w:rFonts w:ascii="Times New Roman" w:eastAsia="Times New Roman" w:hAnsi="Times New Roman" w:cs="Times New Roman"/>
                <w:kern w:val="0"/>
                <w:lang w:val="ru-RU" w:eastAsia="ru-RU"/>
                <w14:ligatures w14:val="none"/>
              </w:rPr>
              <w:t xml:space="preserve"> </w:t>
            </w:r>
            <w:r w:rsidRPr="00E65C71">
              <w:rPr>
                <w:rFonts w:ascii="Times New Roman" w:eastAsia="Times New Roman" w:hAnsi="Times New Roman" w:cs="Times New Roman"/>
                <w:kern w:val="0"/>
                <w:lang w:val="ru-RU" w:eastAsia="ru-RU"/>
                <w14:ligatures w14:val="none"/>
              </w:rPr>
              <w:t xml:space="preserve">в течение 3 месяцев в том случае, если </w:t>
            </w:r>
            <w:r w:rsidRPr="00E65C71">
              <w:rPr>
                <w:rFonts w:ascii="Times New Roman" w:eastAsia="Times New Roman" w:hAnsi="Times New Roman" w:cs="Times New Roman"/>
                <w:kern w:val="0"/>
                <w:lang w:val="ru-RU"/>
                <w14:ligatures w14:val="none"/>
              </w:rPr>
              <w:t>отсутствие детородного потенциала не связано с ранее проведенной гистерэктомией и/или двусторонней овариэктомией</w:t>
            </w:r>
            <w:r w:rsidRPr="00E65C71">
              <w:rPr>
                <w:rFonts w:ascii="Times New Roman" w:eastAsia="Times New Roman" w:hAnsi="Times New Roman" w:cs="Times New Roman"/>
                <w:kern w:val="0"/>
                <w:lang w:val="ru-RU" w:eastAsia="ru-RU"/>
                <w14:ligatures w14:val="none"/>
              </w:rPr>
              <w:t>.</w:t>
            </w:r>
          </w:p>
          <w:p w14:paraId="7220E9BF"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lastRenderedPageBreak/>
              <w:t>Подписанная Форма информированного согласия на участие в исследовании.</w:t>
            </w:r>
          </w:p>
          <w:p w14:paraId="73B42A5C" w14:textId="77777777" w:rsidR="00E65C71" w:rsidRPr="00E65C71" w:rsidRDefault="00E65C71" w:rsidP="00E65C71">
            <w:pPr>
              <w:numPr>
                <w:ilvl w:val="0"/>
                <w:numId w:val="1"/>
              </w:numPr>
              <w:spacing w:before="120" w:after="120" w:line="240" w:lineRule="auto"/>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14:ligatures w14:val="none"/>
              </w:rPr>
              <w:t>Способность, по мнению врача-исследователя, следовать всем требованиям Протокола.</w:t>
            </w:r>
          </w:p>
          <w:p w14:paraId="61CA13DD"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p>
          <w:p w14:paraId="2068FCA6"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Критерии невключения:</w:t>
            </w:r>
          </w:p>
          <w:p w14:paraId="76B12D57"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Женщины, способные к деторождению (в том числе, нестерилизованные хирургическим путем и в периоде постменопаузы менее 2 лет);</w:t>
            </w:r>
          </w:p>
          <w:p w14:paraId="062555ED"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Добровольцы мужского пола.</w:t>
            </w:r>
          </w:p>
          <w:p w14:paraId="615E0730"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Любое заболевание сердечно-сосудистой, нервной, бронхолегочной, нейроэндокринной, опорно-двигательной системы, а также заболевания желудочно-кишечного тракта, печени, почек, крови.</w:t>
            </w:r>
          </w:p>
          <w:p w14:paraId="6F46AF13"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Значения стандартных лабораторных и инструментальных показателей, выходящие за границы нормы.</w:t>
            </w:r>
          </w:p>
          <w:p w14:paraId="05B768A9"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Рецидивирующие/хронические кровотечения в анамнезе.</w:t>
            </w:r>
          </w:p>
          <w:p w14:paraId="6836DF81"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Состояния с высоким риском развития кровотечений.</w:t>
            </w:r>
          </w:p>
          <w:p w14:paraId="1C2935FA"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Хирургические вмешательства на желудочно-кишечном тракте в анамнезе (за исключением аппендэктомии).</w:t>
            </w:r>
          </w:p>
          <w:p w14:paraId="740870B0"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Обширные хирургические вмешательства в анамнезе, за исключением гистерэктомии и/или двусторонней овариэктомии.</w:t>
            </w:r>
          </w:p>
          <w:p w14:paraId="02D80AF9"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Любые хирургические вмешательства менее, чем за 3 месяца до скрининга.</w:t>
            </w:r>
          </w:p>
          <w:p w14:paraId="3529AFD3" w14:textId="77777777" w:rsidR="00E65C71" w:rsidRPr="00E65C71" w:rsidRDefault="00E65C71" w:rsidP="00E65C71">
            <w:pPr>
              <w:numPr>
                <w:ilvl w:val="0"/>
                <w:numId w:val="4"/>
              </w:numPr>
              <w:spacing w:before="120" w:after="24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Регулярный прием лекарственных препаратов и/или биологически активных добавок, в том числе растительного происхождения,  менее чем за 4 недели до скрининга, за исключением заместительной гормональной терапии.</w:t>
            </w:r>
          </w:p>
          <w:p w14:paraId="1B4B026E"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Прием лекарственных препаратов менее чем за 2 месяца до скрининга:</w:t>
            </w:r>
          </w:p>
          <w:p w14:paraId="27A8F919"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оказывающих выраженное влияние на гемодинамику, функцию печени (например, барбитураты, омепразол, циметидин и т.д.)</w:t>
            </w:r>
          </w:p>
          <w:p w14:paraId="18690455"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сильных индукторов изофермента CYP3A4 (например, рифампицин, рифабутин, фенитоин, карбамазепин, зверобой продырявленный)</w:t>
            </w:r>
          </w:p>
          <w:p w14:paraId="0FD7F8F7"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ингибиторов изофермента CYP3A4 (например, ритонавир, итраконазол, эритромицин, кларитромицин).</w:t>
            </w:r>
          </w:p>
          <w:p w14:paraId="6B76C52A"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Применение пероральных контрацептивов менее чем за 2 месяца до скрининга. </w:t>
            </w:r>
          </w:p>
          <w:p w14:paraId="4676C741"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bidi="ru-RU"/>
                <w14:ligatures w14:val="none"/>
              </w:rPr>
              <w:t>Предыдущие вакцинации/иммунизации в течение 4 недель до скрининга и планируемая вакцинация в ходе исследования.</w:t>
            </w:r>
          </w:p>
          <w:p w14:paraId="55C6F123"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Употребление следующих напитков и продуктов питания:</w:t>
            </w:r>
          </w:p>
          <w:p w14:paraId="4C1DB477"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содержащих производные ксантина, оказывающих стимулирующее и/или метаболическое действие (шоколад, кофе, чай, газированные напитки, </w:t>
            </w:r>
            <w:r w:rsidRPr="00E65C71">
              <w:rPr>
                <w:rFonts w:ascii="Times New Roman" w:eastAsia="Times New Roman" w:hAnsi="Times New Roman" w:cs="Times New Roman"/>
                <w:kern w:val="0"/>
                <w:lang w:val="ru-RU"/>
                <w14:ligatures w14:val="none"/>
              </w:rPr>
              <w:lastRenderedPageBreak/>
              <w:t>содержащие кофеин (кола), энергетические напитки, содержащие таурин, экстракт гуараны и т.д.) за 72 ч до приема исследуемых препаратов</w:t>
            </w:r>
          </w:p>
          <w:p w14:paraId="2AA11086"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содержащих ингибиторы или индукторы ферментных систем организма и переносчиков органических киназ (грейпфрут, помело, зверобой продырявленный, клюква, любое мясо, приготовленное на огне) за 72 ч до приема исследуемых препаратов</w:t>
            </w:r>
          </w:p>
          <w:p w14:paraId="0003AF9D" w14:textId="77777777" w:rsidR="00E65C71" w:rsidRPr="00E65C71" w:rsidRDefault="00E65C71" w:rsidP="00E65C71">
            <w:pPr>
              <w:numPr>
                <w:ilvl w:val="0"/>
                <w:numId w:val="6"/>
              </w:numPr>
              <w:spacing w:before="120" w:after="120" w:line="240" w:lineRule="auto"/>
              <w:ind w:hanging="12"/>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содержащих природные лекарственные средства, биологически активные добавки, витамины (отвары/настои трав, ромашка, кошачий коготь, дягиль, энотера, клевер красный, чеснок, имбирь, гинкго, женьшень, шиповник, аралия и т.д.) за 7 дней до приема исследуемых препаратов.</w:t>
            </w:r>
          </w:p>
          <w:p w14:paraId="2874BFBA"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Прием в анамнезе более 10 ед. алкоголя в неделю</w:t>
            </w:r>
            <w:r w:rsidRPr="00E65C71">
              <w:rPr>
                <w:rFonts w:ascii="Times New Roman" w:eastAsia="Times New Roman" w:hAnsi="Times New Roman" w:cs="Times New Roman"/>
                <w:kern w:val="0"/>
                <w:vertAlign w:val="superscript"/>
                <w14:ligatures w14:val="none"/>
              </w:rPr>
              <w:footnoteReference w:id="1"/>
            </w:r>
            <w:r w:rsidRPr="00E65C71">
              <w:rPr>
                <w:rFonts w:ascii="Times New Roman" w:eastAsia="Times New Roman" w:hAnsi="Times New Roman" w:cs="Times New Roman"/>
                <w:kern w:val="0"/>
                <w:lang w:val="ru-RU"/>
                <w14:ligatures w14:val="none"/>
              </w:rPr>
              <w:t xml:space="preserve"> или анамнестические сведения об алкоголизме, наркомании, злоупотреблении лекарственными препаратами. </w:t>
            </w:r>
          </w:p>
          <w:p w14:paraId="21EC0410"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Курение и использование никотинзамещающих продуктов на момент проведения процедур скрининга и в ходе исследования.</w:t>
            </w:r>
          </w:p>
          <w:p w14:paraId="766491AB"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Отягощенный аллергологический анамнез, в том числе повышенная чувствительность к висмодегибу и другим компонентам, входящим в состав исследуемого препарата и референтного</w:t>
            </w:r>
            <w:r w:rsidRPr="00E65C71" w:rsidDel="00514EEE">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lang w:val="ru-RU"/>
                <w14:ligatures w14:val="none"/>
              </w:rPr>
              <w:t>препарата.</w:t>
            </w:r>
          </w:p>
          <w:p w14:paraId="0B3549FE"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Врожденная галактоземия, непереносимость лактозы, недостаточность лактазы, глюкозо-галактозная мальабсорбция.</w:t>
            </w:r>
          </w:p>
          <w:p w14:paraId="166450B2"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Донорство крови/плазмы (450 мл крови или плазмы и более) менее чем за 3 месяца до скрининга, планируемое донорство в ходе участия в исследовании и в течение 6 месяцев после его завершения.</w:t>
            </w:r>
          </w:p>
          <w:p w14:paraId="217871B7"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w:t>
            </w:r>
            <w:r w:rsidRPr="00E65C71">
              <w:rPr>
                <w:rFonts w:ascii="Times New Roman" w:eastAsia="Times New Roman" w:hAnsi="Times New Roman" w:cs="Times New Roman"/>
                <w:bCs/>
                <w:kern w:val="0"/>
                <w:lang w:val="ru-RU"/>
                <w14:ligatures w14:val="none"/>
              </w:rPr>
              <w:t>ысокая вероятность возникновения проблем с успешной установкой венозного катетера или с выполнением пункции вены на предплечье</w:t>
            </w:r>
            <w:r w:rsidRPr="00E65C71">
              <w:rPr>
                <w:rFonts w:ascii="Times New Roman" w:eastAsia="Times New Roman" w:hAnsi="Times New Roman" w:cs="Times New Roman"/>
                <w:kern w:val="0"/>
                <w:lang w:val="ru-RU"/>
                <w14:ligatures w14:val="none"/>
              </w:rPr>
              <w:t>.</w:t>
            </w:r>
          </w:p>
          <w:p w14:paraId="24AF4409"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Участие в других клинических исследованиях или прием исследуемых препаратов в течение 3 месяцев до скрининга.</w:t>
            </w:r>
          </w:p>
          <w:p w14:paraId="72D1DCD7"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Острые инфекционные заболевания менее чем за 4 недели до скрининга.</w:t>
            </w:r>
          </w:p>
          <w:p w14:paraId="7812208F"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Дегидратация из-за диареи, рвоты или другой причины в течение последних 24 ч до начала исследования.</w:t>
            </w:r>
          </w:p>
          <w:p w14:paraId="6A7802E9"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Беременные или кормящие женщины или женщины, планирующие беременность во время клинического исследования; </w:t>
            </w:r>
          </w:p>
          <w:p w14:paraId="19149351"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Неспособность читать или писать; нежелание понять и следовать процедурам протокола исследования; невыполнение процедур, которое, по мнению Исследователя, может повлиять на результаты исследования или безопасность добровольца и препятствовать дальнейшему участию добровольца в исследовании; любые другие сопутствующие медицинские или серьезные психические состояния, которые делают добровольца непригодным для участия в клиническом исследовании, ограничивают правомерность получения информированного согласия или могут повлиять на способность добровольца принять участие в исследовании.</w:t>
            </w:r>
          </w:p>
          <w:p w14:paraId="456448C4" w14:textId="77777777" w:rsidR="00E65C71" w:rsidRPr="00E65C71" w:rsidRDefault="00E65C71" w:rsidP="00E65C71">
            <w:pPr>
              <w:numPr>
                <w:ilvl w:val="0"/>
                <w:numId w:val="4"/>
              </w:numPr>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lastRenderedPageBreak/>
              <w:t>Наличие, по мнению Исследователя, значимого риска или противопоказания к применению препарата Эриведж</w:t>
            </w:r>
            <w:r w:rsidRPr="00E65C71">
              <w:rPr>
                <w:rFonts w:ascii="Times New Roman" w:eastAsia="Times New Roman" w:hAnsi="Times New Roman" w:cs="Times New Roman"/>
                <w:kern w:val="0"/>
                <w:vertAlign w:val="superscript"/>
                <w:lang w:val="ru-RU"/>
                <w14:ligatures w14:val="none"/>
              </w:rPr>
              <w:t>®</w:t>
            </w:r>
            <w:r w:rsidRPr="00E65C71">
              <w:rPr>
                <w:rFonts w:ascii="Times New Roman" w:eastAsia="Times New Roman" w:hAnsi="Times New Roman" w:cs="Times New Roman"/>
                <w:kern w:val="0"/>
                <w:lang w:val="ru-RU"/>
                <w14:ligatures w14:val="none"/>
              </w:rPr>
              <w:t>, согласно инструкции по применению данного препарата.</w:t>
            </w:r>
          </w:p>
          <w:p w14:paraId="334865D7"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Критерии исключения добровольца из исследования:</w:t>
            </w:r>
          </w:p>
          <w:p w14:paraId="7B77AC63"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Доброволец был включен в исследование с нарушением требований критериев включения/ невключения.</w:t>
            </w:r>
          </w:p>
          <w:p w14:paraId="391D5684"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Возникновение у добровольца в ходе исследования нежелательных и серьезных нежелательных явлений, когда продолжение участия добровольца в исследовании нежелательно или невозможно (по мнению Спонсора и/или Исследователя).</w:t>
            </w:r>
          </w:p>
          <w:p w14:paraId="358CC5DE"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Доброволец получает/нуждается в дополнительном лечении, которое может повлиять на фармакокинетику исследуемого/референтного препарата.</w:t>
            </w:r>
          </w:p>
          <w:p w14:paraId="748FAD29"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Несоблюдение добровольцем требований Протокола касательно ограничений в питании, режима дня и др.</w:t>
            </w:r>
          </w:p>
          <w:p w14:paraId="46F30417"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Несоблюдение добровольцем установленных требований Протокола, правил пребывания в исследовательском центре.</w:t>
            </w:r>
          </w:p>
          <w:p w14:paraId="73F0CC7B"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Доброволец имеет положительный тест на употребление наркотиков, психотропных лекарственных средств или алкоголя.</w:t>
            </w:r>
          </w:p>
          <w:p w14:paraId="77E17AA0"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Рвота или диарея, возникшие в течение 24 часов после приема исследуемого препарата/референтного препарата.</w:t>
            </w:r>
          </w:p>
          <w:p w14:paraId="202A345A"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Пропуск отбора 2-х и более образцов крови на ФК в течение всего периода исследования.</w:t>
            </w:r>
          </w:p>
          <w:p w14:paraId="0E272DA6"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Отказ добровольца от участия в исследовании.</w:t>
            </w:r>
          </w:p>
          <w:p w14:paraId="100F01B0"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Microsoft Sans Serif"/>
                <w:color w:val="000000"/>
                <w:kern w:val="0"/>
                <w:lang w:val="ru-RU" w:eastAsia="ru-RU" w:bidi="ru-RU"/>
                <w14:ligatures w14:val="none"/>
              </w:rPr>
              <w:t>Положительный тест на COVID-19.</w:t>
            </w:r>
          </w:p>
          <w:p w14:paraId="2AC0823F" w14:textId="77777777" w:rsidR="00E65C71" w:rsidRPr="00E65C71" w:rsidRDefault="00E65C71" w:rsidP="00E65C71">
            <w:pPr>
              <w:widowControl w:val="0"/>
              <w:numPr>
                <w:ilvl w:val="0"/>
                <w:numId w:val="5"/>
              </w:numPr>
              <w:spacing w:before="120" w:after="80" w:line="240" w:lineRule="auto"/>
              <w:jc w:val="both"/>
              <w:rPr>
                <w:rFonts w:ascii="Times New Roman" w:eastAsia="Microsoft Sans Serif" w:hAnsi="Times New Roman" w:cs="Times New Roman"/>
                <w:color w:val="000000"/>
                <w:kern w:val="0"/>
                <w:lang w:val="ru-RU" w:eastAsia="ru-RU" w:bidi="ru-RU"/>
                <w14:ligatures w14:val="none"/>
              </w:rPr>
            </w:pPr>
            <w:r w:rsidRPr="00E65C71">
              <w:rPr>
                <w:rFonts w:ascii="Times New Roman" w:eastAsia="Microsoft Sans Serif" w:hAnsi="Times New Roman" w:cs="Times New Roman"/>
                <w:color w:val="000000"/>
                <w:kern w:val="0"/>
                <w:lang w:val="ru-RU" w:eastAsia="ru-RU" w:bidi="ru-RU"/>
                <w14:ligatures w14:val="none"/>
              </w:rPr>
              <w:t>Возникновение беременности (положительный тест на беременность).</w:t>
            </w:r>
          </w:p>
          <w:p w14:paraId="36518567" w14:textId="77777777" w:rsidR="00E65C71" w:rsidRPr="00E65C71" w:rsidRDefault="00E65C71" w:rsidP="00E65C71">
            <w:pPr>
              <w:widowControl w:val="0"/>
              <w:spacing w:before="120" w:after="80" w:line="240" w:lineRule="auto"/>
              <w:ind w:left="720"/>
              <w:jc w:val="both"/>
              <w:rPr>
                <w:rFonts w:ascii="Times New Roman" w:eastAsia="Microsoft Sans Serif" w:hAnsi="Times New Roman" w:cs="Times New Roman"/>
                <w:color w:val="000000"/>
                <w:kern w:val="0"/>
                <w:lang w:val="ru-RU" w:eastAsia="ru-RU" w:bidi="ru-RU"/>
                <w14:ligatures w14:val="none"/>
              </w:rPr>
            </w:pPr>
          </w:p>
          <w:p w14:paraId="70778413"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Исследуемый препарат, дозы и способ введения:</w:t>
            </w:r>
          </w:p>
          <w:p w14:paraId="3412CDEE"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Исследуемый препарат [</w:t>
            </w:r>
            <w:r w:rsidRPr="00E65C71">
              <w:rPr>
                <w:rFonts w:ascii="Times New Roman" w:eastAsia="Times New Roman" w:hAnsi="Times New Roman" w:cs="Times New Roman"/>
                <w:b/>
                <w:kern w:val="0"/>
                <w14:ligatures w14:val="none"/>
              </w:rPr>
              <w:t>T</w:t>
            </w:r>
            <w:r w:rsidRPr="00E65C71">
              <w:rPr>
                <w:rFonts w:ascii="Times New Roman" w:eastAsia="Times New Roman" w:hAnsi="Times New Roman" w:cs="Times New Roman"/>
                <w:b/>
                <w:kern w:val="0"/>
                <w:lang w:val="ru-RU"/>
                <w14:ligatures w14:val="none"/>
              </w:rPr>
              <w:t>]</w:t>
            </w:r>
          </w:p>
          <w:p w14:paraId="5072F535"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Наименование: Висмодегиб</w:t>
            </w:r>
          </w:p>
          <w:p w14:paraId="406CC41A"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Референтный препарат, доза и способ применения:</w:t>
            </w:r>
          </w:p>
          <w:p w14:paraId="5E12A023" w14:textId="77777777" w:rsidR="00E65C71" w:rsidRPr="00E65C71" w:rsidRDefault="00E65C71" w:rsidP="00E65C71">
            <w:pPr>
              <w:widowControl w:val="0"/>
              <w:spacing w:after="120" w:line="240" w:lineRule="auto"/>
              <w:ind w:firstLine="425"/>
              <w:jc w:val="both"/>
              <w:rPr>
                <w:rFonts w:ascii="Times New Roman" w:eastAsia="Times New Roman" w:hAnsi="Times New Roman" w:cs="Times New Roman"/>
                <w:b/>
                <w:kern w:val="0"/>
                <w:szCs w:val="20"/>
                <w:lang w:val="ru-RU"/>
                <w14:ligatures w14:val="none"/>
              </w:rPr>
            </w:pPr>
            <w:r w:rsidRPr="00E65C71">
              <w:rPr>
                <w:rFonts w:ascii="Times New Roman" w:eastAsia="Times New Roman" w:hAnsi="Times New Roman" w:cs="Times New Roman"/>
                <w:b/>
                <w:kern w:val="0"/>
                <w:szCs w:val="20"/>
                <w:lang w:val="ru-RU"/>
                <w14:ligatures w14:val="none"/>
              </w:rPr>
              <w:t>Продолжительность исследования:</w:t>
            </w:r>
          </w:p>
          <w:p w14:paraId="0B963CC1"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Каждый доброволец будет принимать участие в исследовании приблизительно 26 дней, из которых период скрининга займет до 14 дней (День от -14 до -1), период приема исследуемого препарата и отбора образцов крови для анализа ФК – около 5 дней (от Дня 0 до Дня 4) и период последующего наблюдения – не менее 7 дней после завершения периода приема исследуемого препарата (День 5 – День 11). </w:t>
            </w:r>
          </w:p>
          <w:p w14:paraId="1DA56A05" w14:textId="77777777" w:rsidR="00E65C71" w:rsidRPr="00E65C71" w:rsidRDefault="00E65C71" w:rsidP="00E65C71">
            <w:pPr>
              <w:widowControl w:val="0"/>
              <w:spacing w:after="120" w:line="240" w:lineRule="auto"/>
              <w:ind w:firstLine="425"/>
              <w:jc w:val="both"/>
              <w:rPr>
                <w:rFonts w:ascii="Times New Roman" w:eastAsia="Times New Roman" w:hAnsi="Times New Roman" w:cs="Times New Roman"/>
                <w:b/>
                <w:kern w:val="0"/>
                <w:szCs w:val="20"/>
                <w:lang w:val="ru-RU"/>
                <w14:ligatures w14:val="none"/>
              </w:rPr>
            </w:pPr>
            <w:r w:rsidRPr="00E65C71">
              <w:rPr>
                <w:rFonts w:ascii="Times New Roman" w:eastAsia="Times New Roman" w:hAnsi="Times New Roman" w:cs="Times New Roman"/>
                <w:b/>
                <w:kern w:val="0"/>
                <w:szCs w:val="20"/>
                <w:lang w:val="ru-RU"/>
                <w14:ligatures w14:val="none"/>
              </w:rPr>
              <w:t>Критерии оценки</w:t>
            </w:r>
          </w:p>
        </w:tc>
      </w:tr>
      <w:tr w:rsidR="00E65C71" w:rsidRPr="008615AD" w14:paraId="70EB277A" w14:textId="77777777" w:rsidTr="006E76C5">
        <w:tc>
          <w:tcPr>
            <w:tcW w:w="9322" w:type="dxa"/>
          </w:tcPr>
          <w:p w14:paraId="6A06D1BA"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lastRenderedPageBreak/>
              <w:t xml:space="preserve">Конечные точки эффективности: </w:t>
            </w:r>
          </w:p>
          <w:p w14:paraId="22A8B94B"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lastRenderedPageBreak/>
              <w:t>В данном исследовании эффективность оцениваться не будет.</w:t>
            </w:r>
          </w:p>
          <w:p w14:paraId="3DD93B3A"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 xml:space="preserve">Фармакокинетика: </w:t>
            </w:r>
          </w:p>
          <w:p w14:paraId="51C1F6C3" w14:textId="77777777" w:rsidR="00E65C71" w:rsidRPr="00E65C71" w:rsidRDefault="00E65C71" w:rsidP="00E65C71">
            <w:pPr>
              <w:spacing w:before="120" w:after="120" w:line="240" w:lineRule="auto"/>
              <w:ind w:firstLine="397"/>
              <w:jc w:val="both"/>
              <w:rPr>
                <w:rFonts w:ascii="Times New Roman" w:eastAsia="MS Mincho"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В данном исследовании будет изучена фармакокинетика висмодегиба по данным исходного компонента. Для определения концентрации аналита </w:t>
            </w:r>
            <w:r w:rsidRPr="00E65C71">
              <w:rPr>
                <w:rFonts w:ascii="Times New Roman" w:eastAsia="MS Mincho" w:hAnsi="Times New Roman" w:cs="Times New Roman"/>
                <w:kern w:val="0"/>
                <w:lang w:val="ru-RU"/>
                <w14:ligatures w14:val="none"/>
              </w:rPr>
              <w:t xml:space="preserve">в плазме крови здоровых добровольцев будет применяться </w:t>
            </w:r>
            <w:r w:rsidRPr="00E65C71">
              <w:rPr>
                <w:rFonts w:ascii="Times New Roman" w:eastAsia="Times New Roman" w:hAnsi="Times New Roman" w:cs="Times New Roman"/>
                <w:kern w:val="0"/>
                <w:lang w:val="ru-RU"/>
                <w14:ligatures w14:val="none"/>
              </w:rPr>
              <w:t>метод</w:t>
            </w:r>
            <w:r w:rsidRPr="00E65C71">
              <w:rPr>
                <w:rFonts w:ascii="Times New Roman" w:eastAsia="MS Mincho" w:hAnsi="Times New Roman" w:cs="Times New Roman"/>
                <w:kern w:val="0"/>
                <w:lang w:val="ru-RU"/>
                <w14:ligatures w14:val="none"/>
              </w:rPr>
              <w:t xml:space="preserve"> высокоэффективной жидкостной хроматографии с тандемным масс-селективным детектированием (ВЭЖХ-МС/МС). </w:t>
            </w:r>
          </w:p>
          <w:p w14:paraId="192476C0"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Будут анализироваться следующие фармакокинетические параметры:</w:t>
            </w:r>
          </w:p>
          <w:p w14:paraId="26EC6A69"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14:ligatures w14:val="none"/>
              </w:rPr>
            </w:pPr>
            <w:r w:rsidRPr="00E65C71">
              <w:rPr>
                <w:rFonts w:ascii="Times New Roman" w:eastAsia="Times New Roman" w:hAnsi="Times New Roman" w:cs="Times New Roman"/>
                <w:b/>
                <w:kern w:val="0"/>
                <w14:ligatures w14:val="none"/>
              </w:rPr>
              <w:t>Первичные конечные точки:</w:t>
            </w:r>
          </w:p>
          <w:p w14:paraId="56BAFCA2" w14:textId="77777777" w:rsidR="00E65C71" w:rsidRPr="00E65C71" w:rsidRDefault="00E65C71" w:rsidP="00E65C71">
            <w:pPr>
              <w:numPr>
                <w:ilvl w:val="0"/>
                <w:numId w:val="2"/>
              </w:numPr>
              <w:spacing w:before="120" w:after="120" w:line="240" w:lineRule="auto"/>
              <w:jc w:val="both"/>
              <w:rPr>
                <w:rFonts w:ascii="Times New Roman" w:eastAsia="Calibri" w:hAnsi="Times New Roman" w:cs="Times New Roman"/>
                <w:kern w:val="0"/>
                <w:lang w:val="ru-RU"/>
                <w14:ligatures w14:val="none"/>
              </w:rPr>
            </w:pPr>
            <w:r w:rsidRPr="00E65C71">
              <w:rPr>
                <w:rFonts w:ascii="Times New Roman" w:eastAsia="Calibri" w:hAnsi="Times New Roman" w:cs="Times New Roman"/>
                <w:kern w:val="0"/>
                <w:lang w:val="ru-RU"/>
                <w14:ligatures w14:val="none"/>
              </w:rPr>
              <w:t xml:space="preserve">Площадь под кривой «концентрация-время» </w:t>
            </w:r>
          </w:p>
          <w:p w14:paraId="5E7ABF6C" w14:textId="77777777" w:rsidR="00E65C71" w:rsidRPr="00E65C71" w:rsidRDefault="00E65C71" w:rsidP="00E65C71">
            <w:pPr>
              <w:spacing w:after="120" w:line="240" w:lineRule="auto"/>
              <w:ind w:firstLine="397"/>
              <w:jc w:val="both"/>
              <w:rPr>
                <w:rFonts w:ascii="Times New Roman" w:eastAsia="Times New Roman" w:hAnsi="Times New Roman" w:cs="Times New Roman"/>
                <w:kern w:val="0"/>
                <w:sz w:val="20"/>
                <w:szCs w:val="20"/>
                <w:lang w:val="ru-RU"/>
                <w14:ligatures w14:val="none"/>
              </w:rPr>
            </w:pPr>
            <w:r w:rsidRPr="00E65C71">
              <w:rPr>
                <w:rFonts w:ascii="Times New Roman" w:eastAsia="Times New Roman" w:hAnsi="Times New Roman" w:cs="Times New Roman"/>
                <w:kern w:val="0"/>
                <w14:ligatures w14:val="none"/>
              </w:rPr>
              <w:t>AUC</w:t>
            </w:r>
            <w:r w:rsidRPr="00E65C71">
              <w:rPr>
                <w:rFonts w:ascii="Times New Roman" w:eastAsia="Times New Roman" w:hAnsi="Times New Roman" w:cs="Times New Roman"/>
                <w:kern w:val="0"/>
                <w:vertAlign w:val="subscript"/>
                <w:lang w:val="ru-RU"/>
                <w14:ligatures w14:val="none"/>
              </w:rPr>
              <w:t xml:space="preserve">0-72 </w:t>
            </w:r>
            <w:r w:rsidRPr="00E65C71">
              <w:rPr>
                <w:rFonts w:ascii="Times New Roman" w:eastAsia="Times New Roman" w:hAnsi="Times New Roman" w:cs="Times New Roman"/>
                <w:kern w:val="0"/>
                <w:lang w:val="ru-RU"/>
                <w14:ligatures w14:val="none"/>
              </w:rPr>
              <w:t>– в интервале времени от 0 до 72 часов после приема препарата (отбор последней пробы биоматериала). Концентрации ниже НПКО при расчетах будут учитываться как ноль. Последней расчетной точкой при расчете площади под кривой будет считаться точка 72 часа.</w:t>
            </w:r>
            <w:r w:rsidRPr="00E65C71">
              <w:rPr>
                <w:rFonts w:ascii="Times New Roman" w:eastAsia="Times New Roman" w:hAnsi="Times New Roman" w:cs="Times New Roman"/>
                <w:kern w:val="0"/>
                <w:sz w:val="20"/>
                <w:szCs w:val="20"/>
                <w:lang w:val="ru-RU"/>
                <w14:ligatures w14:val="none"/>
              </w:rPr>
              <w:t xml:space="preserve"> </w:t>
            </w:r>
          </w:p>
          <w:p w14:paraId="260E73A5" w14:textId="77777777" w:rsidR="00E65C71" w:rsidRPr="00E65C71" w:rsidRDefault="00E65C71" w:rsidP="00E65C71">
            <w:pPr>
              <w:numPr>
                <w:ilvl w:val="0"/>
                <w:numId w:val="2"/>
              </w:numPr>
              <w:autoSpaceDE w:val="0"/>
              <w:autoSpaceDN w:val="0"/>
              <w:adjustRightInd w:val="0"/>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Calibri" w:hAnsi="Times New Roman" w:cs="Times New Roman"/>
                <w:kern w:val="0"/>
                <w:lang w:val="ru-RU"/>
                <w14:ligatures w14:val="none"/>
              </w:rPr>
              <w:t>Максимальная концентрация (C</w:t>
            </w:r>
            <w:r w:rsidRPr="00E65C71">
              <w:rPr>
                <w:rFonts w:ascii="Times New Roman" w:eastAsia="Calibri" w:hAnsi="Times New Roman" w:cs="Times New Roman"/>
                <w:kern w:val="0"/>
                <w:vertAlign w:val="subscript"/>
                <w:lang w:val="ru-RU"/>
                <w14:ligatures w14:val="none"/>
              </w:rPr>
              <w:t>max</w:t>
            </w:r>
            <w:r w:rsidRPr="00E65C71">
              <w:rPr>
                <w:rFonts w:ascii="Times New Roman" w:eastAsia="Times New Roman" w:hAnsi="Times New Roman" w:cs="Times New Roman"/>
                <w:kern w:val="0"/>
                <w:lang w:val="ru-RU"/>
                <w14:ligatures w14:val="none"/>
              </w:rPr>
              <w:t>) - максимальная концентрация аналита в плазме крови добровольца за период наблюдения.</w:t>
            </w:r>
          </w:p>
          <w:p w14:paraId="13773984"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b/>
                <w:kern w:val="0"/>
                <w14:ligatures w14:val="none"/>
              </w:rPr>
            </w:pPr>
            <w:r w:rsidRPr="00E65C71">
              <w:rPr>
                <w:rFonts w:ascii="Times New Roman" w:eastAsia="Times New Roman" w:hAnsi="Times New Roman" w:cs="Times New Roman"/>
                <w:b/>
                <w:kern w:val="0"/>
                <w14:ligatures w14:val="none"/>
              </w:rPr>
              <w:t>Вторичные конечные точки:</w:t>
            </w:r>
          </w:p>
          <w:p w14:paraId="5FE635BF" w14:textId="77777777" w:rsidR="00E65C71" w:rsidRPr="00E65C71" w:rsidRDefault="00E65C71" w:rsidP="00E65C71">
            <w:pPr>
              <w:numPr>
                <w:ilvl w:val="0"/>
                <w:numId w:val="2"/>
              </w:numPr>
              <w:autoSpaceDE w:val="0"/>
              <w:autoSpaceDN w:val="0"/>
              <w:adjustRightInd w:val="0"/>
              <w:spacing w:before="120" w:after="120" w:line="240" w:lineRule="auto"/>
              <w:jc w:val="both"/>
              <w:rPr>
                <w:rFonts w:ascii="Times New Roman" w:eastAsia="Times New Roman" w:hAnsi="Times New Roman" w:cs="Times New Roman"/>
                <w:kern w:val="0"/>
                <w:lang w:val="ru-RU"/>
                <w14:ligatures w14:val="none"/>
              </w:rPr>
            </w:pPr>
            <w:r w:rsidRPr="00E65C71">
              <w:rPr>
                <w:rFonts w:ascii="Times New Roman" w:eastAsia="Calibri" w:hAnsi="Times New Roman" w:cs="Times New Roman"/>
                <w:kern w:val="0"/>
                <w:lang w:val="ru-RU"/>
                <w14:ligatures w14:val="none"/>
              </w:rPr>
              <w:t>Время достижения максимальной концентрации (T</w:t>
            </w:r>
            <w:r w:rsidRPr="00E65C71">
              <w:rPr>
                <w:rFonts w:ascii="Times New Roman" w:eastAsia="Calibri" w:hAnsi="Times New Roman" w:cs="Times New Roman"/>
                <w:kern w:val="0"/>
                <w:vertAlign w:val="subscript"/>
                <w:lang w:val="ru-RU"/>
                <w14:ligatures w14:val="none"/>
              </w:rPr>
              <w:t>max</w:t>
            </w:r>
            <w:r w:rsidRPr="00E65C71">
              <w:rPr>
                <w:rFonts w:ascii="Times New Roman" w:eastAsia="Calibri" w:hAnsi="Times New Roman" w:cs="Times New Roman"/>
                <w:kern w:val="0"/>
                <w:lang w:val="ru-RU"/>
                <w14:ligatures w14:val="none"/>
              </w:rPr>
              <w:t xml:space="preserve">). </w:t>
            </w:r>
            <w:r w:rsidRPr="00E65C71">
              <w:rPr>
                <w:rFonts w:ascii="Times New Roman" w:eastAsia="Times New Roman" w:hAnsi="Times New Roman" w:cs="Times New Roman"/>
                <w:kern w:val="0"/>
                <w:lang w:val="ru-RU"/>
                <w14:ligatures w14:val="none"/>
              </w:rPr>
              <w:t xml:space="preserve">Если максимальное значение регистрируется в нескольких временных точках, за </w:t>
            </w:r>
            <w:r w:rsidRPr="00E65C71">
              <w:rPr>
                <w:rFonts w:ascii="Times New Roman" w:eastAsia="Times New Roman" w:hAnsi="Times New Roman" w:cs="Times New Roman"/>
                <w:kern w:val="0"/>
                <w14:ligatures w14:val="none"/>
              </w:rPr>
              <w:t>T</w:t>
            </w:r>
            <w:r w:rsidRPr="00E65C71">
              <w:rPr>
                <w:rFonts w:ascii="Times New Roman" w:eastAsia="Times New Roman" w:hAnsi="Times New Roman" w:cs="Times New Roman"/>
                <w:kern w:val="0"/>
                <w:vertAlign w:val="subscript"/>
                <w14:ligatures w14:val="none"/>
              </w:rPr>
              <w:t>max</w:t>
            </w:r>
            <w:r w:rsidRPr="00E65C71">
              <w:rPr>
                <w:rFonts w:ascii="Times New Roman" w:eastAsia="Times New Roman" w:hAnsi="Times New Roman" w:cs="Times New Roman"/>
                <w:kern w:val="0"/>
                <w:lang w:val="ru-RU"/>
                <w14:ligatures w14:val="none"/>
              </w:rPr>
              <w:t xml:space="preserve"> принимается первая временная точка с таким значением.</w:t>
            </w:r>
          </w:p>
          <w:p w14:paraId="1DA8D474" w14:textId="77777777" w:rsidR="00E65C71" w:rsidRPr="00E65C71" w:rsidRDefault="00E65C71" w:rsidP="00E65C71">
            <w:pPr>
              <w:numPr>
                <w:ilvl w:val="0"/>
                <w:numId w:val="2"/>
              </w:numPr>
              <w:autoSpaceDE w:val="0"/>
              <w:autoSpaceDN w:val="0"/>
              <w:adjustRightInd w:val="0"/>
              <w:spacing w:before="120" w:after="120" w:line="240" w:lineRule="auto"/>
              <w:jc w:val="both"/>
              <w:rPr>
                <w:rFonts w:ascii="Calibri" w:eastAsia="Calibri" w:hAnsi="Calibri" w:cs="Times New Roman"/>
                <w:b/>
                <w:kern w:val="0"/>
                <w:sz w:val="22"/>
                <w:szCs w:val="22"/>
                <w:lang w:val="ru-RU"/>
                <w14:ligatures w14:val="none"/>
              </w:rPr>
            </w:pPr>
            <w:r w:rsidRPr="00E65C71">
              <w:rPr>
                <w:rFonts w:ascii="Times New Roman" w:eastAsia="Calibri" w:hAnsi="Times New Roman" w:cs="Times New Roman"/>
                <w:bCs/>
                <w:kern w:val="0"/>
                <w:lang w:val="ru-RU"/>
                <w14:ligatures w14:val="none"/>
              </w:rPr>
              <w:t>Относительная скорость всасывания (</w:t>
            </w:r>
            <w:r w:rsidRPr="00E65C71">
              <w:rPr>
                <w:rFonts w:ascii="Times New Roman" w:eastAsia="Calibri" w:hAnsi="Times New Roman" w:cs="Times New Roman"/>
                <w:kern w:val="0"/>
                <w:lang w:val="ru-RU"/>
                <w14:ligatures w14:val="none"/>
              </w:rPr>
              <w:t>C</w:t>
            </w:r>
            <w:r w:rsidRPr="00E65C71">
              <w:rPr>
                <w:rFonts w:ascii="Times New Roman" w:eastAsia="Calibri" w:hAnsi="Times New Roman" w:cs="Times New Roman"/>
                <w:kern w:val="0"/>
                <w:vertAlign w:val="subscript"/>
                <w:lang w:val="ru-RU"/>
                <w14:ligatures w14:val="none"/>
              </w:rPr>
              <w:t>max</w:t>
            </w:r>
            <w:r w:rsidRPr="00E65C71">
              <w:rPr>
                <w:rFonts w:ascii="Times New Roman" w:eastAsia="Calibri" w:hAnsi="Times New Roman" w:cs="Times New Roman"/>
                <w:bCs/>
                <w:kern w:val="0"/>
                <w:lang w:val="ru-RU"/>
                <w14:ligatures w14:val="none"/>
              </w:rPr>
              <w:t xml:space="preserve"> /</w:t>
            </w:r>
            <w:r w:rsidRPr="00E65C71">
              <w:rPr>
                <w:rFonts w:ascii="Times New Roman" w:eastAsia="Calibri" w:hAnsi="Times New Roman" w:cs="Times New Roman"/>
                <w:bCs/>
                <w:kern w:val="0"/>
                <w14:ligatures w14:val="none"/>
              </w:rPr>
              <w:t>AUC</w:t>
            </w:r>
            <w:r w:rsidRPr="00E65C71">
              <w:rPr>
                <w:rFonts w:ascii="Times New Roman" w:eastAsia="Calibri" w:hAnsi="Times New Roman" w:cs="Times New Roman"/>
                <w:kern w:val="0"/>
                <w:vertAlign w:val="subscript"/>
                <w:lang w:val="ru-RU"/>
                <w14:ligatures w14:val="none"/>
              </w:rPr>
              <w:t>0-72</w:t>
            </w:r>
            <w:r w:rsidRPr="00E65C71">
              <w:rPr>
                <w:rFonts w:ascii="Times New Roman" w:eastAsia="Calibri" w:hAnsi="Times New Roman" w:cs="Times New Roman"/>
                <w:kern w:val="0"/>
                <w:lang w:val="ru-RU"/>
                <w14:ligatures w14:val="none"/>
              </w:rPr>
              <w:t>)</w:t>
            </w:r>
          </w:p>
        </w:tc>
      </w:tr>
      <w:tr w:rsidR="00E65C71" w:rsidRPr="008615AD" w14:paraId="43DB708D" w14:textId="77777777" w:rsidTr="006E76C5">
        <w:tc>
          <w:tcPr>
            <w:tcW w:w="9322" w:type="dxa"/>
          </w:tcPr>
          <w:p w14:paraId="08565C26"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lastRenderedPageBreak/>
              <w:t xml:space="preserve">Конечные точки безопасности: </w:t>
            </w:r>
          </w:p>
          <w:p w14:paraId="7419D5C6"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На каждом визите будут регистрироваться НЯ и жизненные показатели.</w:t>
            </w:r>
          </w:p>
          <w:p w14:paraId="1E2B0112"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Лабораторные анализы, включающие клинический и биохимический анализы крови, общий анализ мочи, а также физикальный осмотр, будут проводиться на скрининге, а также после приема исследуемого препарата (День 4) и на визите последующего наблюдения.</w:t>
            </w:r>
          </w:p>
          <w:p w14:paraId="72D4D7FE"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ЭКГ будет регистрироваться на скрининге и визите последующего наблюдения.</w:t>
            </w:r>
          </w:p>
          <w:p w14:paraId="6A6F1DE9"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kern w:val="0"/>
                <w:lang w:val="ru-RU"/>
                <w14:ligatures w14:val="none"/>
              </w:rPr>
              <w:t>Регистрация</w:t>
            </w:r>
            <w:r w:rsidRPr="00E65C71">
              <w:rPr>
                <w:rFonts w:ascii="Times New Roman" w:eastAsia="Times New Roman" w:hAnsi="Times New Roman" w:cs="Times New Roman"/>
                <w:kern w:val="0"/>
                <w:lang w:val="ru-RU" w:eastAsia="ru-RU"/>
                <w14:ligatures w14:val="none"/>
              </w:rPr>
              <w:t xml:space="preserve"> НЯ будет проводиться с момента подписания добровольцем формы информированного согласия и до 30 дней после последнего визита добровольца в исследовательский центр или проведения последней процедуры, предусмотренной протоколом.</w:t>
            </w:r>
          </w:p>
        </w:tc>
      </w:tr>
      <w:tr w:rsidR="00E65C71" w:rsidRPr="00E65C71" w14:paraId="59768410" w14:textId="77777777" w:rsidTr="006E76C5">
        <w:tc>
          <w:tcPr>
            <w:tcW w:w="9322" w:type="dxa"/>
          </w:tcPr>
          <w:p w14:paraId="5479A331"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14:ligatures w14:val="none"/>
              </w:rPr>
            </w:pPr>
            <w:r w:rsidRPr="00E65C71">
              <w:rPr>
                <w:rFonts w:ascii="Times New Roman" w:eastAsia="Times New Roman" w:hAnsi="Times New Roman" w:cs="Times New Roman"/>
                <w:b/>
                <w:kern w:val="0"/>
                <w:lang w:val="ru-RU"/>
                <w14:ligatures w14:val="none"/>
              </w:rPr>
              <w:t>Планируемые статистические методы</w:t>
            </w:r>
            <w:r w:rsidRPr="00E65C71">
              <w:rPr>
                <w:rFonts w:ascii="Times New Roman" w:eastAsia="Times New Roman" w:hAnsi="Times New Roman" w:cs="Times New Roman"/>
                <w:noProof/>
                <w:kern w:val="0"/>
                <w:lang w:val="ru-RU"/>
                <w14:ligatures w14:val="none"/>
              </w:rPr>
              <w:t xml:space="preserve"> </w:t>
            </w:r>
          </w:p>
        </w:tc>
      </w:tr>
      <w:tr w:rsidR="00E65C71" w:rsidRPr="00E65C71" w14:paraId="5E596895" w14:textId="77777777" w:rsidTr="006E76C5">
        <w:tc>
          <w:tcPr>
            <w:tcW w:w="9322" w:type="dxa"/>
          </w:tcPr>
          <w:p w14:paraId="32B53DEB"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Анализ первичных конечных точек эффективности:</w:t>
            </w:r>
          </w:p>
          <w:p w14:paraId="6E152D9F"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Предполагается, что AUC</w:t>
            </w:r>
            <w:r w:rsidRPr="00E65C71">
              <w:rPr>
                <w:rFonts w:ascii="Times New Roman" w:eastAsia="Times New Roman" w:hAnsi="Times New Roman" w:cs="Times New Roman"/>
                <w:kern w:val="0"/>
                <w:vertAlign w:val="subscript"/>
                <w:lang w:val="ru-RU" w:eastAsia="ru-RU"/>
                <w14:ligatures w14:val="none"/>
              </w:rPr>
              <w:t xml:space="preserve">0-72 </w:t>
            </w:r>
            <w:r w:rsidRPr="00E65C71">
              <w:rPr>
                <w:rFonts w:ascii="Times New Roman" w:eastAsia="Times New Roman" w:hAnsi="Times New Roman" w:cs="Times New Roman"/>
                <w:kern w:val="0"/>
                <w:lang w:val="ru-RU" w:eastAsia="ru-RU"/>
                <w14:ligatures w14:val="none"/>
              </w:rPr>
              <w:t>и C</w:t>
            </w:r>
            <w:r w:rsidRPr="00E65C71">
              <w:rPr>
                <w:rFonts w:ascii="Times New Roman" w:eastAsia="Times New Roman" w:hAnsi="Times New Roman" w:cs="Times New Roman"/>
                <w:kern w:val="0"/>
                <w:vertAlign w:val="subscript"/>
                <w:lang w:val="ru-RU" w:eastAsia="ru-RU"/>
                <w14:ligatures w14:val="none"/>
              </w:rPr>
              <w:t>max</w:t>
            </w:r>
            <w:r w:rsidRPr="00E65C71">
              <w:rPr>
                <w:rFonts w:ascii="Times New Roman" w:eastAsia="Times New Roman" w:hAnsi="Times New Roman" w:cs="Times New Roman"/>
                <w:kern w:val="0"/>
                <w:lang w:val="ru-RU" w:eastAsia="ru-RU"/>
                <w14:ligatures w14:val="none"/>
              </w:rPr>
              <w:t xml:space="preserve"> имеют ln-нормальное распределение. В соответствии с этим положением сравнение средних значений параметров исследуемого препарата и референтного препарата проводится на основе мультипликативной модели. После проведения логарифмического преобразования сравнение исследуемых фармакокинетических параметров планируется проводить с помощью дисперсионного анализа ANOVA. </w:t>
            </w:r>
          </w:p>
          <w:p w14:paraId="3D841104"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lastRenderedPageBreak/>
              <w:t xml:space="preserve">После окончания  Этапа 1 исследования должны быть оценены коэффициенты вариации и мощность теста для первичных фармакокинетических параметров. При оценке мощности используется пакет PowerTOST в программной среде R. </w:t>
            </w:r>
          </w:p>
          <w:p w14:paraId="0E8DA1CB"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После окончания  Этапа 1 исследования будет использована модель с учетом следующего фиксированного фактора, вносящего вклад в наблюдаемую вариацию данных:</w:t>
            </w:r>
          </w:p>
          <w:p w14:paraId="6A84AC54" w14:textId="77777777" w:rsidR="00E65C71" w:rsidRPr="00E65C71" w:rsidRDefault="00E65C71" w:rsidP="00E65C71">
            <w:pPr>
              <w:numPr>
                <w:ilvl w:val="0"/>
                <w:numId w:val="9"/>
              </w:numPr>
              <w:tabs>
                <w:tab w:val="num" w:pos="426"/>
              </w:tabs>
              <w:suppressAutoHyphens/>
              <w:spacing w:after="0" w:line="360" w:lineRule="auto"/>
              <w:ind w:right="-2"/>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 xml:space="preserve">Различия между </w:t>
            </w:r>
            <w:r w:rsidRPr="00E65C71">
              <w:rPr>
                <w:rFonts w:ascii="Times New Roman" w:eastAsia="Times New Roman" w:hAnsi="Times New Roman" w:cs="Times New Roman"/>
                <w:kern w:val="0"/>
                <w:lang w:eastAsia="ru-RU"/>
                <w14:ligatures w14:val="none"/>
              </w:rPr>
              <w:t>лекарственными препаратами</w:t>
            </w:r>
          </w:p>
          <w:p w14:paraId="7ED40C92"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 xml:space="preserve">С учетом поправки на неравные дисперсии (Welch-Satterthwaite). </w:t>
            </w:r>
          </w:p>
          <w:p w14:paraId="27F3391F"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На основании данной модели будут построены доверительные интервалы для логарифмически преобразованных данных, а после обратного преобразования - для отношений соответствующих средних в исходных (не преобразованных) единицах измерения.</w:t>
            </w:r>
          </w:p>
          <w:p w14:paraId="38E32C4F"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Гипотеза о биоэквивалентности формулируется в терминах отношения сравниваемых параметров следующим образом:</w:t>
            </w:r>
          </w:p>
          <w:p w14:paraId="7E27A890" w14:textId="77777777" w:rsidR="00E65C71" w:rsidRPr="00E65C71" w:rsidRDefault="00E65C71" w:rsidP="00E65C71">
            <w:pPr>
              <w:numPr>
                <w:ilvl w:val="0"/>
                <w:numId w:val="7"/>
              </w:numPr>
              <w:tabs>
                <w:tab w:val="num" w:pos="426"/>
                <w:tab w:val="num" w:pos="1287"/>
              </w:tabs>
              <w:autoSpaceDE w:val="0"/>
              <w:autoSpaceDN w:val="0"/>
              <w:adjustRightInd w:val="0"/>
              <w:spacing w:before="120" w:after="200" w:line="276" w:lineRule="auto"/>
              <w:contextualSpacing/>
              <w:jc w:val="both"/>
              <w:rPr>
                <w:rFonts w:ascii="Times New Roman" w:eastAsia="Calibri" w:hAnsi="Times New Roman" w:cs="Times New Roman"/>
                <w:kern w:val="0"/>
                <w:lang w:val="ru-RU" w:eastAsia="ru-RU"/>
                <w14:ligatures w14:val="none"/>
              </w:rPr>
            </w:pPr>
            <w:r w:rsidRPr="00E65C71">
              <w:rPr>
                <w:rFonts w:ascii="Times New Roman" w:eastAsia="Calibri" w:hAnsi="Times New Roman" w:cs="Times New Roman"/>
                <w:kern w:val="0"/>
                <w:lang w:val="ru-RU" w:eastAsia="ru-RU"/>
                <w14:ligatures w14:val="none"/>
              </w:rPr>
              <w:t xml:space="preserve">нулевая гипотеза об отсутствии эквивалентности: </w:t>
            </w:r>
          </w:p>
          <w:p w14:paraId="527AA2A8"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ab/>
            </w:r>
            <w:r w:rsidRPr="00E65C71">
              <w:rPr>
                <w:rFonts w:ascii="Times New Roman" w:eastAsia="Times New Roman" w:hAnsi="Times New Roman" w:cs="Times New Roman"/>
                <w:i/>
                <w:kern w:val="0"/>
                <w:lang w:val="ru-RU" w:eastAsia="ru-RU"/>
                <w14:ligatures w14:val="none"/>
              </w:rPr>
              <w:t>H0:    μ</w:t>
            </w:r>
            <w:r w:rsidRPr="00E65C71">
              <w:rPr>
                <w:rFonts w:ascii="Times New Roman" w:eastAsia="Times New Roman" w:hAnsi="Times New Roman" w:cs="Times New Roman"/>
                <w:i/>
                <w:kern w:val="0"/>
                <w:vertAlign w:val="subscript"/>
                <w:lang w:val="ru-RU" w:eastAsia="ru-RU"/>
                <w14:ligatures w14:val="none"/>
              </w:rPr>
              <w:t>T</w:t>
            </w:r>
            <w:r w:rsidRPr="00E65C71">
              <w:rPr>
                <w:rFonts w:ascii="Times New Roman" w:eastAsia="Times New Roman" w:hAnsi="Times New Roman" w:cs="Times New Roman"/>
                <w:i/>
                <w:kern w:val="0"/>
                <w:lang w:val="ru-RU" w:eastAsia="ru-RU"/>
                <w14:ligatures w14:val="none"/>
              </w:rPr>
              <w:t xml:space="preserve"> / μ</w:t>
            </w:r>
            <w:r w:rsidRPr="00E65C71">
              <w:rPr>
                <w:rFonts w:ascii="Times New Roman" w:eastAsia="Times New Roman" w:hAnsi="Times New Roman" w:cs="Times New Roman"/>
                <w:i/>
                <w:kern w:val="0"/>
                <w:vertAlign w:val="subscript"/>
                <w:lang w:val="ru-RU" w:eastAsia="ru-RU"/>
                <w14:ligatures w14:val="none"/>
              </w:rPr>
              <w:t>R</w:t>
            </w:r>
            <w:r w:rsidRPr="00E65C71">
              <w:rPr>
                <w:rFonts w:ascii="Times New Roman" w:eastAsia="Times New Roman" w:hAnsi="Times New Roman" w:cs="Times New Roman"/>
                <w:i/>
                <w:kern w:val="0"/>
                <w:lang w:val="ru-RU" w:eastAsia="ru-RU"/>
                <w14:ligatures w14:val="none"/>
              </w:rPr>
              <w:t xml:space="preserve">  &lt; Q1</w:t>
            </w:r>
            <w:r w:rsidRPr="00E65C71">
              <w:rPr>
                <w:rFonts w:ascii="Times New Roman" w:eastAsia="Times New Roman" w:hAnsi="Times New Roman" w:cs="Times New Roman"/>
                <w:kern w:val="0"/>
                <w:lang w:val="ru-RU" w:eastAsia="ru-RU"/>
                <w14:ligatures w14:val="none"/>
              </w:rPr>
              <w:t xml:space="preserve">     или</w:t>
            </w:r>
            <w:r w:rsidRPr="00E65C71">
              <w:rPr>
                <w:rFonts w:ascii="Times New Roman" w:eastAsia="Times New Roman" w:hAnsi="Times New Roman" w:cs="Times New Roman"/>
                <w:i/>
                <w:kern w:val="0"/>
                <w:lang w:val="ru-RU" w:eastAsia="ru-RU"/>
                <w14:ligatures w14:val="none"/>
              </w:rPr>
              <w:t xml:space="preserve">      μ</w:t>
            </w:r>
            <w:r w:rsidRPr="00E65C71">
              <w:rPr>
                <w:rFonts w:ascii="Times New Roman" w:eastAsia="Times New Roman" w:hAnsi="Times New Roman" w:cs="Times New Roman"/>
                <w:i/>
                <w:kern w:val="0"/>
                <w:vertAlign w:val="subscript"/>
                <w:lang w:val="ru-RU" w:eastAsia="ru-RU"/>
                <w14:ligatures w14:val="none"/>
              </w:rPr>
              <w:t>T</w:t>
            </w:r>
            <w:r w:rsidRPr="00E65C71">
              <w:rPr>
                <w:rFonts w:ascii="Times New Roman" w:eastAsia="Times New Roman" w:hAnsi="Times New Roman" w:cs="Times New Roman"/>
                <w:i/>
                <w:kern w:val="0"/>
                <w:lang w:val="ru-RU" w:eastAsia="ru-RU"/>
                <w14:ligatures w14:val="none"/>
              </w:rPr>
              <w:t xml:space="preserve"> / μ</w:t>
            </w:r>
            <w:r w:rsidRPr="00E65C71">
              <w:rPr>
                <w:rFonts w:ascii="Times New Roman" w:eastAsia="Times New Roman" w:hAnsi="Times New Roman" w:cs="Times New Roman"/>
                <w:i/>
                <w:kern w:val="0"/>
                <w:vertAlign w:val="subscript"/>
                <w:lang w:val="ru-RU" w:eastAsia="ru-RU"/>
                <w14:ligatures w14:val="none"/>
              </w:rPr>
              <w:t>R</w:t>
            </w:r>
            <w:r w:rsidRPr="00E65C71">
              <w:rPr>
                <w:rFonts w:ascii="Times New Roman" w:eastAsia="Times New Roman" w:hAnsi="Times New Roman" w:cs="Times New Roman"/>
                <w:i/>
                <w:kern w:val="0"/>
                <w:lang w:val="ru-RU" w:eastAsia="ru-RU"/>
                <w14:ligatures w14:val="none"/>
              </w:rPr>
              <w:t xml:space="preserve"> &gt; Q2</w:t>
            </w:r>
          </w:p>
          <w:p w14:paraId="45BEFB18" w14:textId="77777777" w:rsidR="00E65C71" w:rsidRPr="00E65C71" w:rsidRDefault="00E65C71" w:rsidP="00E65C71">
            <w:pPr>
              <w:numPr>
                <w:ilvl w:val="0"/>
                <w:numId w:val="8"/>
              </w:numPr>
              <w:tabs>
                <w:tab w:val="num" w:pos="426"/>
                <w:tab w:val="num" w:pos="1287"/>
              </w:tabs>
              <w:autoSpaceDE w:val="0"/>
              <w:autoSpaceDN w:val="0"/>
              <w:adjustRightInd w:val="0"/>
              <w:spacing w:before="120" w:after="200" w:line="276" w:lineRule="auto"/>
              <w:contextualSpacing/>
              <w:jc w:val="both"/>
              <w:rPr>
                <w:rFonts w:ascii="Times New Roman" w:eastAsia="Calibri" w:hAnsi="Times New Roman" w:cs="Times New Roman"/>
                <w:kern w:val="0"/>
                <w:lang w:val="ru-RU" w:eastAsia="ru-RU"/>
                <w14:ligatures w14:val="none"/>
              </w:rPr>
            </w:pPr>
            <w:r w:rsidRPr="00E65C71">
              <w:rPr>
                <w:rFonts w:ascii="Times New Roman" w:eastAsia="Calibri" w:hAnsi="Times New Roman" w:cs="Times New Roman"/>
                <w:kern w:val="0"/>
                <w:lang w:val="ru-RU" w:eastAsia="ru-RU"/>
                <w14:ligatures w14:val="none"/>
              </w:rPr>
              <w:t>соответствующая альтернативная гипотеза о наличии биоэквивалентности:</w:t>
            </w:r>
          </w:p>
          <w:p w14:paraId="4AB3AF6B"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ab/>
            </w:r>
            <w:r w:rsidRPr="00E65C71">
              <w:rPr>
                <w:rFonts w:ascii="Times New Roman" w:eastAsia="Times New Roman" w:hAnsi="Times New Roman" w:cs="Times New Roman"/>
                <w:i/>
                <w:kern w:val="0"/>
                <w:lang w:val="ru-RU" w:eastAsia="ru-RU"/>
                <w14:ligatures w14:val="none"/>
              </w:rPr>
              <w:t>HA:    Q1  ≤ μ</w:t>
            </w:r>
            <w:r w:rsidRPr="00E65C71">
              <w:rPr>
                <w:rFonts w:ascii="Times New Roman" w:eastAsia="Times New Roman" w:hAnsi="Times New Roman" w:cs="Times New Roman"/>
                <w:i/>
                <w:kern w:val="0"/>
                <w:vertAlign w:val="subscript"/>
                <w:lang w:val="ru-RU" w:eastAsia="ru-RU"/>
                <w14:ligatures w14:val="none"/>
              </w:rPr>
              <w:t>T</w:t>
            </w:r>
            <w:r w:rsidRPr="00E65C71">
              <w:rPr>
                <w:rFonts w:ascii="Times New Roman" w:eastAsia="Times New Roman" w:hAnsi="Times New Roman" w:cs="Times New Roman"/>
                <w:i/>
                <w:kern w:val="0"/>
                <w:lang w:val="ru-RU" w:eastAsia="ru-RU"/>
                <w14:ligatures w14:val="none"/>
              </w:rPr>
              <w:t xml:space="preserve"> / μ</w:t>
            </w:r>
            <w:r w:rsidRPr="00E65C71">
              <w:rPr>
                <w:rFonts w:ascii="Times New Roman" w:eastAsia="Times New Roman" w:hAnsi="Times New Roman" w:cs="Times New Roman"/>
                <w:i/>
                <w:kern w:val="0"/>
                <w:vertAlign w:val="subscript"/>
                <w:lang w:val="ru-RU" w:eastAsia="ru-RU"/>
                <w14:ligatures w14:val="none"/>
              </w:rPr>
              <w:t>R</w:t>
            </w:r>
            <w:r w:rsidRPr="00E65C71">
              <w:rPr>
                <w:rFonts w:ascii="Times New Roman" w:eastAsia="Times New Roman" w:hAnsi="Times New Roman" w:cs="Times New Roman"/>
                <w:i/>
                <w:kern w:val="0"/>
                <w:lang w:val="ru-RU" w:eastAsia="ru-RU"/>
                <w14:ligatures w14:val="none"/>
              </w:rPr>
              <w:t xml:space="preserve">  ≤ Q2</w:t>
            </w:r>
          </w:p>
          <w:p w14:paraId="6A5D84B2"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 xml:space="preserve">где </w:t>
            </w:r>
            <w:r w:rsidRPr="00E65C71">
              <w:rPr>
                <w:rFonts w:ascii="Times New Roman" w:eastAsia="Times New Roman" w:hAnsi="Times New Roman" w:cs="Times New Roman"/>
                <w:i/>
                <w:kern w:val="0"/>
                <w:lang w:val="ru-RU" w:eastAsia="ru-RU"/>
                <w14:ligatures w14:val="none"/>
              </w:rPr>
              <w:t>Q1</w:t>
            </w:r>
            <w:r w:rsidRPr="00E65C71">
              <w:rPr>
                <w:rFonts w:ascii="Times New Roman" w:eastAsia="Times New Roman" w:hAnsi="Times New Roman" w:cs="Times New Roman"/>
                <w:kern w:val="0"/>
                <w:lang w:val="ru-RU" w:eastAsia="ru-RU"/>
                <w14:ligatures w14:val="none"/>
              </w:rPr>
              <w:t xml:space="preserve"> и </w:t>
            </w:r>
            <w:r w:rsidRPr="00E65C71">
              <w:rPr>
                <w:rFonts w:ascii="Times New Roman" w:eastAsia="Times New Roman" w:hAnsi="Times New Roman" w:cs="Times New Roman"/>
                <w:i/>
                <w:kern w:val="0"/>
                <w:lang w:val="ru-RU" w:eastAsia="ru-RU"/>
                <w14:ligatures w14:val="none"/>
              </w:rPr>
              <w:t>Q2</w:t>
            </w:r>
            <w:r w:rsidRPr="00E65C71">
              <w:rPr>
                <w:rFonts w:ascii="Times New Roman" w:eastAsia="Times New Roman" w:hAnsi="Times New Roman" w:cs="Times New Roman"/>
                <w:kern w:val="0"/>
                <w:lang w:val="ru-RU" w:eastAsia="ru-RU"/>
                <w14:ligatures w14:val="none"/>
              </w:rPr>
              <w:t xml:space="preserve"> – нижняя  и верхняя принятые допустимые границы биоэквивалентности (</w:t>
            </w:r>
            <w:r w:rsidRPr="00E65C71">
              <w:rPr>
                <w:rFonts w:ascii="Times New Roman" w:eastAsia="Times New Roman" w:hAnsi="Times New Roman" w:cs="Times New Roman"/>
                <w:i/>
                <w:kern w:val="0"/>
                <w:lang w:val="ru-RU" w:eastAsia="ru-RU"/>
                <w14:ligatures w14:val="none"/>
              </w:rPr>
              <w:t>Q1 = 80.00%, Q2 = 125.00%</w:t>
            </w:r>
            <w:r w:rsidRPr="00E65C71">
              <w:rPr>
                <w:rFonts w:ascii="Times New Roman" w:eastAsia="Times New Roman" w:hAnsi="Times New Roman" w:cs="Times New Roman"/>
                <w:kern w:val="0"/>
                <w:lang w:val="ru-RU" w:eastAsia="ru-RU"/>
                <w14:ligatures w14:val="none"/>
              </w:rPr>
              <w:t>), а μ</w:t>
            </w:r>
            <w:r w:rsidRPr="00E65C71">
              <w:rPr>
                <w:rFonts w:ascii="Times New Roman" w:eastAsia="Times New Roman" w:hAnsi="Times New Roman" w:cs="Times New Roman"/>
                <w:kern w:val="0"/>
                <w:vertAlign w:val="subscript"/>
                <w:lang w:val="ru-RU" w:eastAsia="ru-RU"/>
                <w14:ligatures w14:val="none"/>
              </w:rPr>
              <w:t>T</w:t>
            </w:r>
            <w:r w:rsidRPr="00E65C71">
              <w:rPr>
                <w:rFonts w:ascii="Times New Roman" w:eastAsia="Times New Roman" w:hAnsi="Times New Roman" w:cs="Times New Roman"/>
                <w:kern w:val="0"/>
                <w:lang w:val="ru-RU" w:eastAsia="ru-RU"/>
                <w14:ligatures w14:val="none"/>
              </w:rPr>
              <w:t xml:space="preserve"> и μ</w:t>
            </w:r>
            <w:r w:rsidRPr="00E65C71">
              <w:rPr>
                <w:rFonts w:ascii="Times New Roman" w:eastAsia="Times New Roman" w:hAnsi="Times New Roman" w:cs="Times New Roman"/>
                <w:kern w:val="0"/>
                <w:vertAlign w:val="subscript"/>
                <w:lang w:val="ru-RU" w:eastAsia="ru-RU"/>
                <w14:ligatures w14:val="none"/>
              </w:rPr>
              <w:t>R</w:t>
            </w:r>
            <w:r w:rsidRPr="00E65C71">
              <w:rPr>
                <w:rFonts w:ascii="Times New Roman" w:eastAsia="Times New Roman" w:hAnsi="Times New Roman" w:cs="Times New Roman"/>
                <w:kern w:val="0"/>
                <w:lang w:val="ru-RU" w:eastAsia="ru-RU"/>
                <w14:ligatures w14:val="none"/>
              </w:rPr>
              <w:t xml:space="preserve">  – генеральные средние показатели первичных фармакокинетических параметров для исследуемого препарата и референтного препарата.</w:t>
            </w:r>
          </w:p>
          <w:p w14:paraId="20B87EED"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В случае если мощность теста для всех первичных фармакокинетических параметров составит не менее 80%, то для оценки биоэквивалентности должны использоваться 90% доверительные интервалы. В противном случае для оценки биоэквивалентности должны использоваться 94.12% доверительные интервалы.</w:t>
            </w:r>
          </w:p>
          <w:p w14:paraId="60EA10E7"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Препараты признаются биоэквивалентными, если доверительные интервалы для отношений средних</w:t>
            </w:r>
            <w:r w:rsidRPr="00E65C71" w:rsidDel="00E27B9A">
              <w:rPr>
                <w:rFonts w:ascii="Times New Roman" w:eastAsia="Times New Roman" w:hAnsi="Times New Roman" w:cs="Times New Roman"/>
                <w:kern w:val="0"/>
                <w:lang w:val="ru-RU" w:eastAsia="ru-RU"/>
                <w14:ligatures w14:val="none"/>
              </w:rPr>
              <w:t xml:space="preserve"> </w:t>
            </w:r>
            <w:r w:rsidRPr="00E65C71">
              <w:rPr>
                <w:rFonts w:ascii="Times New Roman" w:eastAsia="Times New Roman" w:hAnsi="Times New Roman" w:cs="Times New Roman"/>
                <w:kern w:val="0"/>
                <w:lang w:val="ru-RU" w:eastAsia="ru-RU"/>
                <w14:ligatures w14:val="none"/>
              </w:rPr>
              <w:t>геометрических значений площади под фармакокинетической кривой AUC</w:t>
            </w:r>
            <w:r w:rsidRPr="00E65C71">
              <w:rPr>
                <w:rFonts w:ascii="Times New Roman" w:eastAsia="Times New Roman" w:hAnsi="Times New Roman" w:cs="Times New Roman"/>
                <w:kern w:val="0"/>
                <w:vertAlign w:val="subscript"/>
                <w:lang w:val="ru-RU" w:eastAsia="ru-RU"/>
                <w14:ligatures w14:val="none"/>
              </w:rPr>
              <w:t xml:space="preserve">0-72 </w:t>
            </w:r>
            <w:r w:rsidRPr="00E65C71">
              <w:rPr>
                <w:rFonts w:ascii="Times New Roman" w:eastAsia="Times New Roman" w:hAnsi="Times New Roman" w:cs="Times New Roman"/>
                <w:kern w:val="0"/>
                <w:lang w:val="ru-RU" w:eastAsia="ru-RU"/>
                <w14:ligatures w14:val="none"/>
              </w:rPr>
              <w:t>и максимальной концентрации будут находиться в диапазоне 80.00-125.00%.</w:t>
            </w:r>
          </w:p>
          <w:p w14:paraId="0E9760B6"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Если на основании полученных доверительных интервалов биоэквивалентность будет доказана, то полученные результаты должны быть проанализированы и использованы для написания финального отчета об исследовании.</w:t>
            </w:r>
          </w:p>
          <w:p w14:paraId="6065E415"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Если на основании полученных 94.12% доверительных интервалов биоэквивалентность доказана не будет, то должен быть проведен перерасчет необходимого количества добровольцев для достижения мощности исследования в 80% с использованием α = 0,0294 и проведение 2 этапа исследования (</w:t>
            </w:r>
            <w:r w:rsidRPr="00E65C71">
              <w:rPr>
                <w:rFonts w:ascii="Times New Roman" w:eastAsia="Times New Roman" w:hAnsi="Times New Roman" w:cs="Times New Roman"/>
                <w:kern w:val="0"/>
                <w:lang w:val="ru-RU" w:eastAsia="ru-RU"/>
                <w14:ligatures w14:val="none"/>
              </w:rPr>
              <w:fldChar w:fldCharType="begin"/>
            </w:r>
            <w:r w:rsidRPr="00E65C71">
              <w:rPr>
                <w:rFonts w:ascii="Times New Roman" w:eastAsia="Times New Roman" w:hAnsi="Times New Roman" w:cs="Times New Roman"/>
                <w:kern w:val="0"/>
                <w:lang w:val="ru-RU" w:eastAsia="ru-RU"/>
                <w14:ligatures w14:val="none"/>
              </w:rPr>
              <w:instrText xml:space="preserve"> REF _Ref464998423 \h  \* MERGEFORMAT </w:instrText>
            </w:r>
            <w:r w:rsidRPr="00E65C71">
              <w:rPr>
                <w:rFonts w:ascii="Times New Roman" w:eastAsia="Times New Roman" w:hAnsi="Times New Roman" w:cs="Times New Roman"/>
                <w:kern w:val="0"/>
                <w:lang w:val="ru-RU" w:eastAsia="ru-RU"/>
                <w14:ligatures w14:val="none"/>
              </w:rPr>
            </w:r>
            <w:r w:rsidRPr="00E65C71">
              <w:rPr>
                <w:rFonts w:ascii="Times New Roman" w:eastAsia="Times New Roman" w:hAnsi="Times New Roman" w:cs="Times New Roman"/>
                <w:kern w:val="0"/>
                <w:lang w:val="ru-RU" w:eastAsia="ru-RU"/>
                <w14:ligatures w14:val="none"/>
              </w:rPr>
              <w:fldChar w:fldCharType="separate"/>
            </w:r>
            <w:r w:rsidRPr="00E65C71">
              <w:rPr>
                <w:rFonts w:ascii="Times New Roman" w:eastAsia="Times New Roman" w:hAnsi="Times New Roman" w:cs="Times New Roman"/>
                <w:kern w:val="0"/>
                <w:lang w:val="ru-RU" w:eastAsia="ru-RU"/>
                <w14:ligatures w14:val="none"/>
              </w:rPr>
              <w:t>Рисунок 1</w:t>
            </w:r>
            <w:r w:rsidRPr="00E65C71">
              <w:rPr>
                <w:rFonts w:ascii="Times New Roman" w:eastAsia="Times New Roman" w:hAnsi="Times New Roman" w:cs="Times New Roman"/>
                <w:kern w:val="0"/>
                <w:lang w:val="ru-RU" w:eastAsia="ru-RU"/>
                <w14:ligatures w14:val="none"/>
              </w:rPr>
              <w:fldChar w:fldCharType="end"/>
            </w:r>
            <w:r w:rsidRPr="00E65C71">
              <w:rPr>
                <w:rFonts w:ascii="Times New Roman" w:eastAsia="Times New Roman" w:hAnsi="Times New Roman" w:cs="Times New Roman"/>
                <w:kern w:val="0"/>
                <w:lang w:val="ru-RU" w:eastAsia="ru-RU"/>
                <w14:ligatures w14:val="none"/>
              </w:rPr>
              <w:t>)</w:t>
            </w:r>
            <w:r w:rsidRPr="00E65C71">
              <w:rPr>
                <w:rFonts w:ascii="Times New Roman" w:eastAsia="Times New Roman" w:hAnsi="Times New Roman" w:cs="Times New Roman"/>
                <w:kern w:val="0"/>
                <w:vertAlign w:val="superscript"/>
                <w:lang w:val="ru-RU" w:eastAsia="ru-RU"/>
                <w14:ligatures w14:val="none"/>
              </w:rPr>
              <w:footnoteReference w:id="2"/>
            </w:r>
            <w:r w:rsidRPr="00E65C71">
              <w:rPr>
                <w:rFonts w:ascii="Times New Roman" w:eastAsia="Times New Roman" w:hAnsi="Times New Roman" w:cs="Times New Roman"/>
                <w:kern w:val="0"/>
                <w:lang w:val="ru-RU" w:eastAsia="ru-RU"/>
                <w14:ligatures w14:val="none"/>
              </w:rPr>
              <w:t>.</w:t>
            </w:r>
          </w:p>
          <w:p w14:paraId="3FEBDBC9" w14:textId="77777777" w:rsidR="00E65C71" w:rsidRPr="00E65C71" w:rsidRDefault="00E65C71" w:rsidP="00E65C71">
            <w:pPr>
              <w:autoSpaceDE w:val="0"/>
              <w:autoSpaceDN w:val="0"/>
              <w:adjustRightInd w:val="0"/>
              <w:spacing w:before="120" w:after="120" w:line="240" w:lineRule="auto"/>
              <w:ind w:firstLine="397"/>
              <w:jc w:val="both"/>
              <w:rPr>
                <w:rFonts w:ascii="Times New Roman" w:eastAsia="Times New Roman" w:hAnsi="Times New Roman" w:cs="Times New Roman"/>
                <w:kern w:val="0"/>
                <w:lang w:val="ru-RU" w:eastAsia="ru-RU"/>
                <w14:ligatures w14:val="none"/>
              </w:rPr>
            </w:pPr>
            <w:r w:rsidRPr="00E65C71">
              <w:rPr>
                <w:rFonts w:ascii="Times New Roman" w:eastAsia="Times New Roman" w:hAnsi="Times New Roman" w:cs="Times New Roman"/>
                <w:kern w:val="0"/>
                <w:lang w:val="ru-RU" w:eastAsia="ru-RU"/>
                <w14:ligatures w14:val="none"/>
              </w:rPr>
              <w:t>В случае проведения второго этапа исследования фактор «Этап» должен быть дополнительно включен в модель ANOVA:</w:t>
            </w:r>
          </w:p>
          <w:p w14:paraId="565B85E9" w14:textId="77777777" w:rsidR="00E65C71" w:rsidRPr="00E65C71" w:rsidRDefault="00E65C71" w:rsidP="00E65C71">
            <w:pPr>
              <w:numPr>
                <w:ilvl w:val="0"/>
                <w:numId w:val="9"/>
              </w:numPr>
              <w:tabs>
                <w:tab w:val="num" w:pos="426"/>
              </w:tabs>
              <w:suppressAutoHyphens/>
              <w:spacing w:after="0" w:line="360" w:lineRule="auto"/>
              <w:ind w:right="-2"/>
              <w:jc w:val="both"/>
              <w:rPr>
                <w:rFonts w:ascii="Times New Roman" w:eastAsia="Calibri" w:hAnsi="Times New Roman" w:cs="Times New Roman"/>
                <w:kern w:val="0"/>
                <w:lang w:val="ru-RU"/>
                <w14:ligatures w14:val="none"/>
              </w:rPr>
            </w:pPr>
            <w:r w:rsidRPr="00E65C71">
              <w:rPr>
                <w:rFonts w:ascii="Times New Roman" w:eastAsia="Calibri" w:hAnsi="Times New Roman" w:cs="Times New Roman"/>
                <w:kern w:val="0"/>
                <w:lang w:val="ru-RU"/>
                <w14:ligatures w14:val="none"/>
              </w:rPr>
              <w:lastRenderedPageBreak/>
              <w:t>Различия между лекарственными средствами</w:t>
            </w:r>
          </w:p>
          <w:p w14:paraId="102D17F6" w14:textId="77777777" w:rsidR="00E65C71" w:rsidRPr="00E65C71" w:rsidRDefault="00E65C71" w:rsidP="00E65C71">
            <w:pPr>
              <w:numPr>
                <w:ilvl w:val="0"/>
                <w:numId w:val="9"/>
              </w:numPr>
              <w:tabs>
                <w:tab w:val="num" w:pos="426"/>
              </w:tabs>
              <w:suppressAutoHyphens/>
              <w:spacing w:after="0" w:line="360" w:lineRule="auto"/>
              <w:ind w:right="-2"/>
              <w:jc w:val="both"/>
              <w:rPr>
                <w:rFonts w:ascii="Times New Roman" w:eastAsia="Calibri" w:hAnsi="Times New Roman" w:cs="Times New Roman"/>
                <w:kern w:val="0"/>
                <w:lang w:val="ru-RU"/>
                <w14:ligatures w14:val="none"/>
              </w:rPr>
            </w:pPr>
            <w:r w:rsidRPr="00E65C71">
              <w:rPr>
                <w:rFonts w:ascii="Times New Roman" w:eastAsia="Calibri" w:hAnsi="Times New Roman" w:cs="Times New Roman"/>
                <w:kern w:val="0"/>
                <w:lang w:val="ru-RU"/>
                <w14:ligatures w14:val="none"/>
              </w:rPr>
              <w:t>Этап исследования</w:t>
            </w:r>
          </w:p>
          <w:p w14:paraId="2CFCE374" w14:textId="77777777" w:rsidR="00E65C71" w:rsidRPr="00E65C71" w:rsidRDefault="00E65C71" w:rsidP="00E65C71">
            <w:pPr>
              <w:suppressAutoHyphens/>
              <w:spacing w:after="0" w:line="360" w:lineRule="auto"/>
              <w:ind w:left="360" w:right="-2"/>
              <w:jc w:val="both"/>
              <w:rPr>
                <w:rFonts w:ascii="Times New Roman" w:eastAsia="Calibri" w:hAnsi="Times New Roman" w:cs="Times New Roman"/>
                <w:kern w:val="0"/>
                <w:lang w:val="ru-RU"/>
                <w14:ligatures w14:val="none"/>
              </w:rPr>
            </w:pPr>
            <w:r w:rsidRPr="00E65C71">
              <w:rPr>
                <w:rFonts w:ascii="Times New Roman" w:eastAsia="Calibri" w:hAnsi="Times New Roman" w:cs="Times New Roman"/>
                <w:kern w:val="0"/>
                <w:lang w:val="ru-RU"/>
                <w14:ligatures w14:val="none"/>
              </w:rPr>
              <w:t>С учетом поправки на неравные дисперсии (</w:t>
            </w:r>
            <w:r w:rsidRPr="00E65C71">
              <w:rPr>
                <w:rFonts w:ascii="Times New Roman" w:eastAsia="Calibri" w:hAnsi="Times New Roman" w:cs="Times New Roman"/>
                <w:kern w:val="0"/>
                <w14:ligatures w14:val="none"/>
              </w:rPr>
              <w:t>Welch</w:t>
            </w:r>
            <w:r w:rsidRPr="00E65C71">
              <w:rPr>
                <w:rFonts w:ascii="Times New Roman" w:eastAsia="Calibri" w:hAnsi="Times New Roman" w:cs="Times New Roman"/>
                <w:kern w:val="0"/>
                <w:lang w:val="ru-RU"/>
                <w14:ligatures w14:val="none"/>
              </w:rPr>
              <w:t>-</w:t>
            </w:r>
            <w:r w:rsidRPr="00E65C71">
              <w:rPr>
                <w:rFonts w:ascii="Times New Roman" w:eastAsia="Calibri" w:hAnsi="Times New Roman" w:cs="Times New Roman"/>
                <w:kern w:val="0"/>
                <w14:ligatures w14:val="none"/>
              </w:rPr>
              <w:t>Satterthwaite</w:t>
            </w:r>
            <w:r w:rsidRPr="00E65C71">
              <w:rPr>
                <w:rFonts w:ascii="Times New Roman" w:eastAsia="Calibri" w:hAnsi="Times New Roman" w:cs="Times New Roman"/>
                <w:kern w:val="0"/>
                <w:lang w:val="ru-RU"/>
                <w14:ligatures w14:val="none"/>
              </w:rPr>
              <w:t xml:space="preserve">). </w:t>
            </w:r>
          </w:p>
          <w:p w14:paraId="7CAE9D9F" w14:textId="77777777" w:rsidR="00E65C71" w:rsidRPr="00E65C71" w:rsidRDefault="00E65C71" w:rsidP="00E65C71">
            <w:pPr>
              <w:keepNext/>
              <w:keepLines/>
              <w:tabs>
                <w:tab w:val="left" w:pos="1440"/>
              </w:tabs>
              <w:spacing w:after="120" w:line="240" w:lineRule="auto"/>
              <w:ind w:left="1440" w:hanging="1440"/>
              <w:jc w:val="both"/>
              <w:rPr>
                <w:rFonts w:ascii="Times New Roman" w:eastAsia="Calibri" w:hAnsi="Times New Roman" w:cs="Times New Roman"/>
                <w:bCs/>
                <w:kern w:val="0"/>
                <w:lang w:val="ru-RU" w:eastAsia="ar-SA"/>
                <w14:ligatures w14:val="none"/>
              </w:rPr>
            </w:pPr>
            <w:bookmarkStart w:id="1" w:name="_Toc464998559"/>
            <w:bookmarkStart w:id="2" w:name="_Toc487304854"/>
            <w:bookmarkStart w:id="3" w:name="_Toc118725991"/>
            <w:r w:rsidRPr="00E65C71">
              <w:rPr>
                <w:rFonts w:ascii="Times New Roman" w:eastAsia="Times New Roman" w:hAnsi="Times New Roman" w:cs="Times New Roman"/>
                <w:b/>
                <w:kern w:val="0"/>
                <w:lang w:val="ru-RU"/>
                <w14:ligatures w14:val="none"/>
              </w:rPr>
              <w:t xml:space="preserve">Рисунок </w:t>
            </w:r>
            <w:r w:rsidRPr="00E65C71">
              <w:rPr>
                <w:rFonts w:ascii="Times New Roman" w:eastAsia="Times New Roman" w:hAnsi="Times New Roman" w:cs="Times New Roman"/>
                <w:b/>
                <w:kern w:val="0"/>
                <w14:ligatures w14:val="none"/>
              </w:rPr>
              <w:fldChar w:fldCharType="begin"/>
            </w:r>
            <w:r w:rsidRPr="00E65C71">
              <w:rPr>
                <w:rFonts w:ascii="Times New Roman" w:eastAsia="Times New Roman" w:hAnsi="Times New Roman" w:cs="Times New Roman"/>
                <w:b/>
                <w:kern w:val="0"/>
                <w:lang w:val="ru-RU"/>
                <w14:ligatures w14:val="none"/>
              </w:rPr>
              <w:instrText xml:space="preserve"> </w:instrText>
            </w:r>
            <w:r w:rsidRPr="00E65C71">
              <w:rPr>
                <w:rFonts w:ascii="Times New Roman" w:eastAsia="Times New Roman" w:hAnsi="Times New Roman" w:cs="Times New Roman"/>
                <w:b/>
                <w:kern w:val="0"/>
                <w14:ligatures w14:val="none"/>
              </w:rPr>
              <w:instrText>SEQ</w:instrText>
            </w:r>
            <w:r w:rsidRPr="00E65C71">
              <w:rPr>
                <w:rFonts w:ascii="Times New Roman" w:eastAsia="Times New Roman" w:hAnsi="Times New Roman" w:cs="Times New Roman"/>
                <w:b/>
                <w:kern w:val="0"/>
                <w:lang w:val="ru-RU"/>
                <w14:ligatures w14:val="none"/>
              </w:rPr>
              <w:instrText xml:space="preserve"> Рисунок \* </w:instrText>
            </w:r>
            <w:r w:rsidRPr="00E65C71">
              <w:rPr>
                <w:rFonts w:ascii="Times New Roman" w:eastAsia="Times New Roman" w:hAnsi="Times New Roman" w:cs="Times New Roman"/>
                <w:b/>
                <w:kern w:val="0"/>
                <w14:ligatures w14:val="none"/>
              </w:rPr>
              <w:instrText>ARABIC</w:instrText>
            </w:r>
            <w:r w:rsidRPr="00E65C71">
              <w:rPr>
                <w:rFonts w:ascii="Times New Roman" w:eastAsia="Times New Roman" w:hAnsi="Times New Roman" w:cs="Times New Roman"/>
                <w:b/>
                <w:kern w:val="0"/>
                <w:lang w:val="ru-RU"/>
                <w14:ligatures w14:val="none"/>
              </w:rPr>
              <w:instrText xml:space="preserve"> </w:instrText>
            </w:r>
            <w:r w:rsidRPr="00E65C71">
              <w:rPr>
                <w:rFonts w:ascii="Times New Roman" w:eastAsia="Times New Roman" w:hAnsi="Times New Roman" w:cs="Times New Roman"/>
                <w:b/>
                <w:kern w:val="0"/>
                <w14:ligatures w14:val="none"/>
              </w:rPr>
              <w:fldChar w:fldCharType="separate"/>
            </w:r>
            <w:r w:rsidRPr="00E65C71">
              <w:rPr>
                <w:rFonts w:ascii="Times New Roman" w:eastAsia="Times New Roman" w:hAnsi="Times New Roman" w:cs="Times New Roman"/>
                <w:b/>
                <w:noProof/>
                <w:kern w:val="0"/>
                <w:lang w:val="ru-RU"/>
                <w14:ligatures w14:val="none"/>
              </w:rPr>
              <w:t>1</w:t>
            </w:r>
            <w:r w:rsidRPr="00E65C71">
              <w:rPr>
                <w:rFonts w:ascii="Times New Roman" w:eastAsia="Times New Roman" w:hAnsi="Times New Roman" w:cs="Times New Roman"/>
                <w:b/>
                <w:kern w:val="0"/>
                <w14:ligatures w14:val="none"/>
              </w:rPr>
              <w:fldChar w:fldCharType="end"/>
            </w:r>
            <w:r w:rsidRPr="00E65C71">
              <w:rPr>
                <w:rFonts w:ascii="Times New Roman" w:eastAsia="Calibri" w:hAnsi="Times New Roman" w:cs="Times New Roman"/>
                <w:bCs/>
                <w:kern w:val="0"/>
                <w:lang w:val="ru-RU" w:eastAsia="ar-SA"/>
                <w14:ligatures w14:val="none"/>
              </w:rPr>
              <w:t xml:space="preserve">. Графическое представление дерева решений в ходе проведения исследования биоэквивалентности согласно методу </w:t>
            </w:r>
            <w:r w:rsidRPr="00E65C71">
              <w:rPr>
                <w:rFonts w:ascii="Times New Roman" w:eastAsia="Calibri" w:hAnsi="Times New Roman" w:cs="Times New Roman"/>
                <w:bCs/>
                <w:kern w:val="0"/>
                <w:lang w:eastAsia="ar-SA"/>
                <w14:ligatures w14:val="none"/>
              </w:rPr>
              <w:t>Potvin</w:t>
            </w:r>
            <w:r w:rsidRPr="00E65C71">
              <w:rPr>
                <w:rFonts w:ascii="Times New Roman" w:eastAsia="Calibri" w:hAnsi="Times New Roman" w:cs="Times New Roman"/>
                <w:bCs/>
                <w:kern w:val="0"/>
                <w:lang w:val="ru-RU" w:eastAsia="ar-SA"/>
                <w14:ligatures w14:val="none"/>
              </w:rPr>
              <w:t xml:space="preserve"> </w:t>
            </w:r>
            <w:r w:rsidRPr="00E65C71">
              <w:rPr>
                <w:rFonts w:ascii="Times New Roman" w:eastAsia="Calibri" w:hAnsi="Times New Roman" w:cs="Times New Roman"/>
                <w:bCs/>
                <w:kern w:val="0"/>
                <w:lang w:eastAsia="ar-SA"/>
                <w14:ligatures w14:val="none"/>
              </w:rPr>
              <w:t>Method</w:t>
            </w:r>
            <w:r w:rsidRPr="00E65C71">
              <w:rPr>
                <w:rFonts w:ascii="Times New Roman" w:eastAsia="Calibri" w:hAnsi="Times New Roman" w:cs="Times New Roman"/>
                <w:bCs/>
                <w:kern w:val="0"/>
                <w:lang w:val="ru-RU" w:eastAsia="ar-SA"/>
                <w14:ligatures w14:val="none"/>
              </w:rPr>
              <w:t xml:space="preserve"> </w:t>
            </w:r>
            <w:r w:rsidRPr="00E65C71">
              <w:rPr>
                <w:rFonts w:ascii="Times New Roman" w:eastAsia="Calibri" w:hAnsi="Times New Roman" w:cs="Times New Roman"/>
                <w:bCs/>
                <w:kern w:val="0"/>
                <w:lang w:eastAsia="ar-SA"/>
                <w14:ligatures w14:val="none"/>
              </w:rPr>
              <w:t>C</w:t>
            </w:r>
            <w:bookmarkEnd w:id="1"/>
            <w:bookmarkEnd w:id="2"/>
            <w:r w:rsidRPr="00E65C71">
              <w:rPr>
                <w:rFonts w:ascii="Times New Roman" w:eastAsia="Calibri" w:hAnsi="Times New Roman" w:cs="Times New Roman"/>
                <w:bCs/>
                <w:kern w:val="0"/>
                <w:lang w:val="ru-RU" w:eastAsia="ar-SA"/>
                <w14:ligatures w14:val="none"/>
              </w:rPr>
              <w:t>.</w:t>
            </w:r>
            <w:bookmarkEnd w:id="3"/>
          </w:p>
          <w:p w14:paraId="51E1DDB6" w14:textId="77777777" w:rsidR="00E65C71" w:rsidRPr="00E65C71" w:rsidRDefault="00E65C71" w:rsidP="00E65C71">
            <w:pPr>
              <w:keepNext/>
              <w:keepLines/>
              <w:suppressAutoHyphens/>
              <w:spacing w:after="0" w:line="240" w:lineRule="auto"/>
              <w:ind w:firstLine="397"/>
              <w:jc w:val="both"/>
              <w:rPr>
                <w:rFonts w:ascii="Times New Roman" w:eastAsia="Calibri" w:hAnsi="Times New Roman" w:cs="Times New Roman"/>
                <w:bCs/>
                <w:kern w:val="0"/>
                <w:lang w:val="ru-RU" w:eastAsia="ar-SA"/>
                <w14:ligatures w14:val="none"/>
              </w:rPr>
            </w:pPr>
          </w:p>
          <w:p w14:paraId="6103802F" w14:textId="77777777" w:rsidR="00E65C71" w:rsidRPr="00E65C71" w:rsidRDefault="00E65C71" w:rsidP="00E65C71">
            <w:pPr>
              <w:keepNext/>
              <w:keepLines/>
              <w:suppressAutoHyphens/>
              <w:spacing w:after="0" w:line="240" w:lineRule="auto"/>
              <w:ind w:firstLine="397"/>
              <w:jc w:val="both"/>
              <w:rPr>
                <w:rFonts w:ascii="Times New Roman" w:eastAsia="Calibri" w:hAnsi="Times New Roman" w:cs="Times New Roman"/>
                <w:bCs/>
                <w:kern w:val="0"/>
                <w:lang w:val="ru-RU" w:eastAsia="ar-SA"/>
                <w14:ligatures w14:val="none"/>
              </w:rPr>
            </w:pPr>
            <w:r w:rsidRPr="00E65C71">
              <w:rPr>
                <w:rFonts w:ascii="Times New Roman" w:eastAsia="Calibri" w:hAnsi="Times New Roman" w:cs="Times New Roman"/>
                <w:noProof/>
                <w:kern w:val="0"/>
                <w:sz w:val="28"/>
                <w:szCs w:val="28"/>
                <w:lang w:val="ru-RU" w:eastAsia="ru-RU"/>
                <w14:ligatures w14:val="none"/>
              </w:rPr>
              <w:drawing>
                <wp:inline distT="0" distB="0" distL="0" distR="0" wp14:anchorId="5C61B5CC" wp14:editId="2B882EF0">
                  <wp:extent cx="5070021" cy="5273499"/>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4171" cy="5309019"/>
                          </a:xfrm>
                          <a:prstGeom prst="rect">
                            <a:avLst/>
                          </a:prstGeom>
                        </pic:spPr>
                      </pic:pic>
                    </a:graphicData>
                  </a:graphic>
                </wp:inline>
              </w:drawing>
            </w:r>
          </w:p>
        </w:tc>
      </w:tr>
      <w:tr w:rsidR="00E65C71" w:rsidRPr="00E65C71" w14:paraId="468AA7C2" w14:textId="77777777" w:rsidTr="006E76C5">
        <w:tc>
          <w:tcPr>
            <w:tcW w:w="9322" w:type="dxa"/>
          </w:tcPr>
          <w:p w14:paraId="270E1058"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lastRenderedPageBreak/>
              <w:t>Анализ конечных точек безопасности:</w:t>
            </w:r>
          </w:p>
          <w:p w14:paraId="6195CF3E"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kern w:val="0"/>
                <w:lang w:val="ru-RU"/>
                <w14:ligatures w14:val="none"/>
              </w:rPr>
              <w:t>Безопасность сравниваемых препаратов будет оцениваться по следующим параметрам: НЯ/СНЯ, данные о сопутствующей терапии, данные лабораторных обследований (клинический анализ крови, общий анализ мочи, биохимический анализ крови), ЭКГ; данные физикального обследования, жизненных показателей (АД, ЧД, ЧСС, температуры тела).</w:t>
            </w:r>
          </w:p>
          <w:p w14:paraId="4B3C5E1B"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Все добровольцы, которые получили дозу исследуемого препарата, будут включены в популяцию для анализа безопасности. Параметры безопасности будут </w:t>
            </w:r>
            <w:r w:rsidRPr="00E65C71">
              <w:rPr>
                <w:rFonts w:ascii="Times New Roman" w:eastAsia="Times New Roman" w:hAnsi="Times New Roman" w:cs="Times New Roman"/>
                <w:kern w:val="0"/>
                <w:lang w:val="ru-RU"/>
                <w14:ligatures w14:val="none"/>
              </w:rPr>
              <w:lastRenderedPageBreak/>
              <w:t>анализироваться при помощи описательной статистики. Все результаты статистической обработки данных будут представлены в виде таблиц.</w:t>
            </w:r>
          </w:p>
          <w:p w14:paraId="65F310D1"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Все НЯ будут зафиксированы и классифицированы по степени тяжести и в соответствии с терминологией MedDRA.</w:t>
            </w:r>
          </w:p>
          <w:p w14:paraId="38D9080E"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Число НЯ и СНЯ, а также число и процент добровольцев с НЯ и СНЯ будут представлены в виде таблиц по классу систем органов и предпочтительному термину, по связи с препаратом и степени тяжести.</w:t>
            </w:r>
          </w:p>
          <w:p w14:paraId="7916CAAA"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Будут проанализированы результаты лабораторных исследований, включая любые изменения по сравнению с исходными. Отклонения от нормальных значений будут обобщены в виде частотных таблиц. Сводные таблицы динамики лабораторных показателей будут представлены по группам в соответствии с результатами, полученными на визитах, и сдвигом относительно исходного значения.</w:t>
            </w:r>
          </w:p>
          <w:p w14:paraId="7A69C3D4" w14:textId="77777777" w:rsidR="00E65C71" w:rsidRPr="00E65C71" w:rsidRDefault="00E65C71" w:rsidP="00E65C71">
            <w:pPr>
              <w:tabs>
                <w:tab w:val="left" w:pos="385"/>
              </w:tabs>
              <w:autoSpaceDE w:val="0"/>
              <w:spacing w:before="120" w:after="120" w:line="240" w:lineRule="auto"/>
              <w:ind w:left="113" w:right="113" w:firstLine="313"/>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kern w:val="0"/>
                <w:lang w:val="ru-RU"/>
                <w14:ligatures w14:val="none"/>
              </w:rPr>
              <w:t>Будут проанализированы жизненные показатели, включая клинически значимые изменения по сравнению с исходными. Отклонения от нормы будут обобщены в виде частотных таблиц.</w:t>
            </w:r>
          </w:p>
        </w:tc>
      </w:tr>
      <w:tr w:rsidR="00E65C71" w:rsidRPr="008615AD" w14:paraId="50B2AC71" w14:textId="77777777" w:rsidTr="006E76C5">
        <w:tc>
          <w:tcPr>
            <w:tcW w:w="9322" w:type="dxa"/>
          </w:tcPr>
          <w:p w14:paraId="50528E2C"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lastRenderedPageBreak/>
              <w:t>Размер выборки:</w:t>
            </w:r>
          </w:p>
          <w:p w14:paraId="0A251FE1" w14:textId="77777777" w:rsidR="00E65C71" w:rsidRPr="00E65C71" w:rsidRDefault="00E65C71" w:rsidP="00E65C71">
            <w:pPr>
              <w:spacing w:before="120"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Для расчета выборки для адаптивного дизайна с параллельными группами используется показатель CVtotal, складывающийся из показателей внутри- и межиндивидуальной вариабельности. </w:t>
            </w:r>
          </w:p>
          <w:p w14:paraId="4D44B1CF"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Расчет выборки был проведен на основании литературных данных об общей вариабельности фармакокинетических показателей (C</w:t>
            </w:r>
            <w:r w:rsidRPr="00E65C71">
              <w:rPr>
                <w:rFonts w:ascii="Times New Roman" w:eastAsia="Times New Roman" w:hAnsi="Times New Roman" w:cs="Times New Roman"/>
                <w:kern w:val="0"/>
                <w:vertAlign w:val="subscript"/>
                <w:lang w:val="ru-RU"/>
                <w14:ligatures w14:val="none"/>
              </w:rPr>
              <w:t>max</w:t>
            </w:r>
            <w:r w:rsidRPr="00E65C71">
              <w:rPr>
                <w:rFonts w:ascii="Times New Roman" w:eastAsia="Times New Roman" w:hAnsi="Times New Roman" w:cs="Times New Roman"/>
                <w:kern w:val="0"/>
                <w:lang w:val="ru-RU"/>
                <w14:ligatures w14:val="none"/>
              </w:rPr>
              <w:t>, AUC) висмодегиба в исследовании с участием профильных пациенток. По данным, представленным в исследовании с участием пациентов с распространенными или метастатическими солидными опухолями</w:t>
            </w:r>
            <w:r w:rsidRPr="00E65C71">
              <w:rPr>
                <w:rFonts w:ascii="Times New Roman" w:eastAsia="Times New Roman" w:hAnsi="Times New Roman" w:cs="Times New Roman"/>
                <w:kern w:val="0"/>
                <w:vertAlign w:val="superscript"/>
                <w14:ligatures w14:val="none"/>
              </w:rPr>
              <w:footnoteReference w:id="3"/>
            </w:r>
            <w:r w:rsidRPr="00E65C71">
              <w:rPr>
                <w:rFonts w:ascii="Times New Roman" w:eastAsia="Times New Roman" w:hAnsi="Times New Roman" w:cs="Times New Roman"/>
                <w:kern w:val="0"/>
                <w:lang w:val="ru-RU"/>
                <w14:ligatures w14:val="none"/>
              </w:rPr>
              <w:t>, при введении 150 мг висмодегиба Cmax составляет 3.58±1.34 мкмоль/л, AUC – 322±185 мкмоль/л/ч, таким образом, показатели CVtotal составляют 37,6% и 57% для Cmax и AUC, соответственно. В другом исследовании были получены сравнимые параметры общей вариабельности Cmax и AUC – 55 и 56%, соответственно</w:t>
            </w:r>
            <w:r w:rsidRPr="00E65C71">
              <w:rPr>
                <w:rFonts w:ascii="Times New Roman" w:eastAsia="Times New Roman" w:hAnsi="Times New Roman" w:cs="Times New Roman"/>
                <w:kern w:val="0"/>
                <w:vertAlign w:val="superscript"/>
                <w:lang w:val="ru-RU"/>
                <w14:ligatures w14:val="none"/>
              </w:rPr>
              <w:footnoteReference w:id="4"/>
            </w:r>
            <w:r w:rsidRPr="00E65C71">
              <w:rPr>
                <w:rFonts w:ascii="Times New Roman" w:eastAsia="Times New Roman" w:hAnsi="Times New Roman" w:cs="Times New Roman"/>
                <w:kern w:val="0"/>
                <w:lang w:val="ru-RU"/>
                <w14:ligatures w14:val="none"/>
              </w:rPr>
              <w:t>.</w:t>
            </w:r>
          </w:p>
          <w:p w14:paraId="5F663F71" w14:textId="77777777" w:rsidR="00E65C71" w:rsidRPr="00E65C71" w:rsidRDefault="00E65C71" w:rsidP="00E65C71">
            <w:pPr>
              <w:spacing w:before="120" w:after="120" w:line="240" w:lineRule="auto"/>
              <w:ind w:firstLine="397"/>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Выборка была рассчитана для усредненного показателя общей вариабельности (30%) с помощью пакета Power2Stage с использованием ПО R:</w:t>
            </w:r>
          </w:p>
          <w:p w14:paraId="709CCBCE"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&gt; power.tsd.p(method = "C", CV = 0.30, n1 = 70, pmethod = "shifted", npct = c(0.05, 0.5, 1), test = "welch")</w:t>
            </w:r>
          </w:p>
          <w:p w14:paraId="4A43A468"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p>
          <w:p w14:paraId="20070C50"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 xml:space="preserve">TSD with 2 parallel groups </w:t>
            </w:r>
          </w:p>
          <w:p w14:paraId="49702D6E"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 xml:space="preserve">Method C: alpha0 = 0.05, alpha (s1/s2) = 0.0294 0.0294 </w:t>
            </w:r>
          </w:p>
          <w:p w14:paraId="6F8BC307"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 xml:space="preserve">CIs based on Welch's t-test </w:t>
            </w:r>
          </w:p>
          <w:p w14:paraId="5FC5DD3A"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Target power in power monitoring and sample size est. = 0.8</w:t>
            </w:r>
          </w:p>
          <w:p w14:paraId="44C4D34F"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 xml:space="preserve">Power calculation via shifted central t approx. </w:t>
            </w:r>
          </w:p>
          <w:p w14:paraId="4DEB645A"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lastRenderedPageBreak/>
              <w:t>CV1 and GMR = 0.95 in sample size est. used</w:t>
            </w:r>
          </w:p>
          <w:p w14:paraId="5A75A4B0"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No futility criterion</w:t>
            </w:r>
          </w:p>
          <w:p w14:paraId="6E3BE587"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BE acceptance range = 0.8 ... 1.25</w:t>
            </w:r>
          </w:p>
          <w:p w14:paraId="0AE153F9"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p>
          <w:p w14:paraId="015F288A"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CV = 0.3; ntot(stage 1) = 70 (nT, nR = 35, 35); GMR = 0.95</w:t>
            </w:r>
          </w:p>
          <w:p w14:paraId="3AA2E8A3"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p>
          <w:p w14:paraId="16C37907"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1e+05 sims at theta0 = 0.95 (p(BE) = 'power').</w:t>
            </w:r>
          </w:p>
          <w:p w14:paraId="6406CF3E"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p(BE)    = 0.83391</w:t>
            </w:r>
          </w:p>
          <w:p w14:paraId="74496539"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p(BE) s1 = 0.69981</w:t>
            </w:r>
          </w:p>
          <w:p w14:paraId="3EBD2488"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Studies in stage 2 = 23.74%</w:t>
            </w:r>
          </w:p>
          <w:p w14:paraId="792F53BD"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p>
          <w:p w14:paraId="27AC6DCD" w14:textId="77777777" w:rsidR="00E65C71" w:rsidRPr="00E65C71" w:rsidRDefault="00E65C71" w:rsidP="00E65C71">
            <w:pPr>
              <w:spacing w:after="0" w:line="240" w:lineRule="auto"/>
              <w:ind w:firstLine="425"/>
              <w:rPr>
                <w:rFonts w:ascii="Times New Roman" w:eastAsia="Times New Roman" w:hAnsi="Times New Roman" w:cs="Times New Roman"/>
                <w:kern w:val="0"/>
                <w14:ligatures w14:val="none"/>
              </w:rPr>
            </w:pPr>
            <w:r w:rsidRPr="00E65C71">
              <w:rPr>
                <w:rFonts w:ascii="Times New Roman" w:eastAsia="Times New Roman" w:hAnsi="Times New Roman" w:cs="Times New Roman"/>
                <w:kern w:val="0"/>
                <w14:ligatures w14:val="none"/>
              </w:rPr>
              <w:t>Distribution of n(total)</w:t>
            </w:r>
          </w:p>
          <w:p w14:paraId="1CFD19EE" w14:textId="77777777" w:rsidR="00E65C71" w:rsidRPr="00E65C71" w:rsidRDefault="00E65C71" w:rsidP="00E65C71">
            <w:pPr>
              <w:spacing w:after="0" w:line="240" w:lineRule="auto"/>
              <w:ind w:firstLine="425"/>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14:ligatures w14:val="none"/>
              </w:rPr>
              <w:t xml:space="preserve">- mean (range) = 77.4 (70 ... </w:t>
            </w:r>
            <w:r w:rsidRPr="00E65C71">
              <w:rPr>
                <w:rFonts w:ascii="Times New Roman" w:eastAsia="Times New Roman" w:hAnsi="Times New Roman" w:cs="Times New Roman"/>
                <w:kern w:val="0"/>
                <w:lang w:val="ru-RU"/>
                <w14:ligatures w14:val="none"/>
              </w:rPr>
              <w:t>168)</w:t>
            </w:r>
          </w:p>
          <w:p w14:paraId="34D88BBD" w14:textId="77777777" w:rsidR="00E65C71" w:rsidRPr="00E65C71" w:rsidRDefault="00E65C71" w:rsidP="00E65C71">
            <w:pPr>
              <w:spacing w:after="0" w:line="240" w:lineRule="auto"/>
              <w:ind w:firstLine="425"/>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 </w:t>
            </w:r>
            <w:r w:rsidRPr="00E65C71">
              <w:rPr>
                <w:rFonts w:ascii="Times New Roman" w:eastAsia="Times New Roman" w:hAnsi="Times New Roman" w:cs="Times New Roman"/>
                <w:kern w:val="0"/>
                <w14:ligatures w14:val="none"/>
              </w:rPr>
              <w:t>percentiles</w:t>
            </w:r>
          </w:p>
          <w:p w14:paraId="7275A80D" w14:textId="77777777" w:rsidR="00E65C71" w:rsidRPr="00E65C71" w:rsidRDefault="00E65C71" w:rsidP="00E65C71">
            <w:pPr>
              <w:spacing w:after="0" w:line="240" w:lineRule="auto"/>
              <w:ind w:firstLine="425"/>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  5%  50% 100% </w:t>
            </w:r>
          </w:p>
          <w:p w14:paraId="26BCE51F" w14:textId="77777777" w:rsidR="00E65C71" w:rsidRPr="00E65C71" w:rsidRDefault="00E65C71" w:rsidP="00E65C71">
            <w:pPr>
              <w:spacing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 xml:space="preserve">  70   70  168  </w:t>
            </w:r>
          </w:p>
          <w:p w14:paraId="37AEAD67" w14:textId="77777777" w:rsidR="00E65C71" w:rsidRPr="00E65C71" w:rsidRDefault="00E65C71" w:rsidP="00E65C71">
            <w:pPr>
              <w:spacing w:after="0" w:line="240" w:lineRule="auto"/>
              <w:ind w:firstLine="426"/>
              <w:rPr>
                <w:rFonts w:ascii="Times New Roman" w:eastAsia="Times New Roman" w:hAnsi="Times New Roman" w:cs="Times New Roman"/>
                <w:kern w:val="0"/>
                <w:lang w:val="ru-RU"/>
                <w14:ligatures w14:val="none"/>
              </w:rPr>
            </w:pPr>
          </w:p>
          <w:p w14:paraId="433F2BC6" w14:textId="77777777" w:rsidR="00E65C71" w:rsidRPr="00E65C71" w:rsidRDefault="00E65C71" w:rsidP="00E65C71">
            <w:pPr>
              <w:spacing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Итого для достижения целевой мощности на Этапе 1 предполагается к анализу 70 добровольцев.</w:t>
            </w:r>
          </w:p>
          <w:p w14:paraId="697F1F39" w14:textId="77777777" w:rsidR="00E65C71" w:rsidRPr="00E65C71" w:rsidRDefault="00E65C71" w:rsidP="00E65C71">
            <w:pPr>
              <w:spacing w:after="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 учетом возможного отсева приблизительно 10% добровольцев необходимо рандомизировать 78 добровольцев на Этапе 1.</w:t>
            </w:r>
          </w:p>
          <w:p w14:paraId="4CDDB4CF"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С учетом возможного 20% отсева на скрининге в исследование будут скринированы до 98 добровольцев женского пола на Этапе 1.</w:t>
            </w:r>
          </w:p>
          <w:p w14:paraId="706E40A3"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kern w:val="0"/>
                <w:lang w:val="ru-RU"/>
                <w14:ligatures w14:val="none"/>
              </w:rPr>
            </w:pPr>
            <w:r w:rsidRPr="00E65C71">
              <w:rPr>
                <w:rFonts w:ascii="Times New Roman" w:eastAsia="Times New Roman" w:hAnsi="Times New Roman" w:cs="Times New Roman"/>
                <w:kern w:val="0"/>
                <w:lang w:val="ru-RU"/>
                <w14:ligatures w14:val="none"/>
              </w:rPr>
              <w:t>Объем выборки, необходимый для включения на Этапе 2 исследования, в соответствии с адаптивным характером дизайна будет рассчитан после получения результатов о мощности в ходе промежуточного анализа данных Этапа 1.</w:t>
            </w:r>
          </w:p>
        </w:tc>
      </w:tr>
      <w:tr w:rsidR="00E65C71" w:rsidRPr="008615AD" w14:paraId="2603F7FD" w14:textId="77777777" w:rsidTr="006E76C5">
        <w:tc>
          <w:tcPr>
            <w:tcW w:w="9322" w:type="dxa"/>
          </w:tcPr>
          <w:p w14:paraId="718E555F" w14:textId="77777777" w:rsidR="00E65C71" w:rsidRPr="00E65C71" w:rsidRDefault="00E65C71" w:rsidP="00E65C71">
            <w:pPr>
              <w:spacing w:before="120" w:after="120" w:line="240" w:lineRule="auto"/>
              <w:ind w:left="165" w:right="113" w:firstLine="397"/>
              <w:jc w:val="both"/>
              <w:rPr>
                <w:rFonts w:ascii="Times New Roman" w:eastAsia="Times New Roman" w:hAnsi="Times New Roman" w:cs="Times New Roman"/>
                <w:bCs/>
                <w:kern w:val="0"/>
                <w:lang w:val="ru-RU" w:eastAsia="ar-SA"/>
                <w14:ligatures w14:val="none"/>
              </w:rPr>
            </w:pPr>
            <w:r w:rsidRPr="00E65C71">
              <w:rPr>
                <w:rFonts w:ascii="Times New Roman" w:eastAsia="Times New Roman" w:hAnsi="Times New Roman" w:cs="Times New Roman"/>
                <w:b/>
                <w:kern w:val="0"/>
                <w:lang w:val="ru-RU"/>
                <w14:ligatures w14:val="none"/>
              </w:rPr>
              <w:lastRenderedPageBreak/>
              <w:t>Рандомизация:</w:t>
            </w:r>
            <w:r w:rsidRPr="00E65C71">
              <w:rPr>
                <w:rFonts w:ascii="Times New Roman" w:eastAsia="Times New Roman" w:hAnsi="Times New Roman" w:cs="Times New Roman"/>
                <w:bCs/>
                <w:kern w:val="0"/>
                <w:lang w:val="ru-RU" w:eastAsia="ar-SA"/>
                <w14:ligatures w14:val="none"/>
              </w:rPr>
              <w:t xml:space="preserve"> </w:t>
            </w:r>
          </w:p>
          <w:p w14:paraId="7C6E140C" w14:textId="77777777" w:rsidR="00E65C71" w:rsidRPr="00E65C71" w:rsidRDefault="00E65C71" w:rsidP="00E65C71">
            <w:pPr>
              <w:spacing w:before="120" w:after="120" w:line="240" w:lineRule="auto"/>
              <w:ind w:left="165" w:firstLine="397"/>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kern w:val="0"/>
                <w:lang w:val="ru-RU"/>
                <w14:ligatures w14:val="none"/>
              </w:rPr>
              <w:t xml:space="preserve">Добровольцы будут распределены в одну из двух групп в соответствии с рандомизационным листом методом блочной рандомизации без стратификации в соотношении 1:1 </w:t>
            </w:r>
            <w:r w:rsidRPr="00E65C71">
              <w:rPr>
                <w:rFonts w:ascii="Times New Roman" w:eastAsia="Times New Roman" w:hAnsi="Times New Roman" w:cs="Times New Roman"/>
                <w:bCs/>
                <w:kern w:val="0"/>
                <w:lang w:val="ru-RU" w:eastAsia="ar-SA"/>
                <w14:ligatures w14:val="none"/>
              </w:rPr>
              <w:t xml:space="preserve">с использованием программы </w:t>
            </w:r>
            <w:r w:rsidRPr="00E65C71">
              <w:rPr>
                <w:rFonts w:ascii="Times New Roman" w:eastAsia="Times New Roman" w:hAnsi="Times New Roman" w:cs="Times New Roman"/>
                <w:bCs/>
                <w:kern w:val="0"/>
                <w:lang w:eastAsia="ar-SA"/>
                <w14:ligatures w14:val="none"/>
              </w:rPr>
              <w:t>IWRS</w:t>
            </w:r>
            <w:r w:rsidRPr="00E65C71">
              <w:rPr>
                <w:rFonts w:ascii="Times New Roman" w:eastAsia="Times New Roman" w:hAnsi="Times New Roman" w:cs="Times New Roman"/>
                <w:bCs/>
                <w:kern w:val="0"/>
                <w:lang w:val="ru-RU" w:eastAsia="ar-SA"/>
                <w14:ligatures w14:val="none"/>
              </w:rPr>
              <w:t xml:space="preserve"> </w:t>
            </w:r>
            <w:r w:rsidRPr="00E65C71">
              <w:rPr>
                <w:rFonts w:ascii="Times New Roman" w:eastAsia="Times New Roman" w:hAnsi="Times New Roman" w:cs="Times New Roman"/>
                <w:bCs/>
                <w:kern w:val="0"/>
                <w:lang w:eastAsia="ar-SA"/>
                <w14:ligatures w14:val="none"/>
              </w:rPr>
              <w:t>iRand</w:t>
            </w:r>
            <w:r w:rsidRPr="00E65C71">
              <w:rPr>
                <w:rFonts w:ascii="Times New Roman" w:eastAsia="Times New Roman" w:hAnsi="Times New Roman" w:cs="Times New Roman"/>
                <w:kern w:val="0"/>
                <w:lang w:val="ru-RU"/>
                <w14:ligatures w14:val="none"/>
              </w:rPr>
              <w:t>. В каждую группу на Этапе 1 будет включено 39 добровольцев. Добровольцы получат исследуемый или референтный препарат в соответствии с группой, в которую они распределены.</w:t>
            </w:r>
          </w:p>
        </w:tc>
      </w:tr>
      <w:tr w:rsidR="00E65C71" w:rsidRPr="008615AD" w14:paraId="107B11AC" w14:textId="77777777" w:rsidTr="006E76C5">
        <w:tc>
          <w:tcPr>
            <w:tcW w:w="9322" w:type="dxa"/>
          </w:tcPr>
          <w:p w14:paraId="014D607B" w14:textId="77777777" w:rsidR="00E65C71" w:rsidRPr="00E65C71" w:rsidRDefault="00E65C71" w:rsidP="00E65C71">
            <w:pPr>
              <w:spacing w:before="120" w:after="120" w:line="240" w:lineRule="auto"/>
              <w:ind w:firstLine="426"/>
              <w:jc w:val="both"/>
              <w:rPr>
                <w:rFonts w:ascii="Times New Roman" w:eastAsia="Times New Roman" w:hAnsi="Times New Roman" w:cs="Times New Roman"/>
                <w:b/>
                <w:kern w:val="0"/>
                <w:lang w:val="ru-RU"/>
                <w14:ligatures w14:val="none"/>
              </w:rPr>
            </w:pPr>
            <w:r w:rsidRPr="00E65C71">
              <w:rPr>
                <w:rFonts w:ascii="Times New Roman" w:eastAsia="Times New Roman" w:hAnsi="Times New Roman" w:cs="Times New Roman"/>
                <w:b/>
                <w:kern w:val="0"/>
                <w:lang w:val="ru-RU"/>
                <w14:ligatures w14:val="none"/>
              </w:rPr>
              <w:t xml:space="preserve">Версия и дата протокола: </w:t>
            </w:r>
            <w:r w:rsidRPr="00E65C71">
              <w:rPr>
                <w:rFonts w:ascii="Times New Roman" w:eastAsia="Times New Roman" w:hAnsi="Times New Roman" w:cs="Times New Roman"/>
                <w:noProof/>
                <w:kern w:val="0"/>
                <w:lang w:val="ru-RU"/>
                <w14:ligatures w14:val="none"/>
              </w:rPr>
              <w:t>версия 2.1 от 31 марта 2023 г.</w:t>
            </w:r>
          </w:p>
        </w:tc>
      </w:tr>
    </w:tbl>
    <w:p w14:paraId="6E5D7521" w14:textId="047098F3" w:rsidR="00E65C71" w:rsidRPr="008615AD" w:rsidRDefault="00E65C71" w:rsidP="00E65C71">
      <w:pPr>
        <w:tabs>
          <w:tab w:val="left" w:pos="3107"/>
        </w:tabs>
        <w:rPr>
          <w:lang w:val="ru-RU"/>
        </w:rPr>
      </w:pPr>
    </w:p>
    <w:p w14:paraId="7E6C6C8E" w14:textId="4CFD26A9" w:rsidR="006E76C5" w:rsidRPr="006E76C5" w:rsidRDefault="006E76C5" w:rsidP="00E65C71">
      <w:pPr>
        <w:tabs>
          <w:tab w:val="left" w:pos="3107"/>
        </w:tabs>
        <w:rPr>
          <w:rFonts w:ascii="Times New Roman" w:hAnsi="Times New Roman" w:cs="Times New Roman"/>
          <w:lang w:val="ru-RU"/>
        </w:rPr>
      </w:pPr>
      <w:r w:rsidRPr="006E76C5">
        <w:rPr>
          <w:rFonts w:ascii="Times New Roman" w:hAnsi="Times New Roman" w:cs="Times New Roman"/>
          <w:lang w:val="ru-RU"/>
        </w:rPr>
        <w:t>Список литературы</w:t>
      </w:r>
    </w:p>
    <w:sectPr w:rsidR="006E76C5" w:rsidRPr="006E76C5">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05DC" w14:textId="77777777" w:rsidR="006117B9" w:rsidRDefault="006117B9" w:rsidP="00E65C71">
      <w:pPr>
        <w:spacing w:after="0" w:line="240" w:lineRule="auto"/>
      </w:pPr>
      <w:r>
        <w:separator/>
      </w:r>
    </w:p>
  </w:endnote>
  <w:endnote w:type="continuationSeparator" w:id="0">
    <w:p w14:paraId="32E463FF" w14:textId="77777777" w:rsidR="006117B9" w:rsidRDefault="006117B9" w:rsidP="00E65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3C151" w14:textId="77777777" w:rsidR="006117B9" w:rsidRDefault="006117B9" w:rsidP="00E65C71">
      <w:pPr>
        <w:spacing w:after="0" w:line="240" w:lineRule="auto"/>
      </w:pPr>
      <w:r>
        <w:separator/>
      </w:r>
    </w:p>
  </w:footnote>
  <w:footnote w:type="continuationSeparator" w:id="0">
    <w:p w14:paraId="4FA05B8B" w14:textId="77777777" w:rsidR="006117B9" w:rsidRDefault="006117B9" w:rsidP="00E65C71">
      <w:pPr>
        <w:spacing w:after="0" w:line="240" w:lineRule="auto"/>
      </w:pPr>
      <w:r>
        <w:continuationSeparator/>
      </w:r>
    </w:p>
  </w:footnote>
  <w:footnote w:id="1">
    <w:p w14:paraId="227D647D" w14:textId="77777777" w:rsidR="00E65C71" w:rsidRPr="00C73292" w:rsidRDefault="00E65C71" w:rsidP="00E65C71">
      <w:pPr>
        <w:pStyle w:val="FootnoteText"/>
        <w:rPr>
          <w:lang w:val="ru-RU"/>
        </w:rPr>
      </w:pPr>
      <w:r w:rsidRPr="005A195E">
        <w:rPr>
          <w:rStyle w:val="FootnoteReference"/>
          <w:sz w:val="18"/>
        </w:rPr>
        <w:footnoteRef/>
      </w:r>
      <w:r w:rsidRPr="00C73292">
        <w:rPr>
          <w:sz w:val="18"/>
          <w:lang w:val="ru-RU"/>
        </w:rPr>
        <w:t xml:space="preserve"> Одна единица алкоголя эквивалентна ½ литра пива, 200 мл вина или 50 мл крепких алкогольных напитков.</w:t>
      </w:r>
    </w:p>
  </w:footnote>
  <w:footnote w:id="2">
    <w:p w14:paraId="3F84C4D6" w14:textId="77777777" w:rsidR="00E65C71" w:rsidRPr="00535494" w:rsidRDefault="00E65C71" w:rsidP="00E65C71">
      <w:pPr>
        <w:pStyle w:val="FootnoteText"/>
      </w:pPr>
      <w:r>
        <w:rPr>
          <w:rStyle w:val="FootnoteReference"/>
        </w:rPr>
        <w:footnoteRef/>
      </w:r>
      <w:r w:rsidRPr="00535494">
        <w:t xml:space="preserve"> </w:t>
      </w:r>
      <w:r w:rsidRPr="00006F45">
        <w:t>Schütz, H. « Two-stage designs in bioequivalence trials»</w:t>
      </w:r>
      <w:r>
        <w:t xml:space="preserve"> Eur J Clin Pharmacol</w:t>
      </w:r>
      <w:r w:rsidRPr="00006F45">
        <w:t xml:space="preserve"> 71: 271. (2015)</w:t>
      </w:r>
    </w:p>
  </w:footnote>
  <w:footnote w:id="3">
    <w:p w14:paraId="63800CC6" w14:textId="77777777" w:rsidR="00E65C71" w:rsidRPr="0090392A" w:rsidRDefault="00E65C71" w:rsidP="00E65C71">
      <w:pPr>
        <w:pStyle w:val="FootnoteText"/>
      </w:pPr>
      <w:r w:rsidRPr="0090392A">
        <w:rPr>
          <w:rStyle w:val="FootnoteReference"/>
        </w:rPr>
        <w:footnoteRef/>
      </w:r>
      <w:r w:rsidRPr="0090392A">
        <w:t xml:space="preserve"> </w:t>
      </w:r>
      <w:r w:rsidRPr="0090392A">
        <w:rPr>
          <w:color w:val="212121"/>
          <w:sz w:val="18"/>
          <w:szCs w:val="18"/>
          <w:shd w:val="clear" w:color="auto" w:fill="FFFFFF"/>
        </w:rPr>
        <w:t>Graham RA, Lum BL, Cheeti S, Jin JY, Jorga K, Von Hoff DD, Rudin CM, Reddy JC, Low JA, Lorusso PM. Pharmacokinetics of hedgehog pathway inhibitor vismodegib (GDC-0449) in patients with locally advanced or metastatic solid tumors: the role of alpha-1-acid glycoprotein binding. Clin Cancer Res. 2011 Apr 15;17(8):2512-20. doi: 10.1158/1078-0432.CCR-10-2736. Epub 2011 Feb 7. PMID: 21300760; PMCID: PMC3703823.</w:t>
      </w:r>
    </w:p>
  </w:footnote>
  <w:footnote w:id="4">
    <w:p w14:paraId="4276E943" w14:textId="77777777" w:rsidR="00E65C71" w:rsidRPr="009820E2" w:rsidRDefault="00E65C71" w:rsidP="00E65C71">
      <w:pPr>
        <w:pStyle w:val="FootnoteText"/>
      </w:pPr>
      <w:r w:rsidRPr="0090392A">
        <w:rPr>
          <w:rStyle w:val="FootnoteReference"/>
        </w:rPr>
        <w:footnoteRef/>
      </w:r>
      <w:r w:rsidRPr="0090392A">
        <w:t xml:space="preserve"> </w:t>
      </w:r>
      <w:r w:rsidRPr="0090392A">
        <w:rPr>
          <w:color w:val="212121"/>
          <w:sz w:val="18"/>
          <w:szCs w:val="18"/>
          <w:shd w:val="clear" w:color="auto" w:fill="FFFFFF"/>
        </w:rPr>
        <w:t>Sharma MR, Karrison TG, Kell B, Wu K, Turcich M, Geary D, Kang SP, Takebe N, Graham RA, Maitland ML, Schilsky RL, Ratain MJ, Cohen EE. Evaluation of food effect on pharmacokinetics of vismodegib in advanced solid tumor patients. Clin Cancer Res. 2013 Jun 1;19(11):3059-67. doi: 10.1158/1078-0432.CCR-12-3829. Epub 2013 Apr 3. PMID: 23553850; PMCID: PMC3674138.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EC4"/>
    <w:multiLevelType w:val="hybridMultilevel"/>
    <w:tmpl w:val="2FD68990"/>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 w15:restartNumberingAfterBreak="0">
    <w:nsid w:val="0DE54D37"/>
    <w:multiLevelType w:val="hybridMultilevel"/>
    <w:tmpl w:val="1AA8285C"/>
    <w:lvl w:ilvl="0" w:tplc="04190001">
      <w:start w:val="1"/>
      <w:numFmt w:val="bullet"/>
      <w:lvlText w:val=""/>
      <w:lvlJc w:val="left"/>
      <w:pPr>
        <w:ind w:left="1146" w:hanging="360"/>
      </w:pPr>
      <w:rPr>
        <w:rFonts w:ascii="Symbol" w:hAnsi="Symbol"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 w15:restartNumberingAfterBreak="0">
    <w:nsid w:val="2DD86BAE"/>
    <w:multiLevelType w:val="hybridMultilevel"/>
    <w:tmpl w:val="78DE3C3A"/>
    <w:lvl w:ilvl="0" w:tplc="4CC6B3AC">
      <w:start w:val="1"/>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309B7942"/>
    <w:multiLevelType w:val="hybridMultilevel"/>
    <w:tmpl w:val="91D047C6"/>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4" w15:restartNumberingAfterBreak="0">
    <w:nsid w:val="438D40C7"/>
    <w:multiLevelType w:val="hybridMultilevel"/>
    <w:tmpl w:val="6BE6D4CC"/>
    <w:lvl w:ilvl="0" w:tplc="BF9A270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58DC42BD"/>
    <w:multiLevelType w:val="hybridMultilevel"/>
    <w:tmpl w:val="3754F4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FDC344B"/>
    <w:multiLevelType w:val="hybridMultilevel"/>
    <w:tmpl w:val="C826E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69B078B"/>
    <w:multiLevelType w:val="hybridMultilevel"/>
    <w:tmpl w:val="D15AFE52"/>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8" w15:restartNumberingAfterBreak="0">
    <w:nsid w:val="75F455B4"/>
    <w:multiLevelType w:val="hybridMultilevel"/>
    <w:tmpl w:val="1E80659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num w:numId="1" w16cid:durableId="1591891105">
    <w:abstractNumId w:val="0"/>
  </w:num>
  <w:num w:numId="2" w16cid:durableId="1635329830">
    <w:abstractNumId w:val="6"/>
  </w:num>
  <w:num w:numId="3" w16cid:durableId="522937137">
    <w:abstractNumId w:val="8"/>
  </w:num>
  <w:num w:numId="4" w16cid:durableId="229585109">
    <w:abstractNumId w:val="2"/>
  </w:num>
  <w:num w:numId="5" w16cid:durableId="1675957220">
    <w:abstractNumId w:val="4"/>
  </w:num>
  <w:num w:numId="6" w16cid:durableId="571282673">
    <w:abstractNumId w:val="1"/>
  </w:num>
  <w:num w:numId="7" w16cid:durableId="1153060576">
    <w:abstractNumId w:val="7"/>
  </w:num>
  <w:num w:numId="8" w16cid:durableId="300578860">
    <w:abstractNumId w:val="3"/>
  </w:num>
  <w:num w:numId="9" w16cid:durableId="1885940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71"/>
    <w:rsid w:val="00224A44"/>
    <w:rsid w:val="00236FFE"/>
    <w:rsid w:val="002E3114"/>
    <w:rsid w:val="00356ADC"/>
    <w:rsid w:val="005D2099"/>
    <w:rsid w:val="006117B9"/>
    <w:rsid w:val="006E76C5"/>
    <w:rsid w:val="00751DDD"/>
    <w:rsid w:val="007C798F"/>
    <w:rsid w:val="008615AD"/>
    <w:rsid w:val="008C4D88"/>
    <w:rsid w:val="00C64CE2"/>
    <w:rsid w:val="00DB4171"/>
    <w:rsid w:val="00E65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EE64"/>
  <w15:chartTrackingRefBased/>
  <w15:docId w15:val="{E8B4C2DA-4C13-402E-A7E0-B2DAFFE1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71"/>
    <w:rPr>
      <w:rFonts w:eastAsiaTheme="majorEastAsia" w:cstheme="majorBidi"/>
      <w:color w:val="272727" w:themeColor="text1" w:themeTint="D8"/>
    </w:rPr>
  </w:style>
  <w:style w:type="paragraph" w:styleId="Title">
    <w:name w:val="Title"/>
    <w:basedOn w:val="Normal"/>
    <w:next w:val="Normal"/>
    <w:link w:val="TitleChar"/>
    <w:uiPriority w:val="10"/>
    <w:qFormat/>
    <w:rsid w:val="00E6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71"/>
    <w:pPr>
      <w:spacing w:before="160"/>
      <w:jc w:val="center"/>
    </w:pPr>
    <w:rPr>
      <w:i/>
      <w:iCs/>
      <w:color w:val="404040" w:themeColor="text1" w:themeTint="BF"/>
    </w:rPr>
  </w:style>
  <w:style w:type="character" w:customStyle="1" w:styleId="QuoteChar">
    <w:name w:val="Quote Char"/>
    <w:basedOn w:val="DefaultParagraphFont"/>
    <w:link w:val="Quote"/>
    <w:uiPriority w:val="29"/>
    <w:rsid w:val="00E65C71"/>
    <w:rPr>
      <w:i/>
      <w:iCs/>
      <w:color w:val="404040" w:themeColor="text1" w:themeTint="BF"/>
    </w:rPr>
  </w:style>
  <w:style w:type="paragraph" w:styleId="ListParagraph">
    <w:name w:val="List Paragraph"/>
    <w:basedOn w:val="Normal"/>
    <w:uiPriority w:val="34"/>
    <w:qFormat/>
    <w:rsid w:val="00E65C71"/>
    <w:pPr>
      <w:ind w:left="720"/>
      <w:contextualSpacing/>
    </w:pPr>
  </w:style>
  <w:style w:type="character" w:styleId="IntenseEmphasis">
    <w:name w:val="Intense Emphasis"/>
    <w:basedOn w:val="DefaultParagraphFont"/>
    <w:uiPriority w:val="21"/>
    <w:qFormat/>
    <w:rsid w:val="00E65C71"/>
    <w:rPr>
      <w:i/>
      <w:iCs/>
      <w:color w:val="2F5496" w:themeColor="accent1" w:themeShade="BF"/>
    </w:rPr>
  </w:style>
  <w:style w:type="paragraph" w:styleId="IntenseQuote">
    <w:name w:val="Intense Quote"/>
    <w:basedOn w:val="Normal"/>
    <w:next w:val="Normal"/>
    <w:link w:val="IntenseQuoteChar"/>
    <w:uiPriority w:val="30"/>
    <w:qFormat/>
    <w:rsid w:val="00E65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C71"/>
    <w:rPr>
      <w:i/>
      <w:iCs/>
      <w:color w:val="2F5496" w:themeColor="accent1" w:themeShade="BF"/>
    </w:rPr>
  </w:style>
  <w:style w:type="character" w:styleId="IntenseReference">
    <w:name w:val="Intense Reference"/>
    <w:basedOn w:val="DefaultParagraphFont"/>
    <w:uiPriority w:val="32"/>
    <w:qFormat/>
    <w:rsid w:val="00E65C71"/>
    <w:rPr>
      <w:b/>
      <w:bCs/>
      <w:smallCaps/>
      <w:color w:val="2F5496" w:themeColor="accent1" w:themeShade="BF"/>
      <w:spacing w:val="5"/>
    </w:rPr>
  </w:style>
  <w:style w:type="paragraph" w:styleId="FootnoteText">
    <w:name w:val="footnote text"/>
    <w:basedOn w:val="Normal"/>
    <w:link w:val="FootnoteTextChar"/>
    <w:uiPriority w:val="99"/>
    <w:semiHidden/>
    <w:unhideWhenUsed/>
    <w:rsid w:val="00E65C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5C71"/>
    <w:rPr>
      <w:sz w:val="20"/>
      <w:szCs w:val="20"/>
    </w:rPr>
  </w:style>
  <w:style w:type="table" w:styleId="TableGrid">
    <w:name w:val="Table Grid"/>
    <w:basedOn w:val="TableNormal"/>
    <w:uiPriority w:val="59"/>
    <w:rsid w:val="00E65C71"/>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E65C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4496</Words>
  <Characters>25630</Characters>
  <Application>Microsoft Office Word</Application>
  <DocSecurity>0</DocSecurity>
  <Lines>213</Lines>
  <Paragraphs>60</Paragraphs>
  <ScaleCrop>false</ScaleCrop>
  <Company/>
  <LinksUpToDate>false</LinksUpToDate>
  <CharactersWithSpaces>30066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Ivanova</dc:creator>
  <cp:keywords/>
  <dc:description/>
  <cp:lastModifiedBy>Ekaterina Ivanova</cp:lastModifiedBy>
  <cp:revision>3</cp:revision>
  <dcterms:created xsi:type="dcterms:W3CDTF">2026-01-25T09:31:00Z</dcterms:created>
  <dcterms:modified xsi:type="dcterms:W3CDTF">2026-02-18T12:39:00Z</dcterms:modified>
</cp:coreProperties>
</file>