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4504"/>
        <w:gridCol w:w="3155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Название клинического исследования</w:t>
      </w:r>
    </w:p>
    <w:p>
      <w:r>
        <w:t xml:space="preserve">—</w:t>
      </w:r>
    </w:p>
    <w:p>
      <w:pPr>
        <w:pStyle w:val="Heading1"/>
      </w:pPr>
      <w:r>
        <w:t>Номер исследования</w:t>
      </w:r>
    </w:p>
    <w:p>
      <w:r>
        <w:t xml:space="preserve">1</w:t>
      </w:r>
    </w:p>
    <w:p>
      <w:pPr>
        <w:pStyle w:val="Heading1"/>
      </w:pPr>
      <w:r>
        <w:t>Спонсор исследования</w:t>
      </w:r>
    </w:p>
    <w:p>
      <w:r>
        <w:t xml:space="preserve">—</w:t>
      </w:r>
    </w:p>
    <w:p>
      <w:pPr>
        <w:pStyle w:val="Heading1"/>
      </w:pPr>
      <w:r>
        <w:t>Фаза клинического исследования</w:t>
      </w:r>
    </w:p>
    <w:p>
      <w:r>
        <w:t xml:space="preserve">—</w:t>
      </w:r>
    </w:p>
    <w:p>
      <w:pPr>
        <w:pStyle w:val="Heading1"/>
      </w:pPr>
      <w:r>
        <w:t>Действующее вещество</w:t>
      </w:r>
    </w:p>
    <w:p>
      <w:r>
        <w:t xml:space="preserve">Tenofovir</w:t>
      </w:r>
    </w:p>
    <w:p>
      <w:pPr>
        <w:pStyle w:val="Heading1"/>
      </w:pPr>
      <w:r>
        <w:t>Цель исследования</w:t>
      </w:r>
    </w:p>
    <w:p>
      <w:r>
        <w:t xml:space="preserve">Оценка биоэквивалентности тестового и референтного препаратов действующего вещества Tenofovir у здоровых добровольцев.</w:t>
      </w:r>
    </w:p>
    <w:p>
      <w:pPr>
        <w:pStyle w:val="Heading1"/>
      </w:pPr>
      <w:r>
        <w:t>Задачи исследования</w:t>
      </w:r>
    </w:p>
    <w:p>
      <w:r>
        <w:t xml:space="preserve">1. Определить фармакокинетические параметры (Cmax, AUC0-t, AUC0-inf) тестового и референтного препаратов.</w:t>
        <w:br/>
        <w:t xml:space="preserve">2. Провести статистическое сравнение PK-параметров для оценки биоэквивалентности.</w:t>
        <w:br/>
        <w:t xml:space="preserve">3. Оценить безопасность и переносимость препаратов.</w:t>
      </w:r>
    </w:p>
    <w:p>
      <w:pPr>
        <w:pStyle w:val="Heading1"/>
      </w:pPr>
      <w:r>
        <w:t>Первичные конечные точки</w:t>
      </w:r>
    </w:p>
    <w:p>
      <w:r>
        <w:t xml:space="preserve">Cmax, AUC0-t (90% ДИ отношения геометрических средних: 80.00–125.00%).</w:t>
      </w:r>
    </w:p>
    <w:p>
      <w:pPr>
        <w:pStyle w:val="Heading1"/>
      </w:pPr>
      <w:r>
        <w:t>Вторичные конечные точки</w:t>
      </w:r>
    </w:p>
    <w:p>
      <w:r>
        <w:t xml:space="preserve">—</w:t>
      </w:r>
    </w:p>
    <w:p>
      <w:pPr>
        <w:pStyle w:val="Heading1"/>
      </w:pPr>
      <w:r>
        <w:t>Дизайн исследования</w:t>
      </w:r>
    </w:p>
    <w:p>
      <w:r>
        <w:t xml:space="preserve">Дизайн: replicate; Режим приёма: fasted</w:t>
      </w:r>
    </w:p>
    <w:p>
      <w:pPr>
        <w:pStyle w:val="Heading1"/>
      </w:pPr>
      <w:r>
        <w:t>Методология исследования</w:t>
      </w:r>
    </w:p>
    <w:p>
      <w:r>
        <w:t xml:space="preserve">—</w:t>
      </w:r>
    </w:p>
    <w:p>
      <w:pPr>
        <w:pStyle w:val="Heading1"/>
      </w:pPr>
      <w:r>
        <w:t>Исследуемая популяция</w:t>
      </w:r>
    </w:p>
    <w:p>
      <w:r>
        <w:t xml:space="preserve">—</w:t>
      </w:r>
    </w:p>
    <w:p>
      <w:pPr>
        <w:pStyle w:val="Heading1"/>
      </w:pPr>
      <w:r>
        <w:t>Критерии включения</w:t>
      </w:r>
    </w:p>
    <w:p>
      <w:r>
        <w:t xml:space="preserve">—</w:t>
      </w:r>
    </w:p>
    <w:p>
      <w:pPr>
        <w:pStyle w:val="Heading1"/>
      </w:pPr>
      <w:r>
        <w:t>Критерии невключения</w:t>
      </w:r>
    </w:p>
    <w:p>
      <w:r>
        <w:t xml:space="preserve">—</w:t>
      </w:r>
    </w:p>
    <w:p>
      <w:pPr>
        <w:pStyle w:val="Heading1"/>
      </w:pPr>
      <w:r>
        <w:t>Фармакокинетические параметры</w:t>
      </w:r>
    </w:p>
    <w:p>
      <w:r>
        <w:t xml:space="preserve">{'name': 'AUC', 'value': 0.0, 'unit': '-', 'normalized_value': None, 'normalized_unit': None, 'evidence': [{'source_id': '41467354', 'pmid_or_url': 'PMID:41467354', 'pmid': '41467354', 'url': None, 'excerpt': 'dian (IQR) age and weight were 35 (30-39) years and 58 (52-65) kg; 77% were male. Geometric least square mean ratios (90% CI) at week 12 (twice-daily TAF) relative to week 32 (once-daily TAF) for TAF AUC0-4, TFV and TFV-DP AUC0-24 were 1.55 (1.13-2.13), 1.24 (1.07-1.44), and 1.32 (1.13-1.53), respectively. At week 24, 95% of participants achieved viral suppression, with no treatment-related seriou', 'location': 'abstract', 'confidence': None, 'context_tags': {'fasted': False, 'fed': False, 'human': False, 'animal': True, 'crossover': False, 'log_transformed': False}, 'offset_start': 1250, 'offset_end': 1255, 'source_type': None, 'source': None, 'snippet': None, 'context': None}], 'warnings': ['animal_study_warning', 'feeding_condition_unknown', 'unit_not_allowed', 'unit_normalization_failed'], 'conflict_sources': None, 'ambiguous_condition': None}</w:t>
      </w:r>
    </w:p>
    <w:p>
      <w:pPr>
        <w:pStyle w:val="Heading1"/>
      </w:pPr>
      <w:r>
        <w:t>Размер выборки</w:t>
      </w:r>
    </w:p>
    <w:p>
      <w:r>
        <w:t xml:space="preserve">N_det is not computed due to Data Quality (Red Flag) / missing primary endpoints.; N_risk not computed (requires CV range/distribution)</w:t>
      </w:r>
    </w:p>
    <w:p>
      <w:pPr>
        <w:pStyle w:val="Heading1"/>
      </w:pPr>
      <w:r>
        <w:t>Рандомизация</w:t>
      </w:r>
    </w:p>
    <w:p>
      <w:r>
        <w:t xml:space="preserve">—</w:t>
      </w:r>
    </w:p>
    <w:p>
      <w:pPr>
        <w:pStyle w:val="Heading1"/>
      </w:pPr>
      <w:r>
        <w:t>Статистические методы</w:t>
      </w:r>
    </w:p>
    <w:p>
      <w:r>
        <w:t xml:space="preserve"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</w:r>
    </w:p>
    <w:p>
      <w:pPr>
        <w:pStyle w:val="Heading1"/>
      </w:pPr>
      <w:r>
        <w:t>Безопасность</w:t>
      </w:r>
    </w:p>
    <w:p>
      <w:r>
        <w:t xml:space="preserve"/>
      </w:r>
    </w:p>
    <w:p>
      <w:pPr>
        <w:pStyle w:val="Heading1"/>
      </w:pPr>
      <w:r>
        <w:t>Этические и регуляторные аспекты</w:t>
      </w:r>
    </w:p>
    <w:p>
      <w:r>
        <w:t xml:space="preserve">—</w:t>
      </w:r>
    </w:p>
    <w:p>
      <w:pPr>
        <w:pStyle w:val="Heading1"/>
      </w:pPr>
      <w:r>
        <w:t>Качество данных (DQI)</w:t>
      </w:r>
    </w:p>
    <w:p>
      <w:r>
        <w:t xml:space="preserve">green (score: 84)</w:t>
      </w:r>
    </w:p>
    <w:p>
      <w:pPr>
        <w:pStyle w:val="Heading1"/>
      </w:pPr>
      <w:r>
        <w:t>Регуляторные замечания / Open Questions</w:t>
      </w:r>
    </w:p>
    <w:p>
      <w:r>
        <w:t xml:space="preserve">Для каждого ключевого числа (AUC/Cmax/t1/2/CV/CI/n) укажите PMID/URL и evidence (таблица/фрагмент/контекст)., Confirm CV to enable N_det calculation., Resolve validation warn for AUC: Unexpected unit '-' for AUC. Allowed: ['ng*h/mL', 'ug*h/L', 'mg*h/L'], Resolve validation error for AUC: Non-positive value for AUC., Для каждого ключевого числа (AUC/Cmax/t1/2/CV/CI/n) укажите PMID/URL и evidence (таблица/фрагмент/контекст)., Проверьте и подтвердите единицы измерения (особенно AUC и Cmax) и корректность конверсии., Если есть несколько источников — выберите primary и объясните выбор., Confirm CV to enable N_det calculation., Provide content for section: Название клинического исследования, Provide content for section: Спонсор исследования, Provide content for section: Фаза клинического исследования, Provide content for section: Цель исследования, Provide content for section: Задачи исследования, Provide content for section: Первичные конечные точки, Provide content for section: Вторичные конечные точки, Provide content for section: Методология исследования, Provide content for section: Исследуемая популяция, Provide content for section: Критерии включения, Provide content for section: Критерии невключения, Provide content for section: Биоаналитические методы, Provide content for section: Временная структура исследования (таймпоинты), Provide content for section: Размер выборки, Provide content for section: Рандомизация, Provide content for section: Статистические методы, Provide content for section: План мониторинга безопасности, Provide content for section: Этические и регуляторные аспекты</w:t>
      </w:r>
    </w:p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???????? ???????????? ????????????</w:t>
      </w:r>
    </w:p>
    <w:p>
      <w:r>
        <w:t xml:space="preserve"/>
      </w:r>
    </w:p>
    <w:p>
      <w:pPr>
        <w:pStyle w:val="Heading1"/>
      </w:pPr>
      <w:r>
        <w:t>????? ????????????</w:t>
      </w:r>
    </w:p>
    <w:p>
      <w:r>
        <w:t xml:space="preserve"/>
      </w:r>
    </w:p>
    <w:p>
      <w:pPr>
        <w:pStyle w:val="Heading1"/>
      </w:pPr>
      <w:r>
        <w:t>??????? ????????????</w:t>
      </w:r>
    </w:p>
    <w:p>
      <w:r>
        <w:t xml:space="preserve"/>
      </w:r>
    </w:p>
    <w:p>
      <w:pPr>
        <w:pStyle w:val="Heading1"/>
      </w:pPr>
      <w:r>
        <w:t>???? ???????????? ????????????</w:t>
      </w:r>
    </w:p>
    <w:p>
      <w:r>
        <w:t xml:space="preserve"/>
      </w:r>
    </w:p>
    <w:p>
      <w:pPr>
        <w:pStyle w:val="Heading1"/>
      </w:pPr>
      <w:r>
        <w:t>??????????? ????????</w:t>
      </w:r>
    </w:p>
    <w:p>
      <w:r>
        <w:t xml:space="preserve"/>
      </w:r>
    </w:p>
    <w:p>
      <w:pPr>
        <w:pStyle w:val="Heading1"/>
      </w:pPr>
      <w:r>
        <w:t>???? ????????????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??????????? ????????????</w:t>
      </w:r>
    </w:p>
    <w:p>
      <w:r>
        <w:t xml:space="preserve"/>
      </w:r>
    </w:p>
    <w:p>
      <w:pPr>
        <w:pStyle w:val="Heading1"/>
      </w:pPr>
      <w:r>
        <w:t>??????????? ?????????</w:t>
      </w:r>
    </w:p>
    <w:p>
      <w:r>
        <w:t xml:space="preserve"/>
      </w:r>
    </w:p>
    <w:p>
      <w:pPr>
        <w:pStyle w:val="Heading1"/>
      </w:pPr>
      <w:r>
        <w:t>???????? ?????????</w:t>
      </w:r>
    </w:p>
    <w:p>
      <w:r>
        <w:t xml:space="preserve"/>
      </w:r>
    </w:p>
    <w:p>
      <w:pPr>
        <w:pStyle w:val="Heading1"/>
      </w:pPr>
      <w:r>
        <w:t>???????? ???????????</w:t>
      </w:r>
    </w:p>
    <w:p>
      <w:r>
        <w:t xml:space="preserve"/>
      </w:r>
    </w:p>
    <w:p>
      <w:pPr>
        <w:pStyle w:val="Heading1"/>
      </w:pPr>
      <w:r>
        <w:t>??????????????????? ?????????</w:t>
      </w:r>
    </w:p>
    <w:p>
      <w:r>
        <w:t xml:space="preserve"/>
      </w:r>
    </w:p>
    <w:p>
      <w:pPr>
        <w:pStyle w:val="Heading1"/>
      </w:pPr>
      <w:r>
        <w:t>?????? ???????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?????????????? 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 ? ???????????? ???????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/>
      </w:r>
    </w:p>
    <w:p>
      <w:pPr>
        <w:pStyle w:val="Heading1"/>
      </w:pPr>
      <w:r>
        <w:t>???????????? ????????? / Open Questions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>green (score: 84)</w:t>
      </w:r>
    </w:p>
    <w:p>
      <w:r>
        <w:t xml:space="preserve"/>
      </w:r>
    </w:p>
    <w:p>
      <w:r>
        <w:br w:type="page"/>
      </w:r>
    </w:p>
    <w:p>
      <w:r>
        <w:t>Секции, требуемые CRO (автоматически добавлены):</w:t>
      </w:r>
    </w:p>
    <w:p>
      <w:pPr>
        <w:pStyle w:val="Heading1"/>
      </w:pPr>
      <w:r>
        <w:t>Лекарственная форма и дозировка</w:t>
      </w:r>
    </w:p>
    <w:p>
      <w:r>
        <w:t>таблетки, покрытые пленочной оболочкой, 25 мг</w:t>
      </w:r>
    </w:p>
    <w:p>
      <w:pPr>
        <w:pStyle w:val="Heading1"/>
      </w:pPr>
      <w:r>
        <w:t>Обоснование дизайна</w:t>
      </w:r>
    </w:p>
    <w:p>
      <w:r>
        <w:t>Highly variable drug (CVintra &gt;= 30%): replicate design recommended.</w:t>
      </w:r>
    </w:p>
    <w:p>
      <w:pPr>
        <w:pStyle w:val="Heading1"/>
      </w:pPr>
      <w:r>
        <w:t>Библиографический список источников</w:t>
      </w:r>
    </w:p>
    <w:p>
      <w:r>
        <w:t>1. Optimizing On-Demand Tenofovir Disoproxil Fumarate/Emtricitabine Dosing in Women for HIV Prevention. (2026) PMID:41706578</w:t>
        <w:br/>
        <w:t>2. Bictegravir concentrations in breastmilk of healthy, lactating women without HIV. (2026) PMID:41628196</w:t>
        <w:br/>
        <w:t>3. Multivariable analysis of bone mass reduction risk prediction and anxiety status in male HIV/AIDS patients. (2025) PMID:41623697</w:t>
        <w:br/>
        <w:t>4. Triple drug co-delivery within nanosystems for synergistic anti-infective, anti-inflammatory, antinociceptive and neuroregenerative therapeutic effects: a focus on pharmacological and nanotechnological aspects. (2026) PMID:41577321</w:t>
        <w:br/>
        <w:t>5. Pharmacokinetics of Dolutegravir, nucleoside analogues, and intracellular metabolites using plasma separation cards: A comparative analysis with traditional sampling methods in healthy volunteers. (2026) PMID:41575922</w:t>
        <w:br/>
        <w:t>6. Pharmacokinetics of dolutegravir, tenofovir and lamivudine during venous-venous extracorporeal membrane oxygenation (VV-ECMO): A case report. (2026) PMID:41547572</w:t>
        <w:br/>
        <w:t>7. Trial design and enrolment characteristics of LATA (Long-Acting Treatment in Adolescents): A randomised, open-label, non-inferiority, 96-week trial evaluating the virological efficacy, safety, acceptability and quality-of-life of the dual long-acting injectable regimen cabotegravir/ rilpivirine compared to daily oral therapy in virologically suppressed adolescents with HIV-1 infection, aged 12 to &lt;20 years, in Sub-Saharan Africa. (2026) PMID:41512916</w:t>
        <w:br/>
        <w:t>8. Prodrug strategies in developing antiviral nucleoside analogs. (2026) PMID:41488032</w:t>
        <w:br/>
        <w:t>9. Novel application of DBS tenofovir diphosphate to predict viral suppression in postpartum women living with HIV in Malawi. (2025) PMID:41467711</w:t>
        <w:br/>
        <w:t>10. Pharmacokinetics of Twice-Daily Tenofovir Alafenamide In Adults with HIV-Associated TB on BIC/FTC/TAF and Rifampicin. (2025) PMID:41467354</w:t>
        <w:br/>
        <w:t>11. Herbal medicine use and renal dysfunction among persons living with HIV on Tenofovir-based ART in Kampala, Uganda. (2026) PMID:PMCID:12915923</w:t>
        <w:br/>
        <w:t>12. Tenofovir-induced Fanconi syndrome: a case report and literature review. (2026) PMID:PMCID:12915057</w:t>
        <w:br/>
        <w:t>13. Longitudinal changes in circulating biomarkers from baseline to week 48 in treatment-Naïve people living with HIV initiating integrase inhibitor-based antiretroviral therapy. (2026) PMID:PMCID:12915926</w:t>
        <w:br/>
        <w:t>14. Longitudinal changes in bone mineral density among children living with HIV over 96 weeks following switch to second-line antiretroviral therapy in Uganda. (2026) PMID:PMCID:12912597</w:t>
        <w:br/>
        <w:t>15. PrEPped for COVID? The association between HIV-PrEP use and COVID-19 among men and gender diverse people who have sex with men: findings from three large online surveys in the United Kingdom. (2026) PMID:PMCID:12911014</w:t>
        <w:br/>
        <w:t>16. Population Pharmacokinetics of Bictegravir During Pregnancy and Postpartum: Role of Adherence in Maintaining Therapeutic Exposure. (2026) PMID:PMCID:12912284</w:t>
        <w:br/>
        <w:t>17. The risk of hepatitis B virus reactivation in COVID-19 patients treated with corticosteroids: a retrospective observational cohort study. (2026) PMID:PMCID:12905940</w:t>
        <w:br/>
        <w:t>18. Localized inflammasome inhibition mitigates foreign body response to subcutaneous long-acting antiretroviral therapy for HIV. (2026) PMID:PMCID:12903687</w:t>
        <w:br/>
        <w:t>19. Fetal Defects in Mice Treated With Integrase Strand Transfer Inhibitors: Comparison of Dolutegravir, Raltegravir, Bictegravir, and Cabotegravir. (2025) PMID:PMCID:12526979</w:t>
        <w:br/>
        <w:t>20. Tenofovir-Associated Hypophosphatemic Osteomalacia in an HIV-Infected Patient: A Case Report. (2026) PMID:PMCID:12883047</w:t>
      </w:r>
    </w:p>
    <w:p>
      <w:pPr>
        <w:pStyle w:val="Heading1"/>
      </w:pPr>
      <w:r>
        <w:t>Качество данных (DQI)</w:t>
      </w:r>
    </w:p>
    <w:p>
      <w:r>
        <w:t>Data Quality summary: green (score: 84)</w:t>
      </w:r>
    </w:p>
    <w:p>
      <w:r>
        <w:t>Причины: Sample size n not available near CI/GMR context., Validation errors detected in PK values., Only animal sources detected.</w:t>
      </w:r>
    </w:p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  <dc:identifier/>
  <dc:language/>
</cp:coreProperties>
</file>